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sz w:val="36"/>
          <w:szCs w:val="36"/>
        </w:rPr>
      </w:pPr>
    </w:p>
    <w:p w:rsidR="00544A6F" w:rsidRPr="004A1629" w:rsidRDefault="00544A6F" w:rsidP="000C5E61">
      <w:pPr>
        <w:pStyle w:val="Default"/>
        <w:jc w:val="center"/>
        <w:rPr>
          <w:rFonts w:ascii="Arial Narrow" w:hAnsi="Arial Narrow" w:cstheme="minorHAnsi"/>
          <w:b/>
          <w:bCs/>
          <w:sz w:val="36"/>
          <w:szCs w:val="36"/>
        </w:rPr>
      </w:pPr>
    </w:p>
    <w:p w:rsidR="00544A6F" w:rsidRPr="004A1629" w:rsidRDefault="00544A6F" w:rsidP="000C5E61">
      <w:pPr>
        <w:pStyle w:val="Default"/>
        <w:jc w:val="center"/>
        <w:rPr>
          <w:rFonts w:ascii="Arial Narrow" w:hAnsi="Arial Narrow" w:cstheme="minorHAnsi"/>
          <w:b/>
          <w:bCs/>
          <w:sz w:val="36"/>
          <w:szCs w:val="36"/>
        </w:rPr>
      </w:pPr>
    </w:p>
    <w:p w:rsidR="00544A6F" w:rsidRPr="004A1629" w:rsidRDefault="00544A6F" w:rsidP="000C5E61">
      <w:pPr>
        <w:pStyle w:val="Default"/>
        <w:jc w:val="center"/>
        <w:rPr>
          <w:rFonts w:ascii="Arial Narrow" w:hAnsi="Arial Narrow" w:cstheme="minorHAnsi"/>
          <w:b/>
          <w:bCs/>
          <w:sz w:val="36"/>
          <w:szCs w:val="36"/>
        </w:rPr>
      </w:pPr>
    </w:p>
    <w:p w:rsidR="00544A6F" w:rsidRPr="004A1629" w:rsidRDefault="00544A6F" w:rsidP="000C5E61">
      <w:pPr>
        <w:pStyle w:val="Default"/>
        <w:jc w:val="center"/>
        <w:rPr>
          <w:rFonts w:ascii="Arial Narrow" w:hAnsi="Arial Narrow" w:cstheme="minorHAnsi"/>
          <w:b/>
          <w:bCs/>
          <w:sz w:val="40"/>
          <w:szCs w:val="40"/>
        </w:rPr>
      </w:pPr>
      <w:r w:rsidRPr="004A1629">
        <w:rPr>
          <w:rFonts w:ascii="Arial Narrow" w:hAnsi="Arial Narrow" w:cstheme="minorHAnsi"/>
          <w:b/>
          <w:bCs/>
          <w:sz w:val="40"/>
          <w:szCs w:val="40"/>
        </w:rPr>
        <w:t>VÝROČNÁ SPRÁVA</w:t>
      </w:r>
    </w:p>
    <w:p w:rsidR="00544A6F" w:rsidRPr="004A1629" w:rsidRDefault="00544A6F" w:rsidP="000C5E61">
      <w:pPr>
        <w:pStyle w:val="Default"/>
        <w:jc w:val="center"/>
        <w:rPr>
          <w:rFonts w:ascii="Arial Narrow" w:hAnsi="Arial Narrow" w:cstheme="minorHAnsi"/>
          <w:b/>
          <w:bCs/>
          <w:sz w:val="40"/>
          <w:szCs w:val="40"/>
        </w:rPr>
      </w:pPr>
    </w:p>
    <w:p w:rsidR="00544A6F" w:rsidRPr="004A1629" w:rsidRDefault="00544A6F" w:rsidP="000C5E61">
      <w:pPr>
        <w:pStyle w:val="Default"/>
        <w:jc w:val="center"/>
        <w:rPr>
          <w:rFonts w:ascii="Arial Narrow" w:hAnsi="Arial Narrow" w:cstheme="minorHAnsi"/>
          <w:b/>
          <w:bCs/>
          <w:sz w:val="40"/>
          <w:szCs w:val="40"/>
        </w:rPr>
      </w:pPr>
      <w:r w:rsidRPr="004A1629">
        <w:rPr>
          <w:rFonts w:ascii="Arial Narrow" w:hAnsi="Arial Narrow" w:cstheme="minorHAnsi"/>
          <w:b/>
          <w:bCs/>
          <w:sz w:val="40"/>
          <w:szCs w:val="40"/>
        </w:rPr>
        <w:t>SLOVKARPATIA HOTEL, a.s.</w:t>
      </w:r>
    </w:p>
    <w:p w:rsidR="00544A6F" w:rsidRPr="004A1629" w:rsidRDefault="00544A6F" w:rsidP="000C5E61">
      <w:pPr>
        <w:pStyle w:val="Default"/>
        <w:jc w:val="center"/>
        <w:rPr>
          <w:rFonts w:ascii="Arial Narrow" w:hAnsi="Arial Narrow" w:cstheme="minorHAnsi"/>
          <w:b/>
          <w:bCs/>
          <w:sz w:val="40"/>
          <w:szCs w:val="40"/>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Default="0075031F" w:rsidP="000C5E61">
      <w:pPr>
        <w:pStyle w:val="Default"/>
        <w:jc w:val="center"/>
        <w:rPr>
          <w:rFonts w:ascii="Arial Narrow" w:hAnsi="Arial Narrow" w:cstheme="minorHAnsi"/>
          <w:b/>
          <w:bCs/>
        </w:rPr>
      </w:pPr>
      <w:r w:rsidRPr="004A1629">
        <w:rPr>
          <w:rFonts w:ascii="Arial Narrow" w:hAnsi="Arial Narrow" w:cstheme="minorHAnsi"/>
          <w:b/>
          <w:bCs/>
        </w:rPr>
        <w:t>za rok 201</w:t>
      </w:r>
      <w:r w:rsidR="00F044EB">
        <w:rPr>
          <w:rFonts w:ascii="Arial Narrow" w:hAnsi="Arial Narrow" w:cstheme="minorHAnsi"/>
          <w:b/>
          <w:bCs/>
        </w:rPr>
        <w:t>5</w:t>
      </w:r>
    </w:p>
    <w:p w:rsidR="00F044EB" w:rsidRPr="004A1629" w:rsidRDefault="00F044EB"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544A6F" w:rsidRPr="004A1629" w:rsidRDefault="00544A6F" w:rsidP="000C5E61">
      <w:pPr>
        <w:pStyle w:val="Default"/>
        <w:jc w:val="center"/>
        <w:rPr>
          <w:rFonts w:ascii="Arial Narrow" w:hAnsi="Arial Narrow" w:cstheme="minorHAnsi"/>
          <w:b/>
          <w:bCs/>
        </w:rPr>
      </w:pPr>
    </w:p>
    <w:p w:rsidR="00B7560E" w:rsidRPr="004A1629" w:rsidRDefault="00CD7D63" w:rsidP="00CD7D63">
      <w:pPr>
        <w:pStyle w:val="Ivana"/>
        <w:rPr>
          <w:rFonts w:ascii="Arial Narrow" w:hAnsi="Arial Narrow" w:cstheme="minorHAnsi"/>
        </w:rPr>
      </w:pPr>
      <w:bookmarkStart w:id="0" w:name="_Toc374429387"/>
      <w:r w:rsidRPr="004A1629">
        <w:rPr>
          <w:rFonts w:ascii="Arial Narrow" w:hAnsi="Arial Narrow" w:cstheme="minorHAnsi"/>
        </w:rPr>
        <w:t>OBSAH</w:t>
      </w:r>
      <w:bookmarkEnd w:id="0"/>
    </w:p>
    <w:p w:rsidR="00CD7D63" w:rsidRPr="004A1629" w:rsidRDefault="00CD7D63" w:rsidP="00214104">
      <w:pPr>
        <w:pStyle w:val="Ivana"/>
        <w:ind w:left="-426"/>
        <w:rPr>
          <w:rFonts w:ascii="Arial Narrow" w:hAnsi="Arial Narrow" w:cstheme="minorHAnsi"/>
        </w:rPr>
      </w:pPr>
    </w:p>
    <w:p w:rsidR="00CD7D63" w:rsidRPr="004A1629" w:rsidRDefault="00CD7D63" w:rsidP="00214104">
      <w:pPr>
        <w:pStyle w:val="Ivana"/>
        <w:ind w:left="-426"/>
        <w:rPr>
          <w:rFonts w:ascii="Arial Narrow" w:hAnsi="Arial Narrow" w:cstheme="minorHAnsi"/>
        </w:rPr>
      </w:pPr>
    </w:p>
    <w:p w:rsidR="0084029A" w:rsidRPr="004A1629" w:rsidRDefault="00981DBF">
      <w:pPr>
        <w:pStyle w:val="Obsah1"/>
        <w:rPr>
          <w:rFonts w:ascii="Arial Narrow" w:hAnsi="Arial Narrow" w:cstheme="minorHAnsi"/>
          <w:noProof/>
        </w:rPr>
      </w:pPr>
      <w:r w:rsidRPr="004A1629">
        <w:rPr>
          <w:rFonts w:ascii="Arial Narrow" w:hAnsi="Arial Narrow" w:cstheme="minorHAnsi"/>
          <w:b/>
          <w:bCs/>
        </w:rPr>
        <w:fldChar w:fldCharType="begin"/>
      </w:r>
      <w:r w:rsidR="00CD7D63" w:rsidRPr="004A1629">
        <w:rPr>
          <w:rFonts w:ascii="Arial Narrow" w:hAnsi="Arial Narrow" w:cstheme="minorHAnsi"/>
          <w:b/>
          <w:bCs/>
        </w:rPr>
        <w:instrText xml:space="preserve"> TOC \h \z \t "Ivana;1" </w:instrText>
      </w:r>
      <w:r w:rsidRPr="004A1629">
        <w:rPr>
          <w:rFonts w:ascii="Arial Narrow" w:hAnsi="Arial Narrow" w:cstheme="minorHAnsi"/>
          <w:b/>
          <w:bCs/>
        </w:rPr>
        <w:fldChar w:fldCharType="separate"/>
      </w:r>
      <w:hyperlink w:anchor="_Toc374429387" w:history="1">
        <w:r w:rsidR="0084029A" w:rsidRPr="004A1629">
          <w:rPr>
            <w:rStyle w:val="Hypertextovprepojenie"/>
            <w:rFonts w:ascii="Arial Narrow" w:hAnsi="Arial Narrow" w:cstheme="minorHAnsi"/>
            <w:noProof/>
          </w:rPr>
          <w:t>OBSAH</w:t>
        </w:r>
        <w:r w:rsidR="0084029A" w:rsidRPr="004A1629">
          <w:rPr>
            <w:rFonts w:ascii="Arial Narrow" w:hAnsi="Arial Narrow" w:cstheme="minorHAnsi"/>
            <w:noProof/>
            <w:webHidden/>
          </w:rPr>
          <w:tab/>
        </w:r>
        <w:r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_Toc374429387 \h </w:instrText>
        </w:r>
        <w:r w:rsidRPr="004A1629">
          <w:rPr>
            <w:rFonts w:ascii="Arial Narrow" w:hAnsi="Arial Narrow" w:cstheme="minorHAnsi"/>
            <w:noProof/>
            <w:webHidden/>
          </w:rPr>
        </w:r>
        <w:r w:rsidRPr="004A1629">
          <w:rPr>
            <w:rFonts w:ascii="Arial Narrow" w:hAnsi="Arial Narrow" w:cstheme="minorHAnsi"/>
            <w:noProof/>
            <w:webHidden/>
          </w:rPr>
          <w:fldChar w:fldCharType="separate"/>
        </w:r>
        <w:r w:rsidR="00EC736B">
          <w:rPr>
            <w:rFonts w:ascii="Arial Narrow" w:hAnsi="Arial Narrow" w:cstheme="minorHAnsi"/>
            <w:noProof/>
            <w:webHidden/>
          </w:rPr>
          <w:t>2</w:t>
        </w:r>
        <w:r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88" w:history="1">
        <w:r w:rsidR="0084029A" w:rsidRPr="004A1629">
          <w:rPr>
            <w:rStyle w:val="Hypertextovprepojenie"/>
            <w:rFonts w:ascii="Arial Narrow" w:hAnsi="Arial Narrow" w:cstheme="minorHAnsi"/>
            <w:noProof/>
          </w:rPr>
          <w:t>ZÁKLADNÉ ÚDAJE O SPOLOČNOSTI SLOVKARPATIA HOTEL, a.s.</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_Toc374429388 \h </w:instrText>
        </w:r>
        <w:r w:rsidR="00981DBF" w:rsidRPr="004A1629">
          <w:rPr>
            <w:rFonts w:ascii="Arial Narrow" w:hAnsi="Arial Narrow" w:cstheme="minorHAnsi"/>
            <w:noProof/>
            <w:webHidden/>
          </w:rPr>
        </w:r>
        <w:r w:rsidR="00981DBF" w:rsidRPr="004A1629">
          <w:rPr>
            <w:rFonts w:ascii="Arial Narrow" w:hAnsi="Arial Narrow" w:cstheme="minorHAnsi"/>
            <w:noProof/>
            <w:webHidden/>
          </w:rPr>
          <w:fldChar w:fldCharType="separate"/>
        </w:r>
        <w:r>
          <w:rPr>
            <w:rFonts w:ascii="Arial Narrow" w:hAnsi="Arial Narrow" w:cstheme="minorHAnsi"/>
            <w:noProof/>
            <w:webHidden/>
          </w:rPr>
          <w:t>3</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89" w:history="1">
        <w:r w:rsidR="0084029A" w:rsidRPr="004A1629">
          <w:rPr>
            <w:rStyle w:val="Hypertextovprepojenie"/>
            <w:rFonts w:ascii="Arial Narrow" w:hAnsi="Arial Narrow" w:cstheme="minorHAnsi"/>
            <w:noProof/>
          </w:rPr>
          <w:t>HISTÓRIA SPOLOČNOSTI</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_Toc374429389 \h </w:instrText>
        </w:r>
        <w:r w:rsidR="00981DBF" w:rsidRPr="004A1629">
          <w:rPr>
            <w:rFonts w:ascii="Arial Narrow" w:hAnsi="Arial Narrow" w:cstheme="minorHAnsi"/>
            <w:noProof/>
            <w:webHidden/>
          </w:rPr>
        </w:r>
        <w:r w:rsidR="00981DBF" w:rsidRPr="004A1629">
          <w:rPr>
            <w:rFonts w:ascii="Arial Narrow" w:hAnsi="Arial Narrow" w:cstheme="minorHAnsi"/>
            <w:noProof/>
            <w:webHidden/>
          </w:rPr>
          <w:fldChar w:fldCharType="separate"/>
        </w:r>
        <w:r>
          <w:rPr>
            <w:rFonts w:ascii="Arial Narrow" w:hAnsi="Arial Narrow" w:cstheme="minorHAnsi"/>
            <w:noProof/>
            <w:webHidden/>
          </w:rPr>
          <w:t>3</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0" w:history="1">
        <w:r w:rsidR="0084029A" w:rsidRPr="004A1629">
          <w:rPr>
            <w:rStyle w:val="Hypertextovprepojenie"/>
            <w:rFonts w:ascii="Arial Narrow" w:hAnsi="Arial Narrow" w:cstheme="minorHAnsi"/>
            <w:noProof/>
          </w:rPr>
          <w:t>ÚDAJE O PREDMETE ČINNOSTI</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_Toc374429390 \h </w:instrText>
        </w:r>
        <w:r w:rsidR="00981DBF" w:rsidRPr="004A1629">
          <w:rPr>
            <w:rFonts w:ascii="Arial Narrow" w:hAnsi="Arial Narrow" w:cstheme="minorHAnsi"/>
            <w:noProof/>
            <w:webHidden/>
          </w:rPr>
        </w:r>
        <w:r w:rsidR="00981DBF" w:rsidRPr="004A1629">
          <w:rPr>
            <w:rFonts w:ascii="Arial Narrow" w:hAnsi="Arial Narrow" w:cstheme="minorHAnsi"/>
            <w:noProof/>
            <w:webHidden/>
          </w:rPr>
          <w:fldChar w:fldCharType="separate"/>
        </w:r>
        <w:r>
          <w:rPr>
            <w:rFonts w:ascii="Arial Narrow" w:hAnsi="Arial Narrow" w:cstheme="minorHAnsi"/>
            <w:noProof/>
            <w:webHidden/>
          </w:rPr>
          <w:t>3</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1" w:history="1">
        <w:r w:rsidR="0084029A" w:rsidRPr="004A1629">
          <w:rPr>
            <w:rStyle w:val="Hypertextovprepojenie"/>
            <w:rFonts w:ascii="Arial Narrow" w:hAnsi="Arial Narrow" w:cstheme="minorHAnsi"/>
            <w:noProof/>
          </w:rPr>
          <w:t>ZOZNAM ČLENOV ŠTATUTÁRNYCH, DOZORNÝCH A INÝCH ORGÁNOV SPOLOČNOSTI V ÚČTOVNOM OBDOBÍ</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_Toc374429391 \h </w:instrText>
        </w:r>
        <w:r w:rsidR="00981DBF" w:rsidRPr="004A1629">
          <w:rPr>
            <w:rFonts w:ascii="Arial Narrow" w:hAnsi="Arial Narrow" w:cstheme="minorHAnsi"/>
            <w:noProof/>
            <w:webHidden/>
          </w:rPr>
        </w:r>
        <w:r w:rsidR="00981DBF" w:rsidRPr="004A1629">
          <w:rPr>
            <w:rFonts w:ascii="Arial Narrow" w:hAnsi="Arial Narrow" w:cstheme="minorHAnsi"/>
            <w:noProof/>
            <w:webHidden/>
          </w:rPr>
          <w:fldChar w:fldCharType="separate"/>
        </w:r>
        <w:r>
          <w:rPr>
            <w:rFonts w:ascii="Arial Narrow" w:hAnsi="Arial Narrow" w:cstheme="minorHAnsi"/>
            <w:noProof/>
            <w:webHidden/>
          </w:rPr>
          <w:t>4</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2" w:history="1">
        <w:r w:rsidR="0084029A" w:rsidRPr="004A1629">
          <w:rPr>
            <w:rStyle w:val="Hypertextovprepojenie"/>
            <w:rFonts w:ascii="Arial Narrow" w:hAnsi="Arial Narrow" w:cstheme="minorHAnsi"/>
            <w:noProof/>
          </w:rPr>
          <w:t>VÝVOJ ČINNOSTI, FINANČNÁ SITUÁCIA SPOLOČNOSTI A DOPLŇUJÚCE INFORMÁCIE O UPLYNULOM VÝVOJI PODNIKANIA</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_Toc374429392 \h </w:instrText>
        </w:r>
        <w:r w:rsidR="00981DBF" w:rsidRPr="004A1629">
          <w:rPr>
            <w:rFonts w:ascii="Arial Narrow" w:hAnsi="Arial Narrow" w:cstheme="minorHAnsi"/>
            <w:noProof/>
            <w:webHidden/>
          </w:rPr>
        </w:r>
        <w:r w:rsidR="00981DBF" w:rsidRPr="004A1629">
          <w:rPr>
            <w:rFonts w:ascii="Arial Narrow" w:hAnsi="Arial Narrow" w:cstheme="minorHAnsi"/>
            <w:noProof/>
            <w:webHidden/>
          </w:rPr>
          <w:fldChar w:fldCharType="separate"/>
        </w:r>
        <w:r>
          <w:rPr>
            <w:rFonts w:ascii="Arial Narrow" w:hAnsi="Arial Narrow" w:cstheme="minorHAnsi"/>
            <w:noProof/>
            <w:webHidden/>
          </w:rPr>
          <w:t>5</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3" w:history="1">
        <w:r w:rsidR="0084029A" w:rsidRPr="004A1629">
          <w:rPr>
            <w:rStyle w:val="Hypertextovprepojenie"/>
            <w:rFonts w:ascii="Arial Narrow" w:hAnsi="Arial Narrow" w:cstheme="minorHAnsi"/>
            <w:noProof/>
          </w:rPr>
          <w:t>UDALOSTI KTORÉ NASTALI PO SKONČENÍ ÚČTOVNÉHO OBDOBIA</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_Toc374429393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4" w:history="1">
        <w:r w:rsidR="0084029A" w:rsidRPr="004A1629">
          <w:rPr>
            <w:rStyle w:val="Hypertextovprepojenie"/>
            <w:rFonts w:ascii="Arial Narrow" w:hAnsi="Arial Narrow" w:cstheme="minorHAnsi"/>
            <w:noProof/>
          </w:rPr>
          <w:t>INFORMÁCIE O OČAKÁVANEJ HOSPODÁRSKEJ A FINANČNEJ SITUÁCII ZA ROK 201</w:t>
        </w:r>
        <w:r w:rsidR="00554B14" w:rsidRPr="004A1629">
          <w:rPr>
            <w:rStyle w:val="Hypertextovprepojenie"/>
            <w:rFonts w:ascii="Arial Narrow" w:hAnsi="Arial Narrow" w:cstheme="minorHAnsi"/>
            <w:noProof/>
          </w:rPr>
          <w:t>5</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_Toc374429394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5" w:history="1">
        <w:r w:rsidR="0084029A" w:rsidRPr="004A1629">
          <w:rPr>
            <w:rStyle w:val="Hypertextovprepojenie"/>
            <w:rFonts w:ascii="Arial Narrow" w:hAnsi="Arial Narrow" w:cstheme="minorHAnsi"/>
            <w:noProof/>
          </w:rPr>
          <w:t>VÝDAVKY NA ČINNOSŤ V OBLASTI</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_Toc374429395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6" w:history="1">
        <w:r w:rsidR="0084029A" w:rsidRPr="004A1629">
          <w:rPr>
            <w:rStyle w:val="Hypertextovprepojenie"/>
            <w:rFonts w:ascii="Arial Narrow" w:hAnsi="Arial Narrow" w:cstheme="minorHAnsi"/>
            <w:noProof/>
          </w:rPr>
          <w:t>VÝSKUMU A VÝVOJA</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_Toc374429396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7" w:history="1">
        <w:r w:rsidR="0084029A" w:rsidRPr="004A1629">
          <w:rPr>
            <w:rStyle w:val="Hypertextovprepojenie"/>
            <w:rFonts w:ascii="Arial Narrow" w:hAnsi="Arial Narrow" w:cstheme="minorHAnsi"/>
            <w:noProof/>
          </w:rPr>
          <w:t>OBSTARÁVANIE VLASTNÝCH AKCIÍ, DOČASNÝCH LISTOV, OBCHODNÝCH PODIELOV A AKCIÍ, DOČASNÝCH LISTOV A OBCHODNÝCH PODIELOV OVLÁDAJÚCEJ OSOBY</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_Toc374429397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8" w:history="1">
        <w:r w:rsidR="0084029A" w:rsidRPr="004A1629">
          <w:rPr>
            <w:rStyle w:val="Hypertextovprepojenie"/>
            <w:rFonts w:ascii="Arial Narrow" w:hAnsi="Arial Narrow" w:cstheme="minorHAnsi"/>
            <w:noProof/>
          </w:rPr>
          <w:t>ŠTRUKTÚRA AKCIONÁROV SPOLOČNOSTI</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_Toc374429398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399" w:history="1">
        <w:r w:rsidR="0084029A" w:rsidRPr="004A1629">
          <w:rPr>
            <w:rStyle w:val="Hypertextovprepojenie"/>
            <w:rFonts w:ascii="Arial Narrow" w:hAnsi="Arial Narrow" w:cstheme="minorHAnsi"/>
            <w:noProof/>
          </w:rPr>
          <w:t>ORGANIZAČNÁ ZLOŽKA V ZAHRANIČÍ</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_Toc374429399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84029A" w:rsidRPr="004A1629" w:rsidRDefault="00EC736B">
      <w:pPr>
        <w:pStyle w:val="Obsah1"/>
        <w:rPr>
          <w:rFonts w:ascii="Arial Narrow" w:hAnsi="Arial Narrow" w:cstheme="minorHAnsi"/>
          <w:noProof/>
        </w:rPr>
      </w:pPr>
      <w:hyperlink w:anchor="_Toc374429400" w:history="1">
        <w:r w:rsidR="0084029A" w:rsidRPr="004A1629">
          <w:rPr>
            <w:rStyle w:val="Hypertextovprepojenie"/>
            <w:rFonts w:ascii="Arial Narrow" w:hAnsi="Arial Narrow" w:cstheme="minorHAnsi"/>
            <w:noProof/>
          </w:rPr>
          <w:t>SPRÁVA PREDSTAVENSTVA SPOLOČNOSTI</w:t>
        </w:r>
        <w:r w:rsidR="0084029A" w:rsidRPr="004A1629">
          <w:rPr>
            <w:rFonts w:ascii="Arial Narrow" w:hAnsi="Arial Narrow" w:cstheme="minorHAnsi"/>
            <w:noProof/>
            <w:webHidden/>
          </w:rPr>
          <w:tab/>
        </w:r>
        <w:r w:rsidR="00981DBF" w:rsidRPr="004A1629">
          <w:rPr>
            <w:rFonts w:ascii="Arial Narrow" w:hAnsi="Arial Narrow" w:cstheme="minorHAnsi"/>
            <w:noProof/>
            <w:webHidden/>
          </w:rPr>
          <w:fldChar w:fldCharType="begin"/>
        </w:r>
        <w:r w:rsidR="0084029A" w:rsidRPr="004A1629">
          <w:rPr>
            <w:rFonts w:ascii="Arial Narrow" w:hAnsi="Arial Narrow" w:cstheme="minorHAnsi"/>
            <w:noProof/>
            <w:webHidden/>
          </w:rPr>
          <w:instrText xml:space="preserve"> PAGEREF _Toc374429400 \h </w:instrText>
        </w:r>
        <w:r w:rsidR="00981DBF" w:rsidRPr="004A1629">
          <w:rPr>
            <w:rFonts w:ascii="Arial Narrow" w:hAnsi="Arial Narrow" w:cstheme="minorHAnsi"/>
            <w:noProof/>
            <w:webHidden/>
          </w:rPr>
          <w:fldChar w:fldCharType="separate"/>
        </w:r>
        <w:r>
          <w:rPr>
            <w:rFonts w:ascii="Arial Narrow" w:hAnsi="Arial Narrow" w:cstheme="minorHAnsi"/>
            <w:b/>
            <w:bCs/>
            <w:noProof/>
            <w:webHidden/>
          </w:rPr>
          <w:t>Chyba! Záložka nie je definovaná.</w:t>
        </w:r>
        <w:r w:rsidR="00981DBF" w:rsidRPr="004A1629">
          <w:rPr>
            <w:rFonts w:ascii="Arial Narrow" w:hAnsi="Arial Narrow" w:cstheme="minorHAnsi"/>
            <w:noProof/>
            <w:webHidden/>
          </w:rPr>
          <w:fldChar w:fldCharType="end"/>
        </w:r>
      </w:hyperlink>
    </w:p>
    <w:p w:rsidR="00B7560E" w:rsidRPr="004A1629" w:rsidRDefault="00981DBF" w:rsidP="00214104">
      <w:pPr>
        <w:pStyle w:val="Default"/>
        <w:spacing w:line="360" w:lineRule="auto"/>
        <w:ind w:left="-426"/>
        <w:jc w:val="center"/>
        <w:rPr>
          <w:rFonts w:ascii="Arial Narrow" w:hAnsi="Arial Narrow" w:cstheme="minorHAnsi"/>
          <w:b/>
          <w:bCs/>
          <w:sz w:val="22"/>
          <w:szCs w:val="22"/>
        </w:rPr>
      </w:pPr>
      <w:r w:rsidRPr="004A1629">
        <w:rPr>
          <w:rFonts w:ascii="Arial Narrow" w:hAnsi="Arial Narrow" w:cstheme="minorHAnsi"/>
          <w:b/>
          <w:bCs/>
          <w:sz w:val="22"/>
          <w:szCs w:val="22"/>
        </w:rPr>
        <w:fldChar w:fldCharType="end"/>
      </w:r>
    </w:p>
    <w:p w:rsidR="00B7560E" w:rsidRPr="004A1629" w:rsidRDefault="00B7560E" w:rsidP="000C5E61">
      <w:pPr>
        <w:pStyle w:val="Default"/>
        <w:jc w:val="center"/>
        <w:rPr>
          <w:rFonts w:ascii="Arial Narrow" w:hAnsi="Arial Narrow" w:cstheme="minorHAnsi"/>
          <w:b/>
          <w:bCs/>
          <w:sz w:val="22"/>
          <w:szCs w:val="22"/>
        </w:rPr>
      </w:pPr>
    </w:p>
    <w:p w:rsidR="00CD7D63" w:rsidRPr="004A1629" w:rsidRDefault="00CD7D63" w:rsidP="000C5E61">
      <w:pPr>
        <w:pStyle w:val="Default"/>
        <w:jc w:val="center"/>
        <w:rPr>
          <w:rFonts w:ascii="Arial Narrow" w:hAnsi="Arial Narrow" w:cstheme="minorHAnsi"/>
          <w:b/>
          <w:bCs/>
          <w:sz w:val="22"/>
          <w:szCs w:val="22"/>
        </w:rPr>
      </w:pPr>
    </w:p>
    <w:p w:rsidR="00CD7D63" w:rsidRPr="004A1629" w:rsidRDefault="00CD7D63" w:rsidP="000C5E61">
      <w:pPr>
        <w:pStyle w:val="Default"/>
        <w:jc w:val="center"/>
        <w:rPr>
          <w:rFonts w:ascii="Arial Narrow" w:hAnsi="Arial Narrow" w:cstheme="minorHAnsi"/>
          <w:b/>
          <w:bCs/>
          <w:sz w:val="22"/>
          <w:szCs w:val="22"/>
        </w:rPr>
      </w:pPr>
    </w:p>
    <w:p w:rsidR="00CD7D63" w:rsidRPr="004A1629" w:rsidRDefault="00CD7D63"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bookmarkStart w:id="1" w:name="_GoBack"/>
      <w:bookmarkEnd w:id="1"/>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8F2AFD" w:rsidRPr="004A1629" w:rsidRDefault="008F2AFD" w:rsidP="000C5E61">
      <w:pPr>
        <w:pStyle w:val="Default"/>
        <w:jc w:val="center"/>
        <w:rPr>
          <w:rFonts w:ascii="Arial Narrow" w:hAnsi="Arial Narrow" w:cstheme="minorHAnsi"/>
          <w:b/>
          <w:bCs/>
          <w:sz w:val="22"/>
          <w:szCs w:val="22"/>
        </w:rPr>
      </w:pPr>
    </w:p>
    <w:p w:rsidR="00947933" w:rsidRDefault="00947933" w:rsidP="000C5E61">
      <w:pPr>
        <w:pStyle w:val="Default"/>
        <w:jc w:val="center"/>
        <w:rPr>
          <w:rFonts w:ascii="Arial Narrow" w:hAnsi="Arial Narrow" w:cstheme="minorHAnsi"/>
          <w:b/>
          <w:bCs/>
          <w:sz w:val="22"/>
          <w:szCs w:val="22"/>
        </w:rPr>
      </w:pPr>
    </w:p>
    <w:p w:rsidR="004A1629" w:rsidRDefault="004A1629" w:rsidP="000C5E61">
      <w:pPr>
        <w:pStyle w:val="Default"/>
        <w:jc w:val="center"/>
        <w:rPr>
          <w:rFonts w:ascii="Arial Narrow" w:hAnsi="Arial Narrow" w:cstheme="minorHAnsi"/>
          <w:b/>
          <w:bCs/>
          <w:sz w:val="22"/>
          <w:szCs w:val="22"/>
        </w:rPr>
      </w:pPr>
    </w:p>
    <w:p w:rsidR="004A1629" w:rsidRDefault="004A1629" w:rsidP="000C5E61">
      <w:pPr>
        <w:pStyle w:val="Default"/>
        <w:jc w:val="center"/>
        <w:rPr>
          <w:rFonts w:ascii="Arial Narrow" w:hAnsi="Arial Narrow" w:cstheme="minorHAnsi"/>
          <w:b/>
          <w:bCs/>
          <w:sz w:val="22"/>
          <w:szCs w:val="22"/>
        </w:rPr>
      </w:pPr>
    </w:p>
    <w:p w:rsidR="004A1629" w:rsidRPr="004A1629" w:rsidRDefault="004A1629" w:rsidP="000C5E61">
      <w:pPr>
        <w:pStyle w:val="Default"/>
        <w:jc w:val="center"/>
        <w:rPr>
          <w:rFonts w:ascii="Arial Narrow" w:hAnsi="Arial Narrow" w:cstheme="minorHAnsi"/>
          <w:b/>
          <w:bCs/>
          <w:sz w:val="22"/>
          <w:szCs w:val="22"/>
        </w:rPr>
      </w:pPr>
    </w:p>
    <w:p w:rsidR="000C5E61" w:rsidRPr="004A1629" w:rsidRDefault="000C5E61" w:rsidP="00947933">
      <w:pPr>
        <w:pStyle w:val="Ivana"/>
        <w:jc w:val="left"/>
        <w:rPr>
          <w:rFonts w:ascii="Arial Narrow" w:hAnsi="Arial Narrow" w:cstheme="minorHAnsi"/>
          <w:sz w:val="23"/>
          <w:szCs w:val="23"/>
        </w:rPr>
      </w:pPr>
      <w:bookmarkStart w:id="2" w:name="_Toc374429388"/>
      <w:r w:rsidRPr="004A1629">
        <w:rPr>
          <w:rFonts w:ascii="Arial Narrow" w:hAnsi="Arial Narrow" w:cstheme="minorHAnsi"/>
          <w:sz w:val="23"/>
          <w:szCs w:val="23"/>
        </w:rPr>
        <w:lastRenderedPageBreak/>
        <w:t>ZÁKLADNÉ ÚDAJE O</w:t>
      </w:r>
      <w:r w:rsidR="00947933" w:rsidRPr="004A1629">
        <w:rPr>
          <w:rFonts w:ascii="Arial Narrow" w:hAnsi="Arial Narrow" w:cstheme="minorHAnsi"/>
          <w:sz w:val="23"/>
          <w:szCs w:val="23"/>
        </w:rPr>
        <w:t> </w:t>
      </w:r>
      <w:r w:rsidRPr="004A1629">
        <w:rPr>
          <w:rFonts w:ascii="Arial Narrow" w:hAnsi="Arial Narrow" w:cstheme="minorHAnsi"/>
          <w:sz w:val="23"/>
          <w:szCs w:val="23"/>
        </w:rPr>
        <w:t>SPOLOČNOSTI</w:t>
      </w:r>
      <w:r w:rsidR="00947933" w:rsidRPr="004A1629">
        <w:rPr>
          <w:rFonts w:ascii="Arial Narrow" w:hAnsi="Arial Narrow" w:cstheme="minorHAnsi"/>
          <w:sz w:val="23"/>
          <w:szCs w:val="23"/>
        </w:rPr>
        <w:t xml:space="preserve"> </w:t>
      </w:r>
      <w:r w:rsidRPr="004A1629">
        <w:rPr>
          <w:rFonts w:ascii="Arial Narrow" w:hAnsi="Arial Narrow" w:cstheme="minorHAnsi"/>
          <w:sz w:val="23"/>
          <w:szCs w:val="23"/>
        </w:rPr>
        <w:t>SLOVKARPATIA HOTEL, a.s.</w:t>
      </w:r>
      <w:bookmarkEnd w:id="2"/>
    </w:p>
    <w:p w:rsidR="000C5E61" w:rsidRPr="004A1629" w:rsidRDefault="000C5E61" w:rsidP="00947933">
      <w:pPr>
        <w:pStyle w:val="Default"/>
        <w:jc w:val="both"/>
        <w:rPr>
          <w:rFonts w:ascii="Arial Narrow" w:hAnsi="Arial Narrow" w:cstheme="minorHAnsi"/>
          <w:sz w:val="23"/>
          <w:szCs w:val="23"/>
        </w:rPr>
      </w:pP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b/>
          <w:bCs/>
          <w:sz w:val="23"/>
          <w:szCs w:val="23"/>
        </w:rPr>
        <w:t>Základné údaje o spoločnosti:</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 xml:space="preserve">Obchodné meno: </w:t>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t>SLOVKARPATIA HOTEL, a.s.</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 xml:space="preserve">Sídlo spoločnosti: </w:t>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t>Bajkalská 25/A</w:t>
      </w:r>
    </w:p>
    <w:p w:rsidR="000C5E61" w:rsidRPr="004A1629" w:rsidRDefault="000C5E61" w:rsidP="00947933">
      <w:pPr>
        <w:pStyle w:val="Default"/>
        <w:ind w:left="3540" w:firstLine="708"/>
        <w:jc w:val="both"/>
        <w:rPr>
          <w:rFonts w:ascii="Arial Narrow" w:hAnsi="Arial Narrow" w:cstheme="minorHAnsi"/>
          <w:sz w:val="23"/>
          <w:szCs w:val="23"/>
        </w:rPr>
      </w:pPr>
      <w:r w:rsidRPr="004A1629">
        <w:rPr>
          <w:rFonts w:ascii="Arial Narrow" w:hAnsi="Arial Narrow" w:cstheme="minorHAnsi"/>
          <w:sz w:val="23"/>
          <w:szCs w:val="23"/>
        </w:rPr>
        <w:t>Bratislava  825 03</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IČO:</w:t>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t>438 66 221</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 xml:space="preserve">Rok vzniku: </w:t>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t>2007</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 xml:space="preserve">Právna forma: </w:t>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t>Akciová spoločnosť</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 xml:space="preserve">Základné imanie: </w:t>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r>
      <w:r w:rsidRPr="004A1629">
        <w:rPr>
          <w:rFonts w:ascii="Arial Narrow" w:hAnsi="Arial Narrow" w:cstheme="minorHAnsi"/>
          <w:sz w:val="23"/>
          <w:szCs w:val="23"/>
        </w:rPr>
        <w:tab/>
        <w:t>33 193,91 EUR</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Zápis v OR:</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Obchodný register OS Bratislava I, oddiel: Sa, vložka číslo: 4336/B.</w:t>
      </w:r>
    </w:p>
    <w:p w:rsidR="000C5E61" w:rsidRPr="004A1629" w:rsidRDefault="000C5E61" w:rsidP="00947933">
      <w:pPr>
        <w:pStyle w:val="Default"/>
        <w:jc w:val="both"/>
        <w:rPr>
          <w:rFonts w:ascii="Arial Narrow" w:hAnsi="Arial Narrow" w:cstheme="minorHAnsi"/>
          <w:sz w:val="23"/>
          <w:szCs w:val="23"/>
        </w:rPr>
      </w:pPr>
      <w:r w:rsidRPr="004A1629">
        <w:rPr>
          <w:rFonts w:ascii="Arial Narrow" w:hAnsi="Arial Narrow" w:cstheme="minorHAnsi"/>
          <w:sz w:val="23"/>
          <w:szCs w:val="23"/>
        </w:rPr>
        <w:t>(ďalej len ,,spoločnosť“)</w:t>
      </w:r>
    </w:p>
    <w:p w:rsidR="000C5E61" w:rsidRPr="004A1629" w:rsidRDefault="000C5E61" w:rsidP="00947933">
      <w:pPr>
        <w:pStyle w:val="Default"/>
        <w:jc w:val="both"/>
        <w:rPr>
          <w:rFonts w:ascii="Arial Narrow" w:hAnsi="Arial Narrow" w:cstheme="minorHAnsi"/>
          <w:sz w:val="23"/>
          <w:szCs w:val="23"/>
        </w:rPr>
      </w:pPr>
    </w:p>
    <w:p w:rsidR="000C5E61" w:rsidRPr="004A1629" w:rsidRDefault="000C5E61" w:rsidP="00947933">
      <w:pPr>
        <w:pStyle w:val="Ivana"/>
        <w:jc w:val="both"/>
        <w:rPr>
          <w:rFonts w:ascii="Arial Narrow" w:hAnsi="Arial Narrow" w:cstheme="minorHAnsi"/>
          <w:color w:val="auto"/>
          <w:sz w:val="23"/>
          <w:szCs w:val="23"/>
        </w:rPr>
      </w:pPr>
      <w:bookmarkStart w:id="3" w:name="_Toc374429389"/>
      <w:r w:rsidRPr="004A1629">
        <w:rPr>
          <w:rFonts w:ascii="Arial Narrow" w:hAnsi="Arial Narrow" w:cstheme="minorHAnsi"/>
          <w:color w:val="auto"/>
          <w:sz w:val="23"/>
          <w:szCs w:val="23"/>
        </w:rPr>
        <w:t>HISTÓRIA SPOLOČNOSTI</w:t>
      </w:r>
      <w:bookmarkEnd w:id="3"/>
    </w:p>
    <w:p w:rsidR="000C5E61" w:rsidRPr="004A1629" w:rsidRDefault="000C5E61" w:rsidP="00947933">
      <w:pPr>
        <w:pStyle w:val="Default"/>
        <w:jc w:val="both"/>
        <w:rPr>
          <w:rFonts w:ascii="Arial Narrow" w:hAnsi="Arial Narrow" w:cstheme="minorHAnsi"/>
          <w:color w:val="auto"/>
          <w:sz w:val="23"/>
          <w:szCs w:val="23"/>
        </w:rPr>
      </w:pPr>
    </w:p>
    <w:p w:rsidR="00311EB9" w:rsidRPr="004A1629" w:rsidRDefault="000C5E61" w:rsidP="00947933">
      <w:pPr>
        <w:pStyle w:val="Default"/>
        <w:jc w:val="both"/>
        <w:rPr>
          <w:rFonts w:ascii="Arial Narrow" w:hAnsi="Arial Narrow" w:cstheme="minorHAnsi"/>
          <w:color w:val="auto"/>
          <w:sz w:val="22"/>
          <w:szCs w:val="22"/>
        </w:rPr>
      </w:pPr>
      <w:r w:rsidRPr="004A1629">
        <w:rPr>
          <w:rFonts w:ascii="Arial Narrow" w:hAnsi="Arial Narrow" w:cstheme="minorHAnsi"/>
          <w:color w:val="auto"/>
          <w:sz w:val="22"/>
          <w:szCs w:val="22"/>
        </w:rPr>
        <w:t xml:space="preserve">Spoločnosť bola založená zakladateľskou listinou </w:t>
      </w:r>
      <w:r w:rsidR="00311EB9" w:rsidRPr="004A1629">
        <w:rPr>
          <w:rFonts w:ascii="Arial Narrow" w:hAnsi="Arial Narrow" w:cstheme="minorHAnsi"/>
          <w:color w:val="auto"/>
          <w:sz w:val="22"/>
          <w:szCs w:val="22"/>
        </w:rPr>
        <w:t xml:space="preserve">zo dňa </w:t>
      </w:r>
      <w:r w:rsidRPr="004A1629">
        <w:rPr>
          <w:rFonts w:ascii="Arial Narrow" w:hAnsi="Arial Narrow" w:cstheme="minorHAnsi"/>
          <w:color w:val="auto"/>
          <w:sz w:val="22"/>
          <w:szCs w:val="22"/>
        </w:rPr>
        <w:t>20.11.2007 a do obchodného registra bola zapísaná dňa 08.12.2007</w:t>
      </w:r>
      <w:r w:rsidR="00025487" w:rsidRPr="004A1629">
        <w:rPr>
          <w:rFonts w:ascii="Arial Narrow" w:hAnsi="Arial Narrow" w:cstheme="minorHAnsi"/>
          <w:color w:val="auto"/>
          <w:sz w:val="22"/>
          <w:szCs w:val="22"/>
        </w:rPr>
        <w:t>, je prevádzkovateľom hotela Holiday Inn v Bratislave.</w:t>
      </w:r>
      <w:r w:rsidRPr="004A1629">
        <w:rPr>
          <w:rFonts w:ascii="Arial Narrow" w:hAnsi="Arial Narrow" w:cstheme="minorHAnsi"/>
          <w:color w:val="auto"/>
          <w:sz w:val="22"/>
          <w:szCs w:val="22"/>
        </w:rPr>
        <w:t xml:space="preserve"> </w:t>
      </w:r>
    </w:p>
    <w:p w:rsidR="006E4E6A" w:rsidRPr="004A1629" w:rsidRDefault="006E4E6A" w:rsidP="00947933">
      <w:pPr>
        <w:pStyle w:val="Default"/>
        <w:jc w:val="both"/>
        <w:rPr>
          <w:rFonts w:ascii="Arial Narrow" w:hAnsi="Arial Narrow" w:cstheme="minorHAnsi"/>
          <w:color w:val="auto"/>
          <w:sz w:val="22"/>
          <w:szCs w:val="22"/>
        </w:rPr>
      </w:pPr>
    </w:p>
    <w:p w:rsidR="00D0386C" w:rsidRPr="004A1629" w:rsidRDefault="00025487" w:rsidP="00947933">
      <w:pPr>
        <w:pStyle w:val="Default"/>
        <w:jc w:val="both"/>
        <w:rPr>
          <w:rFonts w:ascii="Arial Narrow" w:hAnsi="Arial Narrow" w:cstheme="minorHAnsi"/>
          <w:color w:val="auto"/>
          <w:sz w:val="22"/>
          <w:szCs w:val="22"/>
        </w:rPr>
      </w:pPr>
      <w:r w:rsidRPr="004A1629">
        <w:rPr>
          <w:rFonts w:ascii="Arial Narrow" w:hAnsi="Arial Narrow" w:cstheme="minorHAnsi"/>
          <w:color w:val="auto"/>
          <w:sz w:val="22"/>
          <w:szCs w:val="22"/>
        </w:rPr>
        <w:t>Primárnou oblasťou pôsobenia spoločnosti v roku 201</w:t>
      </w:r>
      <w:r w:rsidR="008C25DE">
        <w:rPr>
          <w:rFonts w:ascii="Arial Narrow" w:hAnsi="Arial Narrow" w:cstheme="minorHAnsi"/>
          <w:color w:val="auto"/>
          <w:sz w:val="22"/>
          <w:szCs w:val="22"/>
        </w:rPr>
        <w:t>5</w:t>
      </w:r>
      <w:r w:rsidRPr="004A1629">
        <w:rPr>
          <w:rFonts w:ascii="Arial Narrow" w:hAnsi="Arial Narrow" w:cstheme="minorHAnsi"/>
          <w:color w:val="auto"/>
          <w:sz w:val="22"/>
          <w:szCs w:val="22"/>
        </w:rPr>
        <w:t xml:space="preserve"> bolo poskytovanie ubytovacích, stravovacích a kongresových služieb v prevádzkovanom zariadení.</w:t>
      </w:r>
      <w:r w:rsidR="00D0386C" w:rsidRPr="004A1629">
        <w:rPr>
          <w:rFonts w:ascii="Arial Narrow" w:hAnsi="Arial Narrow" w:cstheme="minorHAnsi"/>
          <w:color w:val="auto"/>
          <w:sz w:val="22"/>
          <w:szCs w:val="22"/>
        </w:rPr>
        <w:t xml:space="preserve"> V roku 201</w:t>
      </w:r>
      <w:r w:rsidR="008C25DE">
        <w:rPr>
          <w:rFonts w:ascii="Arial Narrow" w:hAnsi="Arial Narrow" w:cstheme="minorHAnsi"/>
          <w:color w:val="auto"/>
          <w:sz w:val="22"/>
          <w:szCs w:val="22"/>
        </w:rPr>
        <w:t>5</w:t>
      </w:r>
      <w:r w:rsidR="00D0386C" w:rsidRPr="004A1629">
        <w:rPr>
          <w:rFonts w:ascii="Arial Narrow" w:hAnsi="Arial Narrow" w:cstheme="minorHAnsi"/>
          <w:color w:val="auto"/>
          <w:sz w:val="22"/>
          <w:szCs w:val="22"/>
        </w:rPr>
        <w:t xml:space="preserve"> spoločnosť nebola vystavená významným rizikám a neistotám presahujúcim rámec bežného podnikateľského rizika. V situácii rastúcej konkurencii na trhu hotelových služieb a pretrvávania globálnej kontrakcie  trhu, sa spoločnosť zamerala na udržanie si svojej tradičnej klientely. </w:t>
      </w:r>
      <w:r w:rsidR="00A83801" w:rsidRPr="004A1629">
        <w:rPr>
          <w:rFonts w:ascii="Arial Narrow" w:hAnsi="Arial Narrow" w:cstheme="minorHAnsi"/>
          <w:color w:val="auto"/>
          <w:sz w:val="22"/>
          <w:szCs w:val="22"/>
        </w:rPr>
        <w:t xml:space="preserve">Zároveň sa spoločnosť sústredila na zefektívňovanie jednotlivých činností, pri zachovaní rozsahu a kvality poskytovaných služieb.   </w:t>
      </w:r>
      <w:r w:rsidR="00D0386C" w:rsidRPr="004A1629">
        <w:rPr>
          <w:rFonts w:ascii="Arial Narrow" w:hAnsi="Arial Narrow" w:cstheme="minorHAnsi"/>
          <w:color w:val="auto"/>
          <w:sz w:val="22"/>
          <w:szCs w:val="22"/>
        </w:rPr>
        <w:t>Pre rok 201</w:t>
      </w:r>
      <w:r w:rsidR="008C25DE">
        <w:rPr>
          <w:rFonts w:ascii="Arial Narrow" w:hAnsi="Arial Narrow" w:cstheme="minorHAnsi"/>
          <w:color w:val="auto"/>
          <w:sz w:val="22"/>
          <w:szCs w:val="22"/>
        </w:rPr>
        <w:t>6</w:t>
      </w:r>
      <w:r w:rsidR="00D0386C" w:rsidRPr="004A1629">
        <w:rPr>
          <w:rFonts w:ascii="Arial Narrow" w:hAnsi="Arial Narrow" w:cstheme="minorHAnsi"/>
          <w:color w:val="auto"/>
          <w:sz w:val="22"/>
          <w:szCs w:val="22"/>
        </w:rPr>
        <w:t>, ani pre budúce obdobia spoločnosť neplánuje zásadné zmeny v zameraní svojej podnikateľskej činnosti.</w:t>
      </w:r>
    </w:p>
    <w:p w:rsidR="00D0386C" w:rsidRPr="004A1629" w:rsidRDefault="00D0386C" w:rsidP="00947933">
      <w:pPr>
        <w:pStyle w:val="Default"/>
        <w:jc w:val="both"/>
        <w:rPr>
          <w:rFonts w:ascii="Arial Narrow" w:hAnsi="Arial Narrow" w:cstheme="minorHAnsi"/>
          <w:color w:val="auto"/>
          <w:sz w:val="22"/>
          <w:szCs w:val="22"/>
        </w:rPr>
      </w:pPr>
    </w:p>
    <w:p w:rsidR="000C5E61" w:rsidRPr="004A1629" w:rsidRDefault="000C5E61" w:rsidP="00947933">
      <w:pPr>
        <w:pStyle w:val="Ivana"/>
        <w:jc w:val="both"/>
        <w:rPr>
          <w:rFonts w:ascii="Arial Narrow" w:hAnsi="Arial Narrow" w:cstheme="minorHAnsi"/>
          <w:color w:val="auto"/>
          <w:sz w:val="22"/>
          <w:szCs w:val="22"/>
        </w:rPr>
      </w:pPr>
      <w:bookmarkStart w:id="4" w:name="_Toc374429390"/>
      <w:r w:rsidRPr="004A1629">
        <w:rPr>
          <w:rFonts w:ascii="Arial Narrow" w:hAnsi="Arial Narrow" w:cstheme="minorHAnsi"/>
          <w:color w:val="auto"/>
          <w:sz w:val="22"/>
          <w:szCs w:val="22"/>
        </w:rPr>
        <w:t>ÚDAJE O PREDMETE ČINNOSTI</w:t>
      </w:r>
      <w:bookmarkEnd w:id="4"/>
    </w:p>
    <w:p w:rsidR="00311EB9" w:rsidRPr="004A1629" w:rsidRDefault="00311EB9" w:rsidP="00947933">
      <w:pPr>
        <w:pStyle w:val="Default"/>
        <w:jc w:val="both"/>
        <w:rPr>
          <w:rFonts w:ascii="Arial Narrow" w:hAnsi="Arial Narrow" w:cstheme="minorHAnsi"/>
          <w:color w:val="auto"/>
          <w:sz w:val="22"/>
          <w:szCs w:val="22"/>
        </w:rPr>
      </w:pPr>
    </w:p>
    <w:p w:rsidR="000C5E61" w:rsidRPr="004A1629" w:rsidRDefault="000C5E61" w:rsidP="00947933">
      <w:pPr>
        <w:pStyle w:val="Default"/>
        <w:jc w:val="both"/>
        <w:rPr>
          <w:rFonts w:ascii="Arial Narrow" w:hAnsi="Arial Narrow" w:cstheme="minorHAnsi"/>
          <w:color w:val="auto"/>
          <w:sz w:val="22"/>
          <w:szCs w:val="22"/>
        </w:rPr>
      </w:pPr>
      <w:r w:rsidRPr="004A1629">
        <w:rPr>
          <w:rFonts w:ascii="Arial Narrow" w:hAnsi="Arial Narrow" w:cstheme="minorHAnsi"/>
          <w:color w:val="auto"/>
          <w:sz w:val="22"/>
          <w:szCs w:val="22"/>
        </w:rPr>
        <w:t>Predmetom činnosti spoločnosti je:</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ubytovacie služby v ubytovacích zariadeniach s prevádzkovaním pohostinských činností v týchto zariadeniach</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predaj na priamu konzumáciu nealkoholických a priemyselne vyrábaných mliečnych nápojov, koktailov, piva, vína a destilátov</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predaj na priamu konzumáciu tepelne a rýchlo upravovaných mäsových výrobkov a obvyklých príloh, ako aj bezmäsitých jedál</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upratovacie práce</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pranie, čistenie a žehlenie odevov</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prevádzkovanie garáží a odstavných plôch pre motorové vozidlá za podmienky, že garáže alebo odstavné plochy slúžia na umiestnenie najmenej 5 vozidiel patriacich iným osobám než majiteľovi alebo nájomcovi nehnuteľnosti</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prevádzkovanie zariadení slúžiacich na regeneráciu a rekondíciu</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prevádzkovanie internetovej čitárne</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kopírovacie služby</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prenájom strojov a prístrojov</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sprostredkovateľská činnosť v oblasti obchodu, služieb a výroby v rozsahu voľnej živnosti</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reklamná a propagačná činnosť</w:t>
      </w:r>
    </w:p>
    <w:p w:rsidR="00311EB9" w:rsidRPr="004A1629" w:rsidRDefault="00311EB9" w:rsidP="00947933">
      <w:pPr>
        <w:pStyle w:val="Default"/>
        <w:numPr>
          <w:ilvl w:val="0"/>
          <w:numId w:val="3"/>
        </w:numPr>
        <w:jc w:val="both"/>
        <w:rPr>
          <w:rFonts w:ascii="Arial Narrow" w:hAnsi="Arial Narrow" w:cstheme="minorHAnsi"/>
          <w:sz w:val="22"/>
          <w:szCs w:val="22"/>
        </w:rPr>
      </w:pPr>
      <w:proofErr w:type="spellStart"/>
      <w:r w:rsidRPr="004A1629">
        <w:rPr>
          <w:rFonts w:ascii="Arial Narrow" w:eastAsia="Times New Roman" w:hAnsi="Arial Narrow" w:cstheme="minorHAnsi"/>
          <w:sz w:val="22"/>
          <w:szCs w:val="22"/>
        </w:rPr>
        <w:t>faktoring</w:t>
      </w:r>
      <w:proofErr w:type="spellEnd"/>
      <w:r w:rsidRPr="004A1629">
        <w:rPr>
          <w:rFonts w:ascii="Arial Narrow" w:eastAsia="Times New Roman" w:hAnsi="Arial Narrow" w:cstheme="minorHAnsi"/>
          <w:sz w:val="22"/>
          <w:szCs w:val="22"/>
        </w:rPr>
        <w:t xml:space="preserve"> a forfaiting v rozsahu voľnej živnosti</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organizovanie a usporadúvanie výstavných, kultúrnych a spoločenských podujatí, kurzov, seminárov, školení</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nákladná cestná doprava vykonávaná vozidlami s celkovou hmotnosťou do 3,5 t vrátane prípojného vozidla</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pohostinská činnosť a výroba hotových jedál pre výdajne</w:t>
      </w:r>
    </w:p>
    <w:p w:rsidR="00311EB9" w:rsidRPr="004A1629" w:rsidRDefault="00311EB9" w:rsidP="00947933">
      <w:pPr>
        <w:pStyle w:val="Default"/>
        <w:numPr>
          <w:ilvl w:val="0"/>
          <w:numId w:val="3"/>
        </w:numPr>
        <w:jc w:val="both"/>
        <w:rPr>
          <w:rFonts w:ascii="Arial Narrow" w:hAnsi="Arial Narrow" w:cstheme="minorHAnsi"/>
          <w:sz w:val="22"/>
          <w:szCs w:val="22"/>
        </w:rPr>
      </w:pPr>
      <w:r w:rsidRPr="004A1629">
        <w:rPr>
          <w:rFonts w:ascii="Arial Narrow" w:eastAsia="Times New Roman" w:hAnsi="Arial Narrow" w:cstheme="minorHAnsi"/>
          <w:sz w:val="22"/>
          <w:szCs w:val="22"/>
        </w:rPr>
        <w:t>prenájom hnuteľných vecí</w:t>
      </w:r>
    </w:p>
    <w:p w:rsidR="00311EB9" w:rsidRPr="004A1629" w:rsidRDefault="00311EB9" w:rsidP="00947933">
      <w:pPr>
        <w:pStyle w:val="Default"/>
        <w:jc w:val="both"/>
        <w:rPr>
          <w:rFonts w:ascii="Arial Narrow" w:hAnsi="Arial Narrow" w:cstheme="minorHAnsi"/>
          <w:sz w:val="22"/>
          <w:szCs w:val="22"/>
        </w:rPr>
      </w:pPr>
    </w:p>
    <w:p w:rsidR="000C5E61" w:rsidRPr="004A1629" w:rsidRDefault="000C5E61" w:rsidP="00947933">
      <w:pPr>
        <w:pStyle w:val="Ivana"/>
        <w:jc w:val="both"/>
        <w:rPr>
          <w:rFonts w:ascii="Arial Narrow" w:hAnsi="Arial Narrow" w:cstheme="minorHAnsi"/>
          <w:sz w:val="22"/>
          <w:szCs w:val="22"/>
        </w:rPr>
      </w:pPr>
      <w:bookmarkStart w:id="5" w:name="_Toc374429391"/>
      <w:r w:rsidRPr="004A1629">
        <w:rPr>
          <w:rFonts w:ascii="Arial Narrow" w:hAnsi="Arial Narrow" w:cstheme="minorHAnsi"/>
          <w:sz w:val="22"/>
          <w:szCs w:val="22"/>
        </w:rPr>
        <w:t>ZOZNAM ČLENOV ŠTATUTÁRNYCH, DOZORNÝCH A INÝCH ORGÁNOV SPOLOČNOSTI V ÚČTOVNOM OBDOBÍ</w:t>
      </w:r>
      <w:bookmarkEnd w:id="5"/>
    </w:p>
    <w:p w:rsidR="00311EB9" w:rsidRPr="004A1629" w:rsidRDefault="00311EB9" w:rsidP="00947933">
      <w:pPr>
        <w:pStyle w:val="Ivana"/>
        <w:jc w:val="both"/>
        <w:rPr>
          <w:rFonts w:ascii="Arial Narrow" w:hAnsi="Arial Narrow" w:cstheme="minorHAnsi"/>
          <w:sz w:val="22"/>
          <w:szCs w:val="22"/>
        </w:rPr>
      </w:pPr>
    </w:p>
    <w:p w:rsidR="000C5E61" w:rsidRPr="004A1629" w:rsidRDefault="000C5E61" w:rsidP="00947933">
      <w:pPr>
        <w:pStyle w:val="Default"/>
        <w:jc w:val="both"/>
        <w:rPr>
          <w:rFonts w:ascii="Arial Narrow" w:hAnsi="Arial Narrow" w:cstheme="minorHAnsi"/>
          <w:sz w:val="22"/>
          <w:szCs w:val="22"/>
        </w:rPr>
      </w:pPr>
      <w:r w:rsidRPr="004A1629">
        <w:rPr>
          <w:rFonts w:ascii="Arial Narrow" w:hAnsi="Arial Narrow" w:cstheme="minorHAnsi"/>
          <w:sz w:val="22"/>
          <w:szCs w:val="22"/>
        </w:rPr>
        <w:t>Štatutárny orgán:</w:t>
      </w:r>
    </w:p>
    <w:p w:rsidR="000C5E61" w:rsidRPr="004A1629" w:rsidRDefault="000C5E61" w:rsidP="00947933">
      <w:pPr>
        <w:pStyle w:val="Default"/>
        <w:jc w:val="both"/>
        <w:rPr>
          <w:rFonts w:ascii="Arial Narrow" w:hAnsi="Arial Narrow" w:cstheme="minorHAnsi"/>
          <w:b/>
          <w:bCs/>
          <w:color w:val="auto"/>
          <w:sz w:val="22"/>
          <w:szCs w:val="22"/>
        </w:rPr>
      </w:pPr>
      <w:r w:rsidRPr="004A1629">
        <w:rPr>
          <w:rFonts w:ascii="Arial Narrow" w:hAnsi="Arial Narrow" w:cstheme="minorHAnsi"/>
          <w:b/>
          <w:bCs/>
          <w:color w:val="auto"/>
          <w:sz w:val="22"/>
          <w:szCs w:val="22"/>
        </w:rPr>
        <w:t>Predstavenstvo:</w:t>
      </w:r>
    </w:p>
    <w:p w:rsidR="006A4174" w:rsidRPr="004A1629" w:rsidRDefault="006A4174" w:rsidP="0019488D">
      <w:pPr>
        <w:spacing w:after="0" w:line="240" w:lineRule="auto"/>
        <w:rPr>
          <w:rFonts w:ascii="Arial Narrow" w:eastAsia="Times New Roman" w:hAnsi="Arial Narrow" w:cstheme="minorHAnsi"/>
        </w:rPr>
      </w:pPr>
      <w:r w:rsidRPr="004A1629">
        <w:rPr>
          <w:rFonts w:ascii="Arial Narrow" w:eastAsia="Times New Roman" w:hAnsi="Arial Narrow" w:cstheme="minorHAnsi"/>
          <w:u w:val="single"/>
        </w:rPr>
        <w:t xml:space="preserve">Ing. </w:t>
      </w:r>
      <w:hyperlink r:id="rId8" w:history="1">
        <w:r w:rsidR="00947933" w:rsidRPr="004A1629">
          <w:rPr>
            <w:rFonts w:ascii="Arial Narrow" w:hAnsi="Arial Narrow" w:cstheme="minorHAnsi"/>
            <w:u w:val="single"/>
          </w:rPr>
          <w:t xml:space="preserve"> </w:t>
        </w:r>
        <w:r w:rsidR="00947933" w:rsidRPr="004A1629">
          <w:rPr>
            <w:rFonts w:ascii="Arial Narrow" w:eastAsia="Times New Roman" w:hAnsi="Arial Narrow" w:cstheme="minorHAnsi"/>
            <w:u w:val="single"/>
          </w:rPr>
          <w:t xml:space="preserve">Michal </w:t>
        </w:r>
        <w:r w:rsidRPr="004A1629">
          <w:rPr>
            <w:rFonts w:ascii="Arial Narrow" w:eastAsia="Times New Roman" w:hAnsi="Arial Narrow" w:cstheme="minorHAnsi"/>
            <w:u w:val="single"/>
          </w:rPr>
          <w:t xml:space="preserve">Ďurica </w:t>
        </w:r>
      </w:hyperlink>
      <w:r w:rsidRPr="004A1629">
        <w:rPr>
          <w:rFonts w:ascii="Arial Narrow" w:eastAsia="Times New Roman" w:hAnsi="Arial Narrow" w:cstheme="minorHAnsi"/>
        </w:rPr>
        <w:t>- predseda predstavenstva (</w:t>
      </w:r>
      <w:r w:rsidR="00947933" w:rsidRPr="004A1629">
        <w:rPr>
          <w:rFonts w:ascii="Arial Narrow" w:eastAsia="Times New Roman" w:hAnsi="Arial Narrow" w:cstheme="minorHAnsi"/>
        </w:rPr>
        <w:t xml:space="preserve">funkcia predsedu na zákl. </w:t>
      </w:r>
      <w:proofErr w:type="spellStart"/>
      <w:r w:rsidR="00947933" w:rsidRPr="004A1629">
        <w:rPr>
          <w:rFonts w:ascii="Arial Narrow" w:eastAsia="Times New Roman" w:hAnsi="Arial Narrow" w:cstheme="minorHAnsi"/>
        </w:rPr>
        <w:t>rozh</w:t>
      </w:r>
      <w:proofErr w:type="spellEnd"/>
      <w:r w:rsidR="00947933" w:rsidRPr="004A1629">
        <w:rPr>
          <w:rFonts w:ascii="Arial Narrow" w:eastAsia="Times New Roman" w:hAnsi="Arial Narrow" w:cstheme="minorHAnsi"/>
        </w:rPr>
        <w:t>. valného zhromaždenia zo dňa 29</w:t>
      </w:r>
      <w:r w:rsidRPr="004A1629">
        <w:rPr>
          <w:rFonts w:ascii="Arial Narrow" w:eastAsia="Times New Roman" w:hAnsi="Arial Narrow" w:cstheme="minorHAnsi"/>
        </w:rPr>
        <w:t>.</w:t>
      </w:r>
      <w:r w:rsidR="00947933" w:rsidRPr="004A1629">
        <w:rPr>
          <w:rFonts w:ascii="Arial Narrow" w:eastAsia="Times New Roman" w:hAnsi="Arial Narrow" w:cstheme="minorHAnsi"/>
        </w:rPr>
        <w:t>04</w:t>
      </w:r>
      <w:r w:rsidRPr="004A1629">
        <w:rPr>
          <w:rFonts w:ascii="Arial Narrow" w:eastAsia="Times New Roman" w:hAnsi="Arial Narrow" w:cstheme="minorHAnsi"/>
        </w:rPr>
        <w:t>.20</w:t>
      </w:r>
      <w:r w:rsidR="00947933" w:rsidRPr="004A1629">
        <w:rPr>
          <w:rFonts w:ascii="Arial Narrow" w:eastAsia="Times New Roman" w:hAnsi="Arial Narrow" w:cstheme="minorHAnsi"/>
        </w:rPr>
        <w:t>13</w:t>
      </w:r>
      <w:r w:rsidRPr="004A1629">
        <w:rPr>
          <w:rFonts w:ascii="Arial Narrow" w:eastAsia="Times New Roman" w:hAnsi="Arial Narrow" w:cstheme="minorHAnsi"/>
        </w:rPr>
        <w:t>)</w:t>
      </w:r>
    </w:p>
    <w:p w:rsidR="006A4174" w:rsidRDefault="006A4174" w:rsidP="0019488D">
      <w:pPr>
        <w:pStyle w:val="Default"/>
        <w:rPr>
          <w:rFonts w:ascii="Arial Narrow" w:eastAsia="Times New Roman" w:hAnsi="Arial Narrow" w:cstheme="minorHAnsi"/>
          <w:color w:val="auto"/>
          <w:sz w:val="22"/>
          <w:szCs w:val="22"/>
        </w:rPr>
      </w:pPr>
      <w:r w:rsidRPr="004A1629">
        <w:rPr>
          <w:rFonts w:ascii="Arial Narrow" w:eastAsia="Times New Roman" w:hAnsi="Arial Narrow" w:cstheme="minorHAnsi"/>
          <w:color w:val="auto"/>
          <w:sz w:val="22"/>
          <w:szCs w:val="22"/>
        </w:rPr>
        <w:t xml:space="preserve">Muškátová 790/24 </w:t>
      </w:r>
      <w:r w:rsidRPr="004A1629">
        <w:rPr>
          <w:rFonts w:ascii="Arial Narrow" w:eastAsia="Times New Roman" w:hAnsi="Arial Narrow" w:cstheme="minorHAnsi"/>
          <w:color w:val="auto"/>
          <w:sz w:val="22"/>
          <w:szCs w:val="22"/>
        </w:rPr>
        <w:br/>
        <w:t>Bratislava 821 01</w:t>
      </w:r>
    </w:p>
    <w:p w:rsidR="00AD2194" w:rsidRDefault="00AD2194" w:rsidP="0019488D">
      <w:pPr>
        <w:pStyle w:val="Default"/>
        <w:rPr>
          <w:rFonts w:ascii="Arial Narrow" w:eastAsia="Times New Roman" w:hAnsi="Arial Narrow" w:cstheme="minorHAnsi"/>
          <w:color w:val="auto"/>
          <w:sz w:val="22"/>
          <w:szCs w:val="22"/>
        </w:rPr>
      </w:pPr>
    </w:p>
    <w:tbl>
      <w:tblPr>
        <w:tblW w:w="5285" w:type="pct"/>
        <w:tblCellSpacing w:w="15" w:type="dxa"/>
        <w:tblCellMar>
          <w:top w:w="15" w:type="dxa"/>
          <w:left w:w="15" w:type="dxa"/>
          <w:bottom w:w="15" w:type="dxa"/>
          <w:right w:w="15" w:type="dxa"/>
        </w:tblCellMar>
        <w:tblLook w:val="04A0" w:firstRow="1" w:lastRow="0" w:firstColumn="1" w:lastColumn="0" w:noHBand="0" w:noVBand="1"/>
      </w:tblPr>
      <w:tblGrid>
        <w:gridCol w:w="6064"/>
        <w:gridCol w:w="3525"/>
      </w:tblGrid>
      <w:tr w:rsidR="00AD2194" w:rsidRPr="00AD2194" w:rsidTr="00AD2194">
        <w:trPr>
          <w:tblCellSpacing w:w="15" w:type="dxa"/>
        </w:trPr>
        <w:tc>
          <w:tcPr>
            <w:tcW w:w="3138" w:type="pct"/>
            <w:vAlign w:val="center"/>
            <w:hideMark/>
          </w:tcPr>
          <w:p w:rsidR="00AD2194" w:rsidRDefault="00AD2194" w:rsidP="00AD2194">
            <w:pPr>
              <w:spacing w:after="0" w:line="240" w:lineRule="auto"/>
              <w:rPr>
                <w:rFonts w:ascii="Arial Narrow" w:eastAsia="Times New Roman" w:hAnsi="Arial Narrow" w:cs="Times New Roman"/>
              </w:rPr>
            </w:pPr>
            <w:r w:rsidRPr="00AD2194">
              <w:rPr>
                <w:rFonts w:ascii="Arial Narrow" w:eastAsia="Times New Roman" w:hAnsi="Arial Narrow" w:cs="Times New Roman"/>
              </w:rPr>
              <w:t xml:space="preserve">Ing. </w:t>
            </w:r>
            <w:hyperlink r:id="rId9" w:history="1">
              <w:r w:rsidRPr="00AD2194">
                <w:rPr>
                  <w:rFonts w:ascii="Arial Narrow" w:eastAsia="Times New Roman" w:hAnsi="Arial Narrow" w:cs="Times New Roman"/>
                  <w:u w:val="single"/>
                </w:rPr>
                <w:t xml:space="preserve">Zuzana </w:t>
              </w:r>
              <w:proofErr w:type="spellStart"/>
              <w:r w:rsidRPr="00AD2194">
                <w:rPr>
                  <w:rFonts w:ascii="Arial Narrow" w:eastAsia="Times New Roman" w:hAnsi="Arial Narrow" w:cs="Times New Roman"/>
                  <w:u w:val="single"/>
                </w:rPr>
                <w:t>Halušťoková</w:t>
              </w:r>
              <w:proofErr w:type="spellEnd"/>
              <w:r w:rsidRPr="00AD2194">
                <w:rPr>
                  <w:rFonts w:ascii="Arial Narrow" w:eastAsia="Times New Roman" w:hAnsi="Arial Narrow" w:cs="Times New Roman"/>
                  <w:u w:val="single"/>
                </w:rPr>
                <w:t xml:space="preserve"> </w:t>
              </w:r>
            </w:hyperlink>
            <w:r>
              <w:rPr>
                <w:rFonts w:ascii="Arial Narrow" w:eastAsia="Times New Roman" w:hAnsi="Arial Narrow" w:cs="Times New Roman"/>
              </w:rPr>
              <w:t xml:space="preserve"> </w:t>
            </w:r>
          </w:p>
          <w:p w:rsidR="00AD2194" w:rsidRPr="00AD2194" w:rsidRDefault="00AD2194" w:rsidP="00AD2194">
            <w:pPr>
              <w:spacing w:after="0" w:line="240" w:lineRule="auto"/>
              <w:rPr>
                <w:rFonts w:ascii="Arial Narrow" w:eastAsia="Times New Roman" w:hAnsi="Arial Narrow" w:cs="Times New Roman"/>
              </w:rPr>
            </w:pPr>
            <w:r w:rsidRPr="00AD2194">
              <w:rPr>
                <w:rFonts w:ascii="Arial Narrow" w:eastAsia="Times New Roman" w:hAnsi="Arial Narrow" w:cs="Times New Roman"/>
              </w:rPr>
              <w:t xml:space="preserve">Košická 4980/12 </w:t>
            </w:r>
            <w:r w:rsidRPr="00AD2194">
              <w:rPr>
                <w:rFonts w:ascii="Arial Narrow" w:eastAsia="Times New Roman" w:hAnsi="Arial Narrow" w:cs="Times New Roman"/>
              </w:rPr>
              <w:br/>
              <w:t xml:space="preserve">Bratislava - mestská časť Ružinov 821 09 </w:t>
            </w:r>
            <w:r w:rsidRPr="00AD2194">
              <w:rPr>
                <w:rFonts w:ascii="Arial Narrow" w:eastAsia="Times New Roman" w:hAnsi="Arial Narrow" w:cs="Times New Roman"/>
              </w:rPr>
              <w:br/>
              <w:t xml:space="preserve">Vznik funkcie: 18.03.2016 </w:t>
            </w:r>
          </w:p>
        </w:tc>
        <w:tc>
          <w:tcPr>
            <w:tcW w:w="1815" w:type="pct"/>
            <w:hideMark/>
          </w:tcPr>
          <w:p w:rsidR="00AD2194" w:rsidRPr="00AD2194" w:rsidRDefault="00AD2194" w:rsidP="00AD2194">
            <w:pPr>
              <w:spacing w:after="0" w:line="240" w:lineRule="auto"/>
              <w:rPr>
                <w:rFonts w:ascii="Arial Narrow" w:eastAsia="Times New Roman" w:hAnsi="Arial Narrow" w:cs="Times New Roman"/>
              </w:rPr>
            </w:pPr>
            <w:r w:rsidRPr="00AD2194">
              <w:rPr>
                <w:rFonts w:ascii="Arial Narrow" w:eastAsia="Times New Roman" w:hAnsi="Arial Narrow" w:cs="Times New Roman"/>
              </w:rPr>
              <w:t>  (od: 23.06.2016</w:t>
            </w:r>
            <w:r>
              <w:rPr>
                <w:rFonts w:ascii="Arial Narrow" w:eastAsia="Times New Roman" w:hAnsi="Arial Narrow" w:cs="Times New Roman"/>
              </w:rPr>
              <w:t>)</w:t>
            </w:r>
          </w:p>
        </w:tc>
      </w:tr>
    </w:tbl>
    <w:p w:rsidR="00AD2194" w:rsidRPr="004A1629" w:rsidRDefault="00AD2194" w:rsidP="0019488D">
      <w:pPr>
        <w:pStyle w:val="Default"/>
        <w:rPr>
          <w:rFonts w:ascii="Arial Narrow" w:hAnsi="Arial Narrow" w:cstheme="minorHAnsi"/>
          <w:color w:val="auto"/>
          <w:sz w:val="22"/>
          <w:szCs w:val="22"/>
        </w:rPr>
      </w:pPr>
    </w:p>
    <w:p w:rsidR="00311EB9" w:rsidRPr="004A1629" w:rsidRDefault="00311EB9" w:rsidP="00947933">
      <w:pPr>
        <w:spacing w:after="0" w:line="240" w:lineRule="auto"/>
        <w:jc w:val="both"/>
        <w:rPr>
          <w:rFonts w:ascii="Arial Narrow" w:eastAsia="Times New Roman" w:hAnsi="Arial Narrow" w:cstheme="minorHAnsi"/>
          <w:vanish/>
          <w:color w:val="000000"/>
        </w:rPr>
      </w:pPr>
    </w:p>
    <w:p w:rsidR="00311EB9" w:rsidRPr="004A1629" w:rsidRDefault="00311EB9" w:rsidP="00947933">
      <w:pPr>
        <w:spacing w:after="0" w:line="240" w:lineRule="auto"/>
        <w:jc w:val="both"/>
        <w:rPr>
          <w:rFonts w:ascii="Arial Narrow" w:eastAsia="Times New Roman" w:hAnsi="Arial Narrow" w:cstheme="minorHAnsi"/>
          <w:vanish/>
          <w:color w:val="000000"/>
        </w:rPr>
      </w:pPr>
    </w:p>
    <w:p w:rsidR="00311EB9" w:rsidRPr="004A1629" w:rsidRDefault="00311EB9" w:rsidP="00947933">
      <w:pPr>
        <w:pStyle w:val="Default"/>
        <w:jc w:val="both"/>
        <w:rPr>
          <w:rFonts w:ascii="Arial Narrow" w:hAnsi="Arial Narrow" w:cstheme="minorHAnsi"/>
          <w:sz w:val="22"/>
          <w:szCs w:val="22"/>
        </w:rPr>
      </w:pPr>
    </w:p>
    <w:p w:rsidR="000C5E61" w:rsidRPr="004A1629" w:rsidRDefault="000C5E61" w:rsidP="00947933">
      <w:pPr>
        <w:pStyle w:val="Default"/>
        <w:jc w:val="both"/>
        <w:rPr>
          <w:rFonts w:ascii="Arial Narrow" w:hAnsi="Arial Narrow" w:cstheme="minorHAnsi"/>
          <w:sz w:val="22"/>
          <w:szCs w:val="22"/>
        </w:rPr>
      </w:pPr>
      <w:r w:rsidRPr="004A1629">
        <w:rPr>
          <w:rFonts w:ascii="Arial Narrow" w:hAnsi="Arial Narrow" w:cstheme="minorHAnsi"/>
          <w:b/>
          <w:bCs/>
          <w:sz w:val="22"/>
          <w:szCs w:val="22"/>
        </w:rPr>
        <w:t>Konanie menom spoločnosti:</w:t>
      </w:r>
    </w:p>
    <w:p w:rsidR="006A4174" w:rsidRPr="004A1629" w:rsidRDefault="006A4174" w:rsidP="00947933">
      <w:pPr>
        <w:pStyle w:val="Default"/>
        <w:jc w:val="both"/>
        <w:rPr>
          <w:rFonts w:ascii="Arial Narrow" w:hAnsi="Arial Narrow" w:cstheme="minorHAnsi"/>
          <w:sz w:val="22"/>
          <w:szCs w:val="22"/>
        </w:rPr>
      </w:pPr>
      <w:r w:rsidRPr="004A1629">
        <w:rPr>
          <w:rStyle w:val="ra"/>
          <w:rFonts w:ascii="Arial Narrow" w:hAnsi="Arial Narrow" w:cstheme="minorHAnsi"/>
          <w:sz w:val="22"/>
          <w:szCs w:val="22"/>
        </w:rPr>
        <w:t>Za spoločnosť sú oprávnení konať a listiny podpisovať vždy aspoň dvaja členovia predstavenstva. Podpisovanie za spoločnosť sa vykoná tak, že k vytlačenému alebo napísanému obchodnému menu spoločnosti, menám a funkciám pripoja podpisujúci svoj vlastnoručný podpis.</w:t>
      </w:r>
    </w:p>
    <w:p w:rsidR="0019488D" w:rsidRPr="004A1629" w:rsidRDefault="0019488D" w:rsidP="00947933">
      <w:pPr>
        <w:pStyle w:val="Default"/>
        <w:jc w:val="both"/>
        <w:rPr>
          <w:rFonts w:ascii="Arial Narrow" w:hAnsi="Arial Narrow" w:cstheme="minorHAnsi"/>
          <w:b/>
          <w:bCs/>
          <w:sz w:val="22"/>
          <w:szCs w:val="22"/>
        </w:rPr>
      </w:pPr>
    </w:p>
    <w:p w:rsidR="000C5E61" w:rsidRPr="004A1629" w:rsidRDefault="000C5E61" w:rsidP="00947933">
      <w:pPr>
        <w:pStyle w:val="Default"/>
        <w:jc w:val="both"/>
        <w:rPr>
          <w:rFonts w:ascii="Arial Narrow" w:hAnsi="Arial Narrow" w:cstheme="minorHAnsi"/>
          <w:sz w:val="22"/>
          <w:szCs w:val="22"/>
        </w:rPr>
      </w:pPr>
      <w:r w:rsidRPr="004A1629">
        <w:rPr>
          <w:rFonts w:ascii="Arial Narrow" w:hAnsi="Arial Narrow" w:cstheme="minorHAnsi"/>
          <w:b/>
          <w:bCs/>
          <w:sz w:val="22"/>
          <w:szCs w:val="22"/>
        </w:rPr>
        <w:t>Dozorná rada:</w:t>
      </w:r>
    </w:p>
    <w:p w:rsidR="006A4174" w:rsidRPr="004A1629" w:rsidRDefault="00EC736B" w:rsidP="00947933">
      <w:pPr>
        <w:pStyle w:val="Default"/>
        <w:rPr>
          <w:rFonts w:ascii="Arial Narrow" w:eastAsia="Times New Roman" w:hAnsi="Arial Narrow" w:cstheme="minorHAnsi"/>
          <w:color w:val="auto"/>
          <w:sz w:val="22"/>
          <w:szCs w:val="22"/>
        </w:rPr>
      </w:pPr>
      <w:hyperlink r:id="rId10" w:history="1">
        <w:r w:rsidR="006A4174" w:rsidRPr="004A1629">
          <w:rPr>
            <w:rFonts w:ascii="Arial Narrow" w:eastAsia="Times New Roman" w:hAnsi="Arial Narrow" w:cstheme="minorHAnsi"/>
            <w:color w:val="auto"/>
            <w:sz w:val="22"/>
            <w:szCs w:val="22"/>
            <w:u w:val="single"/>
          </w:rPr>
          <w:t xml:space="preserve">Libuša </w:t>
        </w:r>
        <w:proofErr w:type="spellStart"/>
        <w:r w:rsidR="006A4174" w:rsidRPr="004A1629">
          <w:rPr>
            <w:rFonts w:ascii="Arial Narrow" w:eastAsia="Times New Roman" w:hAnsi="Arial Narrow" w:cstheme="minorHAnsi"/>
            <w:color w:val="auto"/>
            <w:sz w:val="22"/>
            <w:szCs w:val="22"/>
            <w:u w:val="single"/>
          </w:rPr>
          <w:t>Šmálová</w:t>
        </w:r>
        <w:proofErr w:type="spellEnd"/>
        <w:r w:rsidR="006A4174" w:rsidRPr="004A1629">
          <w:rPr>
            <w:rFonts w:ascii="Arial Narrow" w:eastAsia="Times New Roman" w:hAnsi="Arial Narrow" w:cstheme="minorHAnsi"/>
            <w:color w:val="auto"/>
            <w:sz w:val="22"/>
            <w:szCs w:val="22"/>
            <w:u w:val="single"/>
          </w:rPr>
          <w:t xml:space="preserve"> </w:t>
        </w:r>
      </w:hyperlink>
      <w:r w:rsidR="006A4174" w:rsidRPr="004A1629">
        <w:rPr>
          <w:rFonts w:ascii="Arial Narrow" w:eastAsia="Times New Roman" w:hAnsi="Arial Narrow" w:cstheme="minorHAnsi"/>
          <w:color w:val="auto"/>
          <w:sz w:val="22"/>
          <w:szCs w:val="22"/>
        </w:rPr>
        <w:t>(od: 12.02.2008)</w:t>
      </w:r>
      <w:r w:rsidR="006A4174" w:rsidRPr="004A1629">
        <w:rPr>
          <w:rFonts w:ascii="Arial Narrow" w:eastAsia="Times New Roman" w:hAnsi="Arial Narrow" w:cstheme="minorHAnsi"/>
          <w:color w:val="auto"/>
          <w:sz w:val="22"/>
          <w:szCs w:val="22"/>
        </w:rPr>
        <w:br/>
        <w:t xml:space="preserve">Košická 296/43B </w:t>
      </w:r>
      <w:r w:rsidR="006A4174" w:rsidRPr="004A1629">
        <w:rPr>
          <w:rFonts w:ascii="Arial Narrow" w:eastAsia="Times New Roman" w:hAnsi="Arial Narrow" w:cstheme="minorHAnsi"/>
          <w:color w:val="auto"/>
          <w:sz w:val="22"/>
          <w:szCs w:val="22"/>
        </w:rPr>
        <w:br/>
        <w:t xml:space="preserve">Bratislava 821 08 </w:t>
      </w:r>
    </w:p>
    <w:p w:rsidR="006A4174" w:rsidRPr="004A1629" w:rsidRDefault="00EC736B" w:rsidP="00947933">
      <w:pPr>
        <w:pStyle w:val="Default"/>
        <w:rPr>
          <w:rFonts w:ascii="Arial Narrow" w:hAnsi="Arial Narrow" w:cstheme="minorHAnsi"/>
          <w:color w:val="auto"/>
          <w:sz w:val="22"/>
          <w:szCs w:val="22"/>
        </w:rPr>
      </w:pPr>
      <w:hyperlink r:id="rId11" w:history="1">
        <w:r w:rsidR="006A4174" w:rsidRPr="004A1629">
          <w:rPr>
            <w:rFonts w:ascii="Arial Narrow" w:eastAsia="Times New Roman" w:hAnsi="Arial Narrow" w:cstheme="minorHAnsi"/>
            <w:color w:val="auto"/>
            <w:sz w:val="22"/>
            <w:szCs w:val="22"/>
            <w:u w:val="single"/>
          </w:rPr>
          <w:t xml:space="preserve">Patrícia Chovanová </w:t>
        </w:r>
      </w:hyperlink>
      <w:r w:rsidR="006A4174" w:rsidRPr="004A1629">
        <w:rPr>
          <w:rFonts w:ascii="Arial Narrow" w:eastAsia="Times New Roman" w:hAnsi="Arial Narrow" w:cstheme="minorHAnsi"/>
          <w:color w:val="auto"/>
          <w:sz w:val="22"/>
          <w:szCs w:val="22"/>
        </w:rPr>
        <w:t>(od: 12.02.2008)</w:t>
      </w:r>
      <w:r w:rsidR="006A4174" w:rsidRPr="004A1629">
        <w:rPr>
          <w:rFonts w:ascii="Arial Narrow" w:eastAsia="Times New Roman" w:hAnsi="Arial Narrow" w:cstheme="minorHAnsi"/>
          <w:color w:val="auto"/>
          <w:sz w:val="22"/>
          <w:szCs w:val="22"/>
        </w:rPr>
        <w:br/>
        <w:t xml:space="preserve">Heyrovského 14 </w:t>
      </w:r>
      <w:r w:rsidR="006A4174" w:rsidRPr="004A1629">
        <w:rPr>
          <w:rFonts w:ascii="Arial Narrow" w:eastAsia="Times New Roman" w:hAnsi="Arial Narrow" w:cstheme="minorHAnsi"/>
          <w:color w:val="auto"/>
          <w:sz w:val="22"/>
          <w:szCs w:val="22"/>
        </w:rPr>
        <w:br/>
        <w:t xml:space="preserve">Bratislava 841 03 </w:t>
      </w:r>
      <w:r w:rsidR="006A4174" w:rsidRPr="004A1629">
        <w:rPr>
          <w:rFonts w:ascii="Arial Narrow" w:eastAsia="Times New Roman" w:hAnsi="Arial Narrow" w:cstheme="minorHAnsi"/>
          <w:color w:val="auto"/>
          <w:sz w:val="22"/>
          <w:szCs w:val="22"/>
        </w:rPr>
        <w:br/>
      </w:r>
      <w:hyperlink r:id="rId12" w:history="1">
        <w:r w:rsidR="006A4174" w:rsidRPr="004A1629">
          <w:rPr>
            <w:rFonts w:ascii="Arial Narrow" w:eastAsia="Times New Roman" w:hAnsi="Arial Narrow" w:cstheme="minorHAnsi"/>
            <w:color w:val="auto"/>
            <w:sz w:val="22"/>
            <w:szCs w:val="22"/>
            <w:u w:val="single"/>
          </w:rPr>
          <w:t xml:space="preserve">Monika </w:t>
        </w:r>
        <w:proofErr w:type="spellStart"/>
        <w:r w:rsidR="006A4174" w:rsidRPr="004A1629">
          <w:rPr>
            <w:rFonts w:ascii="Arial Narrow" w:eastAsia="Times New Roman" w:hAnsi="Arial Narrow" w:cstheme="minorHAnsi"/>
            <w:color w:val="auto"/>
            <w:sz w:val="22"/>
            <w:szCs w:val="22"/>
            <w:u w:val="single"/>
          </w:rPr>
          <w:t>Trpinová</w:t>
        </w:r>
        <w:proofErr w:type="spellEnd"/>
        <w:r w:rsidR="006A4174" w:rsidRPr="004A1629">
          <w:rPr>
            <w:rFonts w:ascii="Arial Narrow" w:eastAsia="Times New Roman" w:hAnsi="Arial Narrow" w:cstheme="minorHAnsi"/>
            <w:color w:val="auto"/>
            <w:sz w:val="22"/>
            <w:szCs w:val="22"/>
            <w:u w:val="single"/>
          </w:rPr>
          <w:t xml:space="preserve"> </w:t>
        </w:r>
      </w:hyperlink>
      <w:r w:rsidR="006A4174" w:rsidRPr="004A1629">
        <w:rPr>
          <w:rStyle w:val="ra"/>
          <w:rFonts w:ascii="Arial Narrow" w:hAnsi="Arial Narrow" w:cstheme="minorHAnsi"/>
          <w:color w:val="auto"/>
          <w:sz w:val="22"/>
          <w:szCs w:val="22"/>
        </w:rPr>
        <w:t>(od: 28.07.2009)</w:t>
      </w:r>
      <w:r w:rsidR="006A4174" w:rsidRPr="004A1629">
        <w:rPr>
          <w:rFonts w:ascii="Arial Narrow" w:eastAsia="Times New Roman" w:hAnsi="Arial Narrow" w:cstheme="minorHAnsi"/>
          <w:color w:val="auto"/>
          <w:sz w:val="22"/>
          <w:szCs w:val="22"/>
        </w:rPr>
        <w:br/>
        <w:t xml:space="preserve">Stavbárska 5224/56 </w:t>
      </w:r>
      <w:r w:rsidR="006A4174" w:rsidRPr="004A1629">
        <w:rPr>
          <w:rFonts w:ascii="Arial Narrow" w:eastAsia="Times New Roman" w:hAnsi="Arial Narrow" w:cstheme="minorHAnsi"/>
          <w:color w:val="auto"/>
          <w:sz w:val="22"/>
          <w:szCs w:val="22"/>
        </w:rPr>
        <w:br/>
        <w:t xml:space="preserve">Bratislava 821 07 </w:t>
      </w:r>
      <w:r w:rsidR="006A4174" w:rsidRPr="004A1629">
        <w:rPr>
          <w:rFonts w:ascii="Arial Narrow" w:eastAsia="Times New Roman" w:hAnsi="Arial Narrow" w:cstheme="minorHAnsi"/>
          <w:color w:val="auto"/>
          <w:sz w:val="22"/>
          <w:szCs w:val="22"/>
        </w:rPr>
        <w:br/>
      </w:r>
    </w:p>
    <w:p w:rsidR="006A4174" w:rsidRPr="004A1629" w:rsidRDefault="006A4174" w:rsidP="00947933">
      <w:pPr>
        <w:spacing w:after="0" w:line="240" w:lineRule="auto"/>
        <w:jc w:val="both"/>
        <w:rPr>
          <w:rFonts w:ascii="Arial Narrow" w:eastAsia="Times New Roman" w:hAnsi="Arial Narrow" w:cstheme="minorHAnsi"/>
          <w:vanish/>
          <w:color w:val="000000"/>
        </w:rPr>
      </w:pPr>
    </w:p>
    <w:p w:rsidR="006A4174" w:rsidRPr="004A1629" w:rsidRDefault="006A4174" w:rsidP="00947933">
      <w:pPr>
        <w:spacing w:after="0" w:line="240" w:lineRule="auto"/>
        <w:jc w:val="both"/>
        <w:rPr>
          <w:rFonts w:ascii="Arial Narrow" w:eastAsia="Times New Roman" w:hAnsi="Arial Narrow" w:cstheme="minorHAnsi"/>
          <w:vanish/>
          <w:color w:val="000000"/>
        </w:rPr>
      </w:pPr>
    </w:p>
    <w:p w:rsidR="000C5E61" w:rsidRPr="004A1629" w:rsidRDefault="000C5E61" w:rsidP="00947933">
      <w:pPr>
        <w:pStyle w:val="Default"/>
        <w:jc w:val="both"/>
        <w:rPr>
          <w:rFonts w:ascii="Arial Narrow" w:hAnsi="Arial Narrow" w:cstheme="minorHAnsi"/>
          <w:color w:val="FF0000"/>
          <w:sz w:val="22"/>
          <w:szCs w:val="22"/>
        </w:rPr>
      </w:pPr>
      <w:r w:rsidRPr="004A1629">
        <w:rPr>
          <w:rFonts w:ascii="Arial Narrow" w:hAnsi="Arial Narrow" w:cstheme="minorHAnsi"/>
          <w:sz w:val="22"/>
          <w:szCs w:val="22"/>
        </w:rPr>
        <w:t>Počet zamestnancov Spoločnosti k 31.1</w:t>
      </w:r>
      <w:r w:rsidR="006A4174" w:rsidRPr="004A1629">
        <w:rPr>
          <w:rFonts w:ascii="Arial Narrow" w:hAnsi="Arial Narrow" w:cstheme="minorHAnsi"/>
          <w:sz w:val="22"/>
          <w:szCs w:val="22"/>
        </w:rPr>
        <w:t>2</w:t>
      </w:r>
      <w:r w:rsidR="00947933" w:rsidRPr="004A1629">
        <w:rPr>
          <w:rFonts w:ascii="Arial Narrow" w:hAnsi="Arial Narrow" w:cstheme="minorHAnsi"/>
          <w:sz w:val="22"/>
          <w:szCs w:val="22"/>
        </w:rPr>
        <w:t>.201</w:t>
      </w:r>
      <w:r w:rsidR="00AD2194">
        <w:rPr>
          <w:rFonts w:ascii="Arial Narrow" w:hAnsi="Arial Narrow" w:cstheme="minorHAnsi"/>
          <w:sz w:val="22"/>
          <w:szCs w:val="22"/>
        </w:rPr>
        <w:t>5</w:t>
      </w:r>
      <w:r w:rsidRPr="004A1629">
        <w:rPr>
          <w:rFonts w:ascii="Arial Narrow" w:hAnsi="Arial Narrow" w:cstheme="minorHAnsi"/>
          <w:sz w:val="22"/>
          <w:szCs w:val="22"/>
        </w:rPr>
        <w:t xml:space="preserve"> bol</w:t>
      </w:r>
      <w:r w:rsidR="008F2AFD" w:rsidRPr="004A1629">
        <w:rPr>
          <w:rFonts w:ascii="Arial Narrow" w:hAnsi="Arial Narrow" w:cstheme="minorHAnsi"/>
          <w:sz w:val="22"/>
          <w:szCs w:val="22"/>
        </w:rPr>
        <w:t xml:space="preserve"> </w:t>
      </w:r>
      <w:r w:rsidR="001E1E31" w:rsidRPr="004A1629">
        <w:rPr>
          <w:rFonts w:ascii="Arial Narrow" w:hAnsi="Arial Narrow" w:cstheme="minorHAnsi"/>
          <w:sz w:val="22"/>
          <w:szCs w:val="22"/>
        </w:rPr>
        <w:t>6</w:t>
      </w:r>
      <w:r w:rsidR="00AD2194">
        <w:rPr>
          <w:rFonts w:ascii="Arial Narrow" w:hAnsi="Arial Narrow" w:cstheme="minorHAnsi"/>
          <w:sz w:val="22"/>
          <w:szCs w:val="22"/>
        </w:rPr>
        <w:t>0</w:t>
      </w:r>
      <w:r w:rsidR="001E1E31" w:rsidRPr="004A1629">
        <w:rPr>
          <w:rFonts w:ascii="Arial Narrow" w:hAnsi="Arial Narrow" w:cstheme="minorHAnsi"/>
          <w:sz w:val="22"/>
          <w:szCs w:val="22"/>
        </w:rPr>
        <w:t>.</w:t>
      </w:r>
      <w:r w:rsidRPr="004A1629">
        <w:rPr>
          <w:rFonts w:ascii="Arial Narrow" w:hAnsi="Arial Narrow" w:cstheme="minorHAnsi"/>
          <w:color w:val="auto"/>
          <w:sz w:val="22"/>
          <w:szCs w:val="22"/>
        </w:rPr>
        <w:t xml:space="preserve"> Počet vedúcich zamestnancov</w:t>
      </w:r>
      <w:r w:rsidR="008F2AFD" w:rsidRPr="004A1629">
        <w:rPr>
          <w:rFonts w:ascii="Arial Narrow" w:hAnsi="Arial Narrow" w:cstheme="minorHAnsi"/>
          <w:color w:val="auto"/>
          <w:sz w:val="22"/>
          <w:szCs w:val="22"/>
        </w:rPr>
        <w:t xml:space="preserve"> k 31.12.201</w:t>
      </w:r>
      <w:r w:rsidR="00AD2194">
        <w:rPr>
          <w:rFonts w:ascii="Arial Narrow" w:hAnsi="Arial Narrow" w:cstheme="minorHAnsi"/>
          <w:color w:val="auto"/>
          <w:sz w:val="22"/>
          <w:szCs w:val="22"/>
        </w:rPr>
        <w:t>5</w:t>
      </w:r>
      <w:r w:rsidRPr="004A1629">
        <w:rPr>
          <w:rFonts w:ascii="Arial Narrow" w:hAnsi="Arial Narrow" w:cstheme="minorHAnsi"/>
          <w:color w:val="auto"/>
          <w:sz w:val="22"/>
          <w:szCs w:val="22"/>
        </w:rPr>
        <w:t xml:space="preserve"> bol</w:t>
      </w:r>
      <w:r w:rsidR="008F2AFD" w:rsidRPr="004A1629">
        <w:rPr>
          <w:rFonts w:ascii="Arial Narrow" w:hAnsi="Arial Narrow" w:cstheme="minorHAnsi"/>
          <w:color w:val="auto"/>
          <w:sz w:val="22"/>
          <w:szCs w:val="22"/>
        </w:rPr>
        <w:t xml:space="preserve"> </w:t>
      </w:r>
      <w:r w:rsidR="00A73FE7" w:rsidRPr="004A1629">
        <w:rPr>
          <w:rFonts w:ascii="Arial Narrow" w:hAnsi="Arial Narrow" w:cstheme="minorHAnsi"/>
          <w:color w:val="auto"/>
          <w:sz w:val="22"/>
          <w:szCs w:val="22"/>
        </w:rPr>
        <w:t>1</w:t>
      </w:r>
      <w:r w:rsidR="001E1E31" w:rsidRPr="004A1629">
        <w:rPr>
          <w:rFonts w:ascii="Arial Narrow" w:hAnsi="Arial Narrow" w:cstheme="minorHAnsi"/>
          <w:color w:val="auto"/>
          <w:sz w:val="22"/>
          <w:szCs w:val="22"/>
        </w:rPr>
        <w:t>.</w:t>
      </w:r>
      <w:r w:rsidR="00025487" w:rsidRPr="004A1629">
        <w:rPr>
          <w:rFonts w:ascii="Arial Narrow" w:hAnsi="Arial Narrow" w:cstheme="minorHAnsi"/>
          <w:color w:val="auto"/>
          <w:sz w:val="22"/>
          <w:szCs w:val="22"/>
        </w:rPr>
        <w:t xml:space="preserve"> Vplyv spoločnosti na zamestnanosť v roku 201</w:t>
      </w:r>
      <w:r w:rsidR="00AD2194">
        <w:rPr>
          <w:rFonts w:ascii="Arial Narrow" w:hAnsi="Arial Narrow" w:cstheme="minorHAnsi"/>
          <w:color w:val="auto"/>
          <w:sz w:val="22"/>
          <w:szCs w:val="22"/>
        </w:rPr>
        <w:t>5</w:t>
      </w:r>
      <w:r w:rsidR="00025487" w:rsidRPr="004A1629">
        <w:rPr>
          <w:rFonts w:ascii="Arial Narrow" w:hAnsi="Arial Narrow" w:cstheme="minorHAnsi"/>
          <w:color w:val="auto"/>
          <w:sz w:val="22"/>
          <w:szCs w:val="22"/>
        </w:rPr>
        <w:t xml:space="preserve"> sa v porovnaní s predchádzajúcim rokom zásadne nezmenil. </w:t>
      </w:r>
      <w:r w:rsidR="00AD2194">
        <w:rPr>
          <w:rFonts w:ascii="Arial Narrow" w:hAnsi="Arial Narrow" w:cstheme="minorHAnsi"/>
          <w:color w:val="auto"/>
          <w:sz w:val="22"/>
          <w:szCs w:val="22"/>
        </w:rPr>
        <w:t xml:space="preserve">Počet zamestnancov v predchádzajúcom účtovnom období 64 zamestnancov. </w:t>
      </w:r>
      <w:r w:rsidR="00025487" w:rsidRPr="004A1629">
        <w:rPr>
          <w:rFonts w:ascii="Arial Narrow" w:hAnsi="Arial Narrow" w:cstheme="minorHAnsi"/>
          <w:color w:val="auto"/>
          <w:sz w:val="22"/>
          <w:szCs w:val="22"/>
        </w:rPr>
        <w:t>Celková zmena počtu zamestnancov za uvedené obdobie</w:t>
      </w:r>
      <w:r w:rsidR="00AD2194">
        <w:rPr>
          <w:rFonts w:ascii="Arial Narrow" w:hAnsi="Arial Narrow" w:cstheme="minorHAnsi"/>
          <w:color w:val="auto"/>
          <w:sz w:val="22"/>
          <w:szCs w:val="22"/>
        </w:rPr>
        <w:t xml:space="preserve">  pokles o 6 %.</w:t>
      </w:r>
    </w:p>
    <w:p w:rsidR="006A4174" w:rsidRPr="004A1629" w:rsidRDefault="006A4174" w:rsidP="00947933">
      <w:pPr>
        <w:pStyle w:val="Default"/>
        <w:jc w:val="both"/>
        <w:rPr>
          <w:rFonts w:ascii="Arial Narrow" w:hAnsi="Arial Narrow" w:cstheme="minorHAnsi"/>
          <w:color w:val="auto"/>
          <w:sz w:val="22"/>
          <w:szCs w:val="22"/>
        </w:rPr>
      </w:pPr>
    </w:p>
    <w:p w:rsidR="001D32F4" w:rsidRPr="004A1629" w:rsidRDefault="000C5E61" w:rsidP="00947933">
      <w:pPr>
        <w:pStyle w:val="Default"/>
        <w:jc w:val="both"/>
        <w:rPr>
          <w:rFonts w:ascii="Arial Narrow" w:hAnsi="Arial Narrow" w:cstheme="minorHAnsi"/>
          <w:sz w:val="22"/>
          <w:szCs w:val="22"/>
        </w:rPr>
      </w:pPr>
      <w:r w:rsidRPr="004A1629">
        <w:rPr>
          <w:rFonts w:ascii="Arial Narrow" w:hAnsi="Arial Narrow" w:cstheme="minorHAnsi"/>
          <w:color w:val="auto"/>
          <w:sz w:val="22"/>
          <w:szCs w:val="22"/>
        </w:rPr>
        <w:t>Účtovná závierka Spoločnosti k 31.1</w:t>
      </w:r>
      <w:r w:rsidR="006A4174" w:rsidRPr="004A1629">
        <w:rPr>
          <w:rFonts w:ascii="Arial Narrow" w:hAnsi="Arial Narrow" w:cstheme="minorHAnsi"/>
          <w:color w:val="auto"/>
          <w:sz w:val="22"/>
          <w:szCs w:val="22"/>
        </w:rPr>
        <w:t>2</w:t>
      </w:r>
      <w:r w:rsidRPr="004A1629">
        <w:rPr>
          <w:rFonts w:ascii="Arial Narrow" w:hAnsi="Arial Narrow" w:cstheme="minorHAnsi"/>
          <w:color w:val="auto"/>
          <w:sz w:val="22"/>
          <w:szCs w:val="22"/>
        </w:rPr>
        <w:t>.201</w:t>
      </w:r>
      <w:r w:rsidR="00AD2194">
        <w:rPr>
          <w:rFonts w:ascii="Arial Narrow" w:hAnsi="Arial Narrow" w:cstheme="minorHAnsi"/>
          <w:color w:val="auto"/>
          <w:sz w:val="22"/>
          <w:szCs w:val="22"/>
        </w:rPr>
        <w:t>5</w:t>
      </w:r>
      <w:r w:rsidRPr="004A1629">
        <w:rPr>
          <w:rFonts w:ascii="Arial Narrow" w:hAnsi="Arial Narrow" w:cstheme="minorHAnsi"/>
          <w:color w:val="auto"/>
          <w:sz w:val="22"/>
          <w:szCs w:val="22"/>
        </w:rPr>
        <w:t xml:space="preserve"> je zostavená ako riadna účtovná závierka podľa § 17 zákona NR SR č. 431/2002 Z. z. o účtovníctve v znení neskorších predpisov, za účtovné</w:t>
      </w:r>
      <w:r w:rsidRPr="004A1629">
        <w:rPr>
          <w:rFonts w:ascii="Arial Narrow" w:hAnsi="Arial Narrow" w:cstheme="minorHAnsi"/>
          <w:sz w:val="22"/>
          <w:szCs w:val="22"/>
        </w:rPr>
        <w:t xml:space="preserve"> obdobie od </w:t>
      </w:r>
      <w:r w:rsidR="000B12A2" w:rsidRPr="004A1629">
        <w:rPr>
          <w:rFonts w:ascii="Arial Narrow" w:hAnsi="Arial Narrow" w:cstheme="minorHAnsi"/>
          <w:sz w:val="22"/>
          <w:szCs w:val="22"/>
        </w:rPr>
        <w:t>0</w:t>
      </w:r>
      <w:r w:rsidRPr="004A1629">
        <w:rPr>
          <w:rFonts w:ascii="Arial Narrow" w:hAnsi="Arial Narrow" w:cstheme="minorHAnsi"/>
          <w:sz w:val="22"/>
          <w:szCs w:val="22"/>
        </w:rPr>
        <w:t>1.</w:t>
      </w:r>
      <w:r w:rsidR="006A4174" w:rsidRPr="004A1629">
        <w:rPr>
          <w:rFonts w:ascii="Arial Narrow" w:hAnsi="Arial Narrow" w:cstheme="minorHAnsi"/>
          <w:sz w:val="22"/>
          <w:szCs w:val="22"/>
        </w:rPr>
        <w:t>01</w:t>
      </w:r>
      <w:r w:rsidRPr="004A1629">
        <w:rPr>
          <w:rFonts w:ascii="Arial Narrow" w:hAnsi="Arial Narrow" w:cstheme="minorHAnsi"/>
          <w:sz w:val="22"/>
          <w:szCs w:val="22"/>
        </w:rPr>
        <w:t>.20</w:t>
      </w:r>
      <w:r w:rsidR="006A4174" w:rsidRPr="004A1629">
        <w:rPr>
          <w:rFonts w:ascii="Arial Narrow" w:hAnsi="Arial Narrow" w:cstheme="minorHAnsi"/>
          <w:sz w:val="22"/>
          <w:szCs w:val="22"/>
        </w:rPr>
        <w:t>1</w:t>
      </w:r>
      <w:r w:rsidR="00AD2194">
        <w:rPr>
          <w:rFonts w:ascii="Arial Narrow" w:hAnsi="Arial Narrow" w:cstheme="minorHAnsi"/>
          <w:sz w:val="22"/>
          <w:szCs w:val="22"/>
        </w:rPr>
        <w:t>5</w:t>
      </w:r>
      <w:r w:rsidRPr="004A1629">
        <w:rPr>
          <w:rFonts w:ascii="Arial Narrow" w:hAnsi="Arial Narrow" w:cstheme="minorHAnsi"/>
          <w:sz w:val="22"/>
          <w:szCs w:val="22"/>
        </w:rPr>
        <w:t xml:space="preserve"> do 31.1</w:t>
      </w:r>
      <w:r w:rsidR="006A4174" w:rsidRPr="004A1629">
        <w:rPr>
          <w:rFonts w:ascii="Arial Narrow" w:hAnsi="Arial Narrow" w:cstheme="minorHAnsi"/>
          <w:sz w:val="22"/>
          <w:szCs w:val="22"/>
        </w:rPr>
        <w:t>2</w:t>
      </w:r>
      <w:r w:rsidRPr="004A1629">
        <w:rPr>
          <w:rFonts w:ascii="Arial Narrow" w:hAnsi="Arial Narrow" w:cstheme="minorHAnsi"/>
          <w:sz w:val="22"/>
          <w:szCs w:val="22"/>
        </w:rPr>
        <w:t>.201</w:t>
      </w:r>
      <w:r w:rsidR="00AD2194">
        <w:rPr>
          <w:rFonts w:ascii="Arial Narrow" w:hAnsi="Arial Narrow" w:cstheme="minorHAnsi"/>
          <w:sz w:val="22"/>
          <w:szCs w:val="22"/>
        </w:rPr>
        <w:t>5</w:t>
      </w:r>
      <w:r w:rsidRPr="004A1629">
        <w:rPr>
          <w:rFonts w:ascii="Arial Narrow" w:hAnsi="Arial Narrow" w:cstheme="minorHAnsi"/>
          <w:sz w:val="22"/>
          <w:szCs w:val="22"/>
        </w:rPr>
        <w:t>.</w:t>
      </w:r>
      <w:r w:rsidR="006A4174" w:rsidRPr="004A1629">
        <w:rPr>
          <w:rFonts w:ascii="Arial Narrow" w:hAnsi="Arial Narrow" w:cstheme="minorHAnsi"/>
          <w:sz w:val="22"/>
          <w:szCs w:val="22"/>
        </w:rPr>
        <w:t xml:space="preserve"> </w:t>
      </w:r>
    </w:p>
    <w:p w:rsidR="008F2AFD" w:rsidRPr="004A1629" w:rsidRDefault="008F2AFD" w:rsidP="00947933">
      <w:pPr>
        <w:spacing w:after="0"/>
        <w:jc w:val="both"/>
        <w:rPr>
          <w:rFonts w:ascii="Arial Narrow" w:hAnsi="Arial Narrow" w:cstheme="minorHAnsi"/>
        </w:rPr>
      </w:pPr>
    </w:p>
    <w:p w:rsidR="008F2AFD" w:rsidRPr="004A1629" w:rsidRDefault="008F2AFD" w:rsidP="00947933">
      <w:pPr>
        <w:spacing w:after="0"/>
        <w:jc w:val="both"/>
        <w:rPr>
          <w:rFonts w:ascii="Arial Narrow" w:hAnsi="Arial Narrow" w:cstheme="minorHAnsi"/>
        </w:rPr>
      </w:pPr>
      <w:r w:rsidRPr="004A1629">
        <w:rPr>
          <w:rFonts w:ascii="Arial Narrow" w:hAnsi="Arial Narrow" w:cstheme="minorHAnsi"/>
        </w:rPr>
        <w:t xml:space="preserve">Účtovná závierka bola zostavená za predpokladu nepretržitého trvania spoločnosti. Účtovné metódy a všeobecné účtovné zásady neboli počas účtovného obdobia menené. </w:t>
      </w:r>
    </w:p>
    <w:p w:rsidR="00E61AB7" w:rsidRDefault="00E61AB7"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4A1629" w:rsidRDefault="004A1629" w:rsidP="00947933">
      <w:pPr>
        <w:pStyle w:val="Ivana"/>
        <w:jc w:val="both"/>
        <w:rPr>
          <w:rFonts w:ascii="Arial Narrow" w:hAnsi="Arial Narrow" w:cstheme="minorHAnsi"/>
          <w:sz w:val="23"/>
          <w:szCs w:val="23"/>
        </w:rPr>
      </w:pPr>
    </w:p>
    <w:p w:rsidR="00751B25" w:rsidRDefault="00751B25" w:rsidP="00947933">
      <w:pPr>
        <w:pStyle w:val="Ivana"/>
        <w:jc w:val="both"/>
        <w:rPr>
          <w:rFonts w:ascii="Arial Narrow" w:hAnsi="Arial Narrow" w:cstheme="minorHAnsi"/>
          <w:sz w:val="23"/>
          <w:szCs w:val="23"/>
        </w:rPr>
      </w:pPr>
    </w:p>
    <w:p w:rsidR="00751B25" w:rsidRPr="004A1629" w:rsidRDefault="00751B25" w:rsidP="00947933">
      <w:pPr>
        <w:pStyle w:val="Ivana"/>
        <w:jc w:val="both"/>
        <w:rPr>
          <w:rFonts w:ascii="Arial Narrow" w:hAnsi="Arial Narrow" w:cstheme="minorHAnsi"/>
          <w:sz w:val="23"/>
          <w:szCs w:val="23"/>
        </w:rPr>
      </w:pPr>
    </w:p>
    <w:p w:rsidR="001D32F4" w:rsidRPr="004A1629" w:rsidRDefault="004D58AC" w:rsidP="00947933">
      <w:pPr>
        <w:pStyle w:val="Ivana"/>
        <w:jc w:val="both"/>
        <w:rPr>
          <w:rFonts w:ascii="Arial Narrow" w:hAnsi="Arial Narrow" w:cstheme="minorHAnsi"/>
          <w:sz w:val="23"/>
          <w:szCs w:val="23"/>
        </w:rPr>
      </w:pPr>
      <w:bookmarkStart w:id="6" w:name="_Toc374429392"/>
      <w:r w:rsidRPr="004A1629">
        <w:rPr>
          <w:rFonts w:ascii="Arial Narrow" w:hAnsi="Arial Narrow" w:cstheme="minorHAnsi"/>
          <w:sz w:val="23"/>
          <w:szCs w:val="23"/>
        </w:rPr>
        <w:lastRenderedPageBreak/>
        <w:t>V</w:t>
      </w:r>
      <w:r w:rsidR="000C5E61" w:rsidRPr="004A1629">
        <w:rPr>
          <w:rFonts w:ascii="Arial Narrow" w:hAnsi="Arial Narrow" w:cstheme="minorHAnsi"/>
          <w:sz w:val="23"/>
          <w:szCs w:val="23"/>
        </w:rPr>
        <w:t>ÝVOJ ČINNOSTI, FINANČNÁ SITUÁCIA SPOLOČNOSTI A DOPLŇUJÚCE INFORMÁCIE O UPLYNULOM VÝVOJI PODNIKANIA</w:t>
      </w:r>
      <w:bookmarkEnd w:id="6"/>
    </w:p>
    <w:p w:rsidR="00CD7D63" w:rsidRPr="004A1629" w:rsidRDefault="00CD7D63" w:rsidP="00947933">
      <w:pPr>
        <w:pStyle w:val="Ivana"/>
        <w:jc w:val="both"/>
        <w:rPr>
          <w:rFonts w:ascii="Arial Narrow" w:hAnsi="Arial Narrow" w:cstheme="minorHAnsi"/>
          <w:color w:val="auto"/>
          <w:sz w:val="23"/>
          <w:szCs w:val="23"/>
        </w:rPr>
      </w:pPr>
    </w:p>
    <w:p w:rsidR="004A1629" w:rsidRPr="006A0DB2" w:rsidRDefault="004A1629" w:rsidP="004A1629">
      <w:pPr>
        <w:jc w:val="both"/>
        <w:rPr>
          <w:rFonts w:ascii="Arial Narrow" w:hAnsi="Arial Narrow" w:cs="Tahoma"/>
        </w:rPr>
      </w:pPr>
      <w:r w:rsidRPr="004A1629">
        <w:rPr>
          <w:rFonts w:ascii="Arial Narrow" w:hAnsi="Arial Narrow" w:cs="Tahoma"/>
        </w:rPr>
        <w:t xml:space="preserve">Na základe výsledkov, ktoré Spoločnosť  dosiahla, je možné konštatovať </w:t>
      </w:r>
      <w:r>
        <w:rPr>
          <w:rFonts w:ascii="Arial Narrow" w:hAnsi="Arial Narrow" w:cs="Tahoma"/>
        </w:rPr>
        <w:t>stabilizovanie situácie v Spoločnosti.</w:t>
      </w:r>
      <w:r w:rsidRPr="004A1629">
        <w:rPr>
          <w:rFonts w:ascii="Arial Narrow" w:hAnsi="Arial Narrow" w:cs="Tahoma"/>
        </w:rPr>
        <w:t xml:space="preserve">  </w:t>
      </w:r>
    </w:p>
    <w:p w:rsidR="004A1629" w:rsidRDefault="004A1629" w:rsidP="004A1629">
      <w:pPr>
        <w:pStyle w:val="Default"/>
        <w:contextualSpacing/>
        <w:jc w:val="both"/>
        <w:rPr>
          <w:rFonts w:ascii="Arial Narrow" w:hAnsi="Arial Narrow" w:cstheme="minorHAnsi"/>
          <w:color w:val="auto"/>
          <w:sz w:val="22"/>
          <w:szCs w:val="22"/>
        </w:rPr>
      </w:pPr>
      <w:r w:rsidRPr="006A0DB2">
        <w:rPr>
          <w:rFonts w:ascii="Arial Narrow" w:hAnsi="Arial Narrow" w:cstheme="minorHAnsi"/>
          <w:color w:val="auto"/>
          <w:sz w:val="22"/>
          <w:szCs w:val="22"/>
        </w:rPr>
        <w:t>Majetková situácia v spoločnosti k 31.12.201</w:t>
      </w:r>
      <w:r w:rsidR="00AD2194">
        <w:rPr>
          <w:rFonts w:ascii="Arial Narrow" w:hAnsi="Arial Narrow" w:cstheme="minorHAnsi"/>
          <w:color w:val="auto"/>
          <w:sz w:val="22"/>
          <w:szCs w:val="22"/>
        </w:rPr>
        <w:t xml:space="preserve">5 </w:t>
      </w:r>
      <w:r w:rsidRPr="006A0DB2">
        <w:rPr>
          <w:rFonts w:ascii="Arial Narrow" w:hAnsi="Arial Narrow" w:cstheme="minorHAnsi"/>
          <w:color w:val="auto"/>
          <w:sz w:val="22"/>
          <w:szCs w:val="22"/>
        </w:rPr>
        <w:t xml:space="preserve"> je nasledovná:</w:t>
      </w:r>
    </w:p>
    <w:p w:rsidR="00AD2194" w:rsidRDefault="00AD2194" w:rsidP="004A1629">
      <w:pPr>
        <w:pStyle w:val="Default"/>
        <w:contextualSpacing/>
        <w:jc w:val="both"/>
        <w:rPr>
          <w:rFonts w:ascii="Arial Narrow" w:hAnsi="Arial Narrow" w:cstheme="minorHAnsi"/>
          <w:color w:val="auto"/>
          <w:sz w:val="22"/>
          <w:szCs w:val="22"/>
        </w:rPr>
      </w:pPr>
    </w:p>
    <w:tbl>
      <w:tblPr>
        <w:tblW w:w="8200" w:type="dxa"/>
        <w:tblInd w:w="55" w:type="dxa"/>
        <w:tblCellMar>
          <w:left w:w="70" w:type="dxa"/>
          <w:right w:w="70" w:type="dxa"/>
        </w:tblCellMar>
        <w:tblLook w:val="04A0" w:firstRow="1" w:lastRow="0" w:firstColumn="1" w:lastColumn="0" w:noHBand="0" w:noVBand="1"/>
      </w:tblPr>
      <w:tblGrid>
        <w:gridCol w:w="4360"/>
        <w:gridCol w:w="960"/>
        <w:gridCol w:w="960"/>
        <w:gridCol w:w="960"/>
        <w:gridCol w:w="960"/>
      </w:tblGrid>
      <w:tr w:rsidR="00AD2194" w:rsidRPr="00AD2194" w:rsidTr="00AD2194">
        <w:trPr>
          <w:trHeight w:val="300"/>
        </w:trPr>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b/>
                <w:bCs/>
                <w:color w:val="000000"/>
              </w:rPr>
            </w:pPr>
            <w:r w:rsidRPr="00AD2194">
              <w:rPr>
                <w:rFonts w:ascii="Arial Narrow" w:eastAsia="Times New Roman" w:hAnsi="Arial Narrow" w:cs="Calibri"/>
                <w:b/>
                <w:bCs/>
                <w:color w:val="000000"/>
              </w:rPr>
              <w:t>Text položky   (EUR)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center"/>
              <w:rPr>
                <w:rFonts w:ascii="Arial Narrow" w:eastAsia="Times New Roman" w:hAnsi="Arial Narrow" w:cs="Calibri"/>
                <w:b/>
                <w:bCs/>
                <w:color w:val="000000"/>
              </w:rPr>
            </w:pPr>
            <w:r w:rsidRPr="00AD2194">
              <w:rPr>
                <w:rFonts w:ascii="Arial Narrow" w:eastAsia="Times New Roman" w:hAnsi="Arial Narrow" w:cs="Calibri"/>
                <w:b/>
                <w:bCs/>
                <w:color w:val="000000"/>
              </w:rPr>
              <w:t>2012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center"/>
              <w:rPr>
                <w:rFonts w:ascii="Arial Narrow" w:eastAsia="Times New Roman" w:hAnsi="Arial Narrow" w:cs="Calibri"/>
                <w:b/>
                <w:bCs/>
                <w:color w:val="000000"/>
              </w:rPr>
            </w:pPr>
            <w:r w:rsidRPr="00AD2194">
              <w:rPr>
                <w:rFonts w:ascii="Arial Narrow" w:eastAsia="Times New Roman" w:hAnsi="Arial Narrow" w:cs="Calibri"/>
                <w:b/>
                <w:bCs/>
                <w:color w:val="000000"/>
              </w:rPr>
              <w:t>2013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center"/>
              <w:rPr>
                <w:rFonts w:ascii="Arial Narrow" w:eastAsia="Times New Roman" w:hAnsi="Arial Narrow" w:cs="Calibri"/>
                <w:b/>
                <w:bCs/>
                <w:color w:val="000000"/>
              </w:rPr>
            </w:pPr>
            <w:r w:rsidRPr="00AD2194">
              <w:rPr>
                <w:rFonts w:ascii="Arial Narrow" w:eastAsia="Times New Roman" w:hAnsi="Arial Narrow" w:cs="Calibri"/>
                <w:b/>
                <w:bCs/>
                <w:color w:val="000000"/>
              </w:rPr>
              <w:t>2014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center"/>
              <w:rPr>
                <w:rFonts w:ascii="Arial Narrow" w:eastAsia="Times New Roman" w:hAnsi="Arial Narrow" w:cs="Calibri"/>
                <w:b/>
                <w:bCs/>
                <w:color w:val="000000"/>
              </w:rPr>
            </w:pPr>
            <w:r w:rsidRPr="00AD2194">
              <w:rPr>
                <w:rFonts w:ascii="Arial Narrow" w:eastAsia="Times New Roman" w:hAnsi="Arial Narrow" w:cs="Calibri"/>
                <w:b/>
                <w:bCs/>
                <w:color w:val="000000"/>
              </w:rPr>
              <w:t>2015</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b/>
                <w:bCs/>
                <w:color w:val="000000"/>
              </w:rPr>
            </w:pPr>
            <w:r w:rsidRPr="00AD2194">
              <w:rPr>
                <w:rFonts w:ascii="Arial Narrow" w:eastAsia="Times New Roman" w:hAnsi="Arial Narrow" w:cs="Calibri"/>
                <w:b/>
                <w:bCs/>
                <w:color w:val="000000"/>
              </w:rPr>
              <w:t xml:space="preserve">SPOLU MAJETOK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308 311</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505 617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470 396</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349 164</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b/>
                <w:color w:val="000000"/>
              </w:rPr>
            </w:pPr>
            <w:r w:rsidRPr="00AD2194">
              <w:rPr>
                <w:rFonts w:ascii="Arial Narrow" w:eastAsia="Times New Roman" w:hAnsi="Arial Narrow" w:cs="Calibri"/>
                <w:b/>
                <w:color w:val="000000"/>
              </w:rPr>
              <w:t>Neobežný majetok</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b/>
                <w:color w:val="000000"/>
              </w:rPr>
            </w:pPr>
            <w:r w:rsidRPr="00AD2194">
              <w:rPr>
                <w:rFonts w:ascii="Arial Narrow" w:eastAsia="Times New Roman" w:hAnsi="Arial Narrow" w:cs="Calibri"/>
                <w:b/>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b/>
                <w:color w:val="000000"/>
              </w:rPr>
            </w:pPr>
            <w:r w:rsidRPr="00AD2194">
              <w:rPr>
                <w:rFonts w:ascii="Arial Narrow" w:eastAsia="Times New Roman" w:hAnsi="Arial Narrow" w:cs="Calibri"/>
                <w:b/>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color w:val="000000"/>
              </w:rPr>
            </w:pPr>
            <w:r w:rsidRPr="00AD2194">
              <w:rPr>
                <w:rFonts w:ascii="Arial Narrow" w:eastAsia="Times New Roman" w:hAnsi="Arial Narrow" w:cs="Calibri"/>
                <w:b/>
                <w:color w:val="000000"/>
              </w:rPr>
              <w:t>9 856</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color w:val="000000"/>
              </w:rPr>
            </w:pPr>
            <w:r w:rsidRPr="00AD2194">
              <w:rPr>
                <w:rFonts w:ascii="Arial Narrow" w:eastAsia="Times New Roman" w:hAnsi="Arial Narrow" w:cs="Calibri"/>
                <w:b/>
                <w:color w:val="000000"/>
              </w:rPr>
              <w:t>8 655</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Dlhodobý hmotný majetok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9 856</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8 655</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Samostatné </w:t>
            </w:r>
            <w:proofErr w:type="spellStart"/>
            <w:r w:rsidRPr="00AD2194">
              <w:rPr>
                <w:rFonts w:ascii="Arial Narrow" w:eastAsia="Times New Roman" w:hAnsi="Arial Narrow" w:cs="Calibri"/>
                <w:color w:val="000000"/>
              </w:rPr>
              <w:t>hnut</w:t>
            </w:r>
            <w:proofErr w:type="spellEnd"/>
            <w:r w:rsidRPr="00AD2194">
              <w:rPr>
                <w:rFonts w:ascii="Arial Narrow" w:eastAsia="Times New Roman" w:hAnsi="Arial Narrow" w:cs="Calibri"/>
                <w:color w:val="000000"/>
              </w:rPr>
              <w:t xml:space="preserve">. veci a súbory </w:t>
            </w:r>
            <w:proofErr w:type="spellStart"/>
            <w:r w:rsidRPr="00AD2194">
              <w:rPr>
                <w:rFonts w:ascii="Arial Narrow" w:eastAsia="Times New Roman" w:hAnsi="Arial Narrow" w:cs="Calibri"/>
                <w:color w:val="000000"/>
              </w:rPr>
              <w:t>hnut.vecí</w:t>
            </w:r>
            <w:proofErr w:type="spellEnd"/>
            <w:r w:rsidRPr="00AD2194">
              <w:rPr>
                <w:rFonts w:ascii="Arial Narrow" w:eastAsia="Times New Roman" w:hAnsi="Arial Narrow" w:cs="Calibri"/>
                <w:color w:val="000000"/>
              </w:rPr>
              <w:t xml:space="preserve">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9 856</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8 655</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b/>
                <w:bCs/>
                <w:color w:val="000000"/>
              </w:rPr>
            </w:pPr>
            <w:r w:rsidRPr="00AD2194">
              <w:rPr>
                <w:rFonts w:ascii="Arial Narrow" w:eastAsia="Times New Roman" w:hAnsi="Arial Narrow" w:cs="Calibri"/>
                <w:b/>
                <w:bCs/>
                <w:color w:val="000000"/>
              </w:rPr>
              <w:t>Obežný majetok</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307 690</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504 862</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459 689</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b/>
                <w:bCs/>
                <w:color w:val="000000"/>
              </w:rPr>
            </w:pPr>
            <w:r w:rsidRPr="00AD2194">
              <w:rPr>
                <w:rFonts w:ascii="Arial Narrow" w:eastAsia="Times New Roman" w:hAnsi="Arial Narrow" w:cs="Calibri"/>
                <w:b/>
                <w:bCs/>
                <w:color w:val="000000"/>
              </w:rPr>
              <w:t>334 526</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Zásoby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42 068</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38 462</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39 733</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37 936</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Materiál</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6 512</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6 735</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6 169</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5 524</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Tovar</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33 564</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32 412</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Krátkodobé pohľadávky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156 445</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206 447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200 688</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192 812</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Pohľadávky z obchodného styku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151 137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205 447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179 083</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188 584</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Ostatné pohľadávky z obchodného styku</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151 137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205 447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179 083</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188 584</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Daňové pohľadávky a dotácie</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1 438</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16 735</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Iné pohľadávky</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3 870</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1 000</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4 870</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4 228</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Finančné účty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109 177</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259 953</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219 268</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103 778</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Peniaze</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9 779</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25 909</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14 620</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12 324</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Účty v bankách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99 398</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234 044</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204 648</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91 454</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Časové rozlíšenie </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621</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755</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851</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5 983</w:t>
            </w:r>
          </w:p>
        </w:tc>
      </w:tr>
      <w:tr w:rsidR="00AD2194" w:rsidRPr="00AD2194" w:rsidTr="00AD2194">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rPr>
                <w:rFonts w:ascii="Arial Narrow" w:eastAsia="Times New Roman" w:hAnsi="Arial Narrow" w:cs="Calibri"/>
                <w:color w:val="000000"/>
              </w:rPr>
            </w:pPr>
            <w:r w:rsidRPr="00AD2194">
              <w:rPr>
                <w:rFonts w:ascii="Arial Narrow" w:eastAsia="Times New Roman" w:hAnsi="Arial Narrow" w:cs="Calibri"/>
                <w:color w:val="000000"/>
              </w:rPr>
              <w:t xml:space="preserve">   Náklady budúcich období krátkodobé</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621</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755</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851</w:t>
            </w:r>
          </w:p>
        </w:tc>
        <w:tc>
          <w:tcPr>
            <w:tcW w:w="960" w:type="dxa"/>
            <w:tcBorders>
              <w:top w:val="nil"/>
              <w:left w:val="nil"/>
              <w:bottom w:val="single" w:sz="4" w:space="0" w:color="auto"/>
              <w:right w:val="single" w:sz="4" w:space="0" w:color="auto"/>
            </w:tcBorders>
            <w:shd w:val="clear" w:color="auto" w:fill="auto"/>
            <w:noWrap/>
            <w:vAlign w:val="bottom"/>
            <w:hideMark/>
          </w:tcPr>
          <w:p w:rsidR="00AD2194" w:rsidRPr="00AD2194" w:rsidRDefault="00AD2194" w:rsidP="00AD2194">
            <w:pPr>
              <w:spacing w:after="0" w:line="240" w:lineRule="auto"/>
              <w:jc w:val="right"/>
              <w:rPr>
                <w:rFonts w:ascii="Arial Narrow" w:eastAsia="Times New Roman" w:hAnsi="Arial Narrow" w:cs="Calibri"/>
                <w:color w:val="000000"/>
              </w:rPr>
            </w:pPr>
            <w:r w:rsidRPr="00AD2194">
              <w:rPr>
                <w:rFonts w:ascii="Arial Narrow" w:eastAsia="Times New Roman" w:hAnsi="Arial Narrow" w:cs="Calibri"/>
                <w:color w:val="000000"/>
              </w:rPr>
              <w:t>5 983</w:t>
            </w:r>
          </w:p>
        </w:tc>
      </w:tr>
    </w:tbl>
    <w:p w:rsidR="00AD2194" w:rsidRPr="006A0DB2" w:rsidRDefault="00AD2194" w:rsidP="004A1629">
      <w:pPr>
        <w:pStyle w:val="Default"/>
        <w:contextualSpacing/>
        <w:jc w:val="both"/>
        <w:rPr>
          <w:rFonts w:ascii="Arial Narrow" w:hAnsi="Arial Narrow" w:cstheme="minorHAnsi"/>
          <w:color w:val="auto"/>
          <w:sz w:val="22"/>
          <w:szCs w:val="22"/>
        </w:rPr>
      </w:pPr>
    </w:p>
    <w:p w:rsidR="004A1629" w:rsidRPr="006A0DB2" w:rsidRDefault="004A1629" w:rsidP="004A1629">
      <w:pPr>
        <w:pStyle w:val="Default"/>
        <w:contextualSpacing/>
        <w:jc w:val="both"/>
        <w:rPr>
          <w:rFonts w:ascii="Arial Narrow" w:hAnsi="Arial Narrow" w:cstheme="minorHAnsi"/>
          <w:color w:val="auto"/>
          <w:sz w:val="22"/>
          <w:szCs w:val="22"/>
        </w:rPr>
      </w:pPr>
    </w:p>
    <w:p w:rsidR="00EE61A6" w:rsidRDefault="004A1629" w:rsidP="006A0DB2">
      <w:pPr>
        <w:jc w:val="both"/>
        <w:rPr>
          <w:rFonts w:ascii="Arial Narrow" w:hAnsi="Arial Narrow" w:cs="Tahoma"/>
        </w:rPr>
      </w:pPr>
      <w:r w:rsidRPr="006A0DB2">
        <w:rPr>
          <w:rFonts w:ascii="Arial Narrow" w:hAnsi="Arial Narrow" w:cstheme="minorHAnsi"/>
        </w:rPr>
        <w:t xml:space="preserve">Z majetkovej štruktúry je zrejmé, že rozhodujúcou časťou majetku je obežný majetok a v rámci neho  finančné účty a pohľadávky z obchodného styku. Neobežný majetok </w:t>
      </w:r>
      <w:r w:rsidRPr="006A0DB2">
        <w:rPr>
          <w:rFonts w:ascii="Arial Narrow" w:hAnsi="Arial Narrow" w:cs="Tahoma"/>
        </w:rPr>
        <w:t>Spoločnosti v porovnaní s predchádzajúcim rokom 201</w:t>
      </w:r>
      <w:r w:rsidR="00AD2194">
        <w:rPr>
          <w:rFonts w:ascii="Arial Narrow" w:hAnsi="Arial Narrow" w:cs="Tahoma"/>
        </w:rPr>
        <w:t>4</w:t>
      </w:r>
      <w:r w:rsidRPr="006A0DB2">
        <w:rPr>
          <w:rFonts w:ascii="Arial Narrow" w:hAnsi="Arial Narrow" w:cs="Tahoma"/>
        </w:rPr>
        <w:t xml:space="preserve"> </w:t>
      </w:r>
      <w:r w:rsidR="00AD2194">
        <w:rPr>
          <w:rFonts w:ascii="Arial Narrow" w:hAnsi="Arial Narrow" w:cs="Tahoma"/>
        </w:rPr>
        <w:t xml:space="preserve">klesol o výšku odpisov. </w:t>
      </w:r>
      <w:r w:rsidRPr="006A0DB2">
        <w:rPr>
          <w:rFonts w:ascii="Arial Narrow" w:hAnsi="Arial Narrow" w:cs="Tahoma"/>
        </w:rPr>
        <w:t xml:space="preserve"> </w:t>
      </w:r>
      <w:r w:rsidR="00EE61A6">
        <w:rPr>
          <w:rFonts w:ascii="Arial Narrow" w:hAnsi="Arial Narrow" w:cs="Tahoma"/>
        </w:rPr>
        <w:t>P</w:t>
      </w:r>
      <w:r w:rsidRPr="006A0DB2">
        <w:rPr>
          <w:rFonts w:ascii="Arial Narrow" w:hAnsi="Arial Narrow" w:cs="Tahoma"/>
        </w:rPr>
        <w:t xml:space="preserve">okles zaznamenal obežný majetok a to </w:t>
      </w:r>
      <w:r w:rsidR="00AD2194">
        <w:rPr>
          <w:rFonts w:ascii="Arial Narrow" w:hAnsi="Arial Narrow" w:cs="Tahoma"/>
        </w:rPr>
        <w:t xml:space="preserve"> </w:t>
      </w:r>
      <w:r w:rsidR="00EE61A6">
        <w:rPr>
          <w:rFonts w:ascii="Arial Narrow" w:hAnsi="Arial Narrow" w:cs="Tahoma"/>
        </w:rPr>
        <w:t xml:space="preserve"> 27 %</w:t>
      </w:r>
      <w:r w:rsidRPr="006A0DB2">
        <w:rPr>
          <w:rFonts w:ascii="Arial Narrow" w:hAnsi="Arial Narrow" w:cs="Tahoma"/>
        </w:rPr>
        <w:t xml:space="preserve"> . V rámci obežného majetku najvýraznejší pokles zaznamenali  krátkodobé pohľadávky z obchodného styku</w:t>
      </w:r>
      <w:r w:rsidR="00EE61A6">
        <w:rPr>
          <w:rFonts w:ascii="Arial Narrow" w:hAnsi="Arial Narrow" w:cs="Tahoma"/>
        </w:rPr>
        <w:t xml:space="preserve"> a to o necelé 4 %.</w:t>
      </w:r>
    </w:p>
    <w:p w:rsidR="006A0DB2" w:rsidRDefault="006A0DB2" w:rsidP="006A0DB2">
      <w:pPr>
        <w:jc w:val="both"/>
        <w:rPr>
          <w:rFonts w:ascii="Arial Narrow" w:hAnsi="Arial Narrow" w:cs="Tahoma"/>
        </w:rPr>
      </w:pPr>
      <w:r w:rsidRPr="006A0DB2">
        <w:rPr>
          <w:rFonts w:ascii="Arial Narrow" w:hAnsi="Arial Narrow" w:cs="Tahoma"/>
        </w:rPr>
        <w:t>Prostredníctvom ukazovateľov aktivity je možné v Spoločnosti skúmať  stupeň využitia obežného majetku.  Boli vypočítané nasledovné ukazovatele:</w:t>
      </w:r>
    </w:p>
    <w:tbl>
      <w:tblPr>
        <w:tblW w:w="7420" w:type="dxa"/>
        <w:tblInd w:w="55" w:type="dxa"/>
        <w:tblCellMar>
          <w:left w:w="70" w:type="dxa"/>
          <w:right w:w="70" w:type="dxa"/>
        </w:tblCellMar>
        <w:tblLook w:val="04A0" w:firstRow="1" w:lastRow="0" w:firstColumn="1" w:lastColumn="0" w:noHBand="0" w:noVBand="1"/>
      </w:tblPr>
      <w:tblGrid>
        <w:gridCol w:w="3580"/>
        <w:gridCol w:w="960"/>
        <w:gridCol w:w="960"/>
        <w:gridCol w:w="960"/>
        <w:gridCol w:w="960"/>
      </w:tblGrid>
      <w:tr w:rsidR="00EE61A6" w:rsidRPr="00EE61A6" w:rsidTr="00EE61A6">
        <w:trPr>
          <w:trHeight w:val="33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b/>
                <w:bCs/>
                <w:color w:val="000000"/>
              </w:rPr>
            </w:pPr>
            <w:r w:rsidRPr="00EE61A6">
              <w:rPr>
                <w:rFonts w:ascii="Arial Narrow" w:eastAsia="Times New Roman" w:hAnsi="Arial Narrow" w:cs="Calibri"/>
                <w:b/>
                <w:bCs/>
                <w:color w:val="000000"/>
              </w:rPr>
              <w:t>Text položky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9A3F48">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9A3F48">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9A3F48">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9A3F48">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2015</w:t>
            </w:r>
          </w:p>
        </w:tc>
      </w:tr>
      <w:tr w:rsidR="00EE61A6" w:rsidRPr="00EE61A6" w:rsidTr="00EE61A6">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Obrat pohľadávok</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24,43</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10,98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11,84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12,25</w:t>
            </w:r>
          </w:p>
        </w:tc>
      </w:tr>
      <w:tr w:rsidR="00EE61A6" w:rsidRPr="00EE61A6" w:rsidTr="00EE61A6">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Priemerná doba inkasa pohľadávok</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14,94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33,24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30,82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29,8</w:t>
            </w:r>
          </w:p>
        </w:tc>
      </w:tr>
      <w:tr w:rsidR="00EE61A6" w:rsidRPr="00EE61A6" w:rsidTr="00EE61A6">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Obrátka zásob</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90,87</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58,95</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59,82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64,19</w:t>
            </w:r>
          </w:p>
        </w:tc>
      </w:tr>
      <w:tr w:rsidR="00EE61A6" w:rsidRPr="00EE61A6" w:rsidTr="00EE61A6">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Doba obrátky celkových zásob</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4,02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6,19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6,10</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5,69</w:t>
            </w:r>
          </w:p>
        </w:tc>
      </w:tr>
      <w:tr w:rsidR="00EE61A6" w:rsidRPr="00EE61A6" w:rsidTr="00EE61A6">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Doba obrátky výrobných zásob</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0,62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1,08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0,95</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0,83</w:t>
            </w:r>
          </w:p>
        </w:tc>
      </w:tr>
    </w:tbl>
    <w:p w:rsidR="00EE61A6" w:rsidRDefault="00EE61A6" w:rsidP="006A0DB2">
      <w:pPr>
        <w:jc w:val="both"/>
        <w:rPr>
          <w:rFonts w:ascii="Arial Narrow" w:hAnsi="Arial Narrow" w:cs="Tahoma"/>
        </w:rPr>
      </w:pPr>
    </w:p>
    <w:p w:rsidR="00AA7FCB" w:rsidRDefault="00AA7FCB" w:rsidP="006A0DB2">
      <w:pPr>
        <w:jc w:val="both"/>
        <w:rPr>
          <w:rFonts w:ascii="Arial Narrow" w:hAnsi="Arial Narrow" w:cs="Tahoma"/>
        </w:rPr>
      </w:pPr>
    </w:p>
    <w:p w:rsidR="00751B25" w:rsidRDefault="00751B25" w:rsidP="006A0DB2">
      <w:pPr>
        <w:jc w:val="both"/>
        <w:rPr>
          <w:rFonts w:ascii="Arial Narrow" w:hAnsi="Arial Narrow" w:cs="Tahoma"/>
        </w:rPr>
      </w:pPr>
    </w:p>
    <w:p w:rsidR="006A0DB2" w:rsidRPr="004A1629" w:rsidRDefault="006A0DB2" w:rsidP="006A0DB2">
      <w:pPr>
        <w:jc w:val="both"/>
        <w:rPr>
          <w:rFonts w:ascii="Arial Narrow" w:hAnsi="Arial Narrow" w:cs="Tahoma"/>
          <w:iCs/>
        </w:rPr>
      </w:pPr>
      <w:r w:rsidRPr="004A1629">
        <w:rPr>
          <w:rFonts w:ascii="Arial Narrow" w:hAnsi="Arial Narrow" w:cs="Tahoma"/>
          <w:iCs/>
        </w:rPr>
        <w:t>Z uvedených výstupov je zrejmé, že platobná disciplína odberateľov sa oproti predchádzajúcemu roku znížila. Priemerná doba inkasa pohľadávok sa  v porovnaní s rokom 201</w:t>
      </w:r>
      <w:r w:rsidR="00EE61A6">
        <w:rPr>
          <w:rFonts w:ascii="Arial Narrow" w:hAnsi="Arial Narrow" w:cs="Tahoma"/>
          <w:iCs/>
        </w:rPr>
        <w:t>4</w:t>
      </w:r>
      <w:r w:rsidRPr="004A1629">
        <w:rPr>
          <w:rFonts w:ascii="Arial Narrow" w:hAnsi="Arial Narrow" w:cs="Tahoma"/>
          <w:iCs/>
        </w:rPr>
        <w:t xml:space="preserve"> zlepšil</w:t>
      </w:r>
      <w:r>
        <w:rPr>
          <w:rFonts w:ascii="Arial Narrow" w:hAnsi="Arial Narrow" w:cs="Tahoma"/>
          <w:iCs/>
        </w:rPr>
        <w:t xml:space="preserve">a </w:t>
      </w:r>
      <w:r w:rsidRPr="004A1629">
        <w:rPr>
          <w:rFonts w:ascii="Arial Narrow" w:hAnsi="Arial Narrow" w:cs="Tahoma"/>
          <w:iCs/>
        </w:rPr>
        <w:t xml:space="preserve"> z  pôvodných </w:t>
      </w:r>
      <w:r w:rsidR="00EE61A6">
        <w:rPr>
          <w:rFonts w:ascii="Arial Narrow" w:hAnsi="Arial Narrow" w:cs="Tahoma"/>
          <w:iCs/>
        </w:rPr>
        <w:t>30,82</w:t>
      </w:r>
      <w:r w:rsidRPr="004A1629">
        <w:rPr>
          <w:rFonts w:ascii="Arial Narrow" w:hAnsi="Arial Narrow" w:cs="Tahoma"/>
          <w:iCs/>
        </w:rPr>
        <w:t xml:space="preserve"> dní na  </w:t>
      </w:r>
      <w:r w:rsidR="00EE61A6">
        <w:rPr>
          <w:rFonts w:ascii="Arial Narrow" w:hAnsi="Arial Narrow" w:cs="Tahoma"/>
          <w:iCs/>
        </w:rPr>
        <w:t>29,8</w:t>
      </w:r>
      <w:r w:rsidRPr="004A1629">
        <w:rPr>
          <w:rFonts w:ascii="Arial Narrow" w:hAnsi="Arial Narrow" w:cs="Tahoma"/>
          <w:iCs/>
        </w:rPr>
        <w:t xml:space="preserve"> dňa,  čo súvisí s celkovým ekonomickým a podnikateľským prostredím, opatrenia a aktivitami Spoločnosti v oblasti prístupu vymáhania pohľadávok neuhradených v lehote splatnosti. </w:t>
      </w:r>
    </w:p>
    <w:p w:rsidR="00751B25" w:rsidRDefault="00751B25" w:rsidP="004A1629">
      <w:pPr>
        <w:pStyle w:val="Default"/>
        <w:contextualSpacing/>
        <w:jc w:val="both"/>
        <w:rPr>
          <w:rFonts w:ascii="Arial Narrow" w:hAnsi="Arial Narrow" w:cstheme="minorHAnsi"/>
          <w:color w:val="auto"/>
          <w:sz w:val="23"/>
          <w:szCs w:val="23"/>
        </w:rPr>
      </w:pPr>
    </w:p>
    <w:p w:rsidR="004A1629" w:rsidRDefault="004A1629" w:rsidP="004A1629">
      <w:pPr>
        <w:pStyle w:val="Default"/>
        <w:contextualSpacing/>
        <w:jc w:val="both"/>
        <w:rPr>
          <w:rFonts w:ascii="Arial Narrow" w:hAnsi="Arial Narrow" w:cstheme="minorHAnsi"/>
          <w:color w:val="auto"/>
          <w:sz w:val="23"/>
          <w:szCs w:val="23"/>
        </w:rPr>
      </w:pPr>
      <w:r w:rsidRPr="004A1629">
        <w:rPr>
          <w:rFonts w:ascii="Arial Narrow" w:hAnsi="Arial Narrow" w:cstheme="minorHAnsi"/>
          <w:color w:val="auto"/>
          <w:sz w:val="23"/>
          <w:szCs w:val="23"/>
        </w:rPr>
        <w:t>Štruktúra zdrojov krytia majetku spoločnosti  je nasledovná:</w:t>
      </w:r>
    </w:p>
    <w:p w:rsidR="00EE61A6" w:rsidRDefault="00EE61A6" w:rsidP="004A1629">
      <w:pPr>
        <w:pStyle w:val="Default"/>
        <w:contextualSpacing/>
        <w:jc w:val="both"/>
        <w:rPr>
          <w:rFonts w:ascii="Arial Narrow" w:hAnsi="Arial Narrow" w:cstheme="minorHAnsi"/>
          <w:color w:val="auto"/>
          <w:sz w:val="23"/>
          <w:szCs w:val="23"/>
        </w:rPr>
      </w:pPr>
    </w:p>
    <w:p w:rsidR="00EE61A6" w:rsidRDefault="00EE61A6" w:rsidP="004A1629">
      <w:pPr>
        <w:pStyle w:val="Default"/>
        <w:contextualSpacing/>
        <w:jc w:val="both"/>
        <w:rPr>
          <w:rFonts w:ascii="Arial Narrow" w:hAnsi="Arial Narrow" w:cstheme="minorHAnsi"/>
          <w:color w:val="auto"/>
          <w:sz w:val="23"/>
          <w:szCs w:val="23"/>
        </w:rPr>
      </w:pPr>
    </w:p>
    <w:tbl>
      <w:tblPr>
        <w:tblW w:w="8200" w:type="dxa"/>
        <w:tblInd w:w="55" w:type="dxa"/>
        <w:tblCellMar>
          <w:left w:w="70" w:type="dxa"/>
          <w:right w:w="70" w:type="dxa"/>
        </w:tblCellMar>
        <w:tblLook w:val="04A0" w:firstRow="1" w:lastRow="0" w:firstColumn="1" w:lastColumn="0" w:noHBand="0" w:noVBand="1"/>
      </w:tblPr>
      <w:tblGrid>
        <w:gridCol w:w="4360"/>
        <w:gridCol w:w="960"/>
        <w:gridCol w:w="960"/>
        <w:gridCol w:w="960"/>
        <w:gridCol w:w="960"/>
      </w:tblGrid>
      <w:tr w:rsidR="00EE61A6" w:rsidRPr="00EE61A6" w:rsidTr="00EE61A6">
        <w:trPr>
          <w:trHeight w:val="300"/>
        </w:trPr>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b/>
                <w:bCs/>
                <w:color w:val="000000"/>
              </w:rPr>
            </w:pPr>
            <w:r w:rsidRPr="00EE61A6">
              <w:rPr>
                <w:rFonts w:ascii="Arial Narrow" w:eastAsia="Times New Roman" w:hAnsi="Arial Narrow" w:cs="Calibri"/>
                <w:b/>
                <w:bCs/>
                <w:color w:val="000000"/>
              </w:rPr>
              <w:t>Text položky   (EUR)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center"/>
              <w:rPr>
                <w:rFonts w:ascii="Arial Narrow" w:eastAsia="Times New Roman" w:hAnsi="Arial Narrow" w:cs="Calibri"/>
                <w:b/>
                <w:bCs/>
                <w:color w:val="000000"/>
              </w:rPr>
            </w:pPr>
            <w:r w:rsidRPr="00EE61A6">
              <w:rPr>
                <w:rFonts w:ascii="Arial Narrow" w:eastAsia="Times New Roman" w:hAnsi="Arial Narrow" w:cs="Calibri"/>
                <w:b/>
                <w:bCs/>
                <w:color w:val="000000"/>
              </w:rPr>
              <w:t>2015</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b/>
                <w:bCs/>
                <w:color w:val="000000"/>
              </w:rPr>
            </w:pPr>
            <w:r w:rsidRPr="00EE61A6">
              <w:rPr>
                <w:rFonts w:ascii="Arial Narrow" w:eastAsia="Times New Roman" w:hAnsi="Arial Narrow" w:cs="Calibri"/>
                <w:b/>
                <w:bCs/>
                <w:color w:val="000000"/>
              </w:rPr>
              <w:t xml:space="preserve">SPOLU VLASTNÉ IMANIE A ZÁVÄZKY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308 311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505 617</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470 396</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349 164</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b/>
                <w:bCs/>
                <w:color w:val="000000"/>
              </w:rPr>
            </w:pPr>
            <w:r w:rsidRPr="00EE61A6">
              <w:rPr>
                <w:rFonts w:ascii="Arial Narrow" w:eastAsia="Times New Roman" w:hAnsi="Arial Narrow" w:cs="Calibri"/>
                <w:b/>
                <w:bCs/>
                <w:color w:val="000000"/>
              </w:rPr>
              <w:t xml:space="preserve">Vlastné imanie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-119 689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-82 736</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-56 144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-99 888</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Základné imanie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33 195</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33 195</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Základné imanie</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33 195</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33 195</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Zákonné rezervné fondy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Zákonný rezervný fond a nedeliteľný fond</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3 319</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Výsledok hospodárenia minulých rokov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-219 748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-156 202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-119 249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-92 658</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Neuhradená strata minulých rokov</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-219 748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-156 202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-119 249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-92 658</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b/>
                <w:bCs/>
                <w:color w:val="000000"/>
              </w:rPr>
            </w:pPr>
            <w:r w:rsidRPr="00EE61A6">
              <w:rPr>
                <w:rFonts w:ascii="Arial Narrow" w:eastAsia="Times New Roman" w:hAnsi="Arial Narrow" w:cs="Calibri"/>
                <w:b/>
                <w:bCs/>
                <w:color w:val="000000"/>
              </w:rPr>
              <w:t xml:space="preserve">HV za účtovné obdobie po zdanení /+-/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63 546</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36 953</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26 591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-43 744</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b/>
                <w:bCs/>
                <w:color w:val="000000"/>
              </w:rPr>
            </w:pPr>
            <w:r w:rsidRPr="00EE61A6">
              <w:rPr>
                <w:rFonts w:ascii="Arial Narrow" w:eastAsia="Times New Roman" w:hAnsi="Arial Narrow" w:cs="Calibri"/>
                <w:b/>
                <w:bCs/>
                <w:color w:val="000000"/>
              </w:rPr>
              <w:t xml:space="preserve">Záväzky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428 000</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588 353</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b/>
                <w:bCs/>
                <w:color w:val="000000"/>
              </w:rPr>
            </w:pPr>
            <w:r w:rsidRPr="00EE61A6">
              <w:rPr>
                <w:rFonts w:ascii="Arial Narrow" w:eastAsia="Times New Roman" w:hAnsi="Arial Narrow" w:cs="Calibri"/>
                <w:b/>
                <w:bCs/>
                <w:color w:val="000000"/>
              </w:rPr>
              <w:t>526 540</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449 052</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Dlhodobé záväzky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283</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1 691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925</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Záväzky zo sociálneho fondu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283</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1 295</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2 121</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Odložený daňový záväzok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396</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-1 196</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Dlhodobé rezervy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1 798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1 418</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Ostatné rezervy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1 798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1 418</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Krátkodobé záväzky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399 164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559 016</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496 849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212 210</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Záväzky z obchodného styku</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311 881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453 352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414 222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121 231</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Záväzky z </w:t>
            </w:r>
            <w:proofErr w:type="spellStart"/>
            <w:r w:rsidRPr="00EE61A6">
              <w:rPr>
                <w:rFonts w:ascii="Arial Narrow" w:eastAsia="Times New Roman" w:hAnsi="Arial Narrow" w:cs="Calibri"/>
                <w:color w:val="000000"/>
              </w:rPr>
              <w:t>obch.styku</w:t>
            </w:r>
            <w:proofErr w:type="spellEnd"/>
            <w:r w:rsidRPr="00EE61A6">
              <w:rPr>
                <w:rFonts w:ascii="Arial Narrow" w:eastAsia="Times New Roman" w:hAnsi="Arial Narrow" w:cs="Calibri"/>
                <w:color w:val="000000"/>
              </w:rPr>
              <w:t xml:space="preserve"> v rámci podiel. účasti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5 682</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Ostatné záväzky z obchodného styku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311 881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453 352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414 213</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115 549</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Záväzky voči zamestnancom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38 015</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36 367</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32 128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35 424</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Záväzky zo sociálneho poistenia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22 028</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22 601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22 227</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21 856</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Daňové záväzky a dotácie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9 949</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29 364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11 100</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20 885</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Iné záväzky</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17 291</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17 332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17 172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12 814</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Krátkodobé rezervy</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28 890</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29 054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26 202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28 259</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Zákonné rezervy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28 890</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29 054</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26 202</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jc w:val="right"/>
              <w:rPr>
                <w:rFonts w:ascii="Arial Narrow" w:eastAsia="Times New Roman" w:hAnsi="Arial Narrow" w:cs="Calibri"/>
                <w:color w:val="000000"/>
              </w:rPr>
            </w:pPr>
            <w:r w:rsidRPr="00EE61A6">
              <w:rPr>
                <w:rFonts w:ascii="Arial Narrow" w:eastAsia="Times New Roman" w:hAnsi="Arial Narrow" w:cs="Calibri"/>
                <w:color w:val="000000"/>
              </w:rPr>
              <w:t>28 259</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Ostatné rezervy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Časové rozlíšenie</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r>
      <w:tr w:rsidR="00EE61A6" w:rsidRPr="00EE61A6" w:rsidTr="00EE61A6">
        <w:trPr>
          <w:trHeight w:val="300"/>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xml:space="preserve">   Výnosy budúcich období krátkodobé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EE61A6" w:rsidRPr="00EE61A6" w:rsidRDefault="00EE61A6" w:rsidP="00EE61A6">
            <w:pPr>
              <w:spacing w:after="0" w:line="240" w:lineRule="auto"/>
              <w:rPr>
                <w:rFonts w:ascii="Arial Narrow" w:eastAsia="Times New Roman" w:hAnsi="Arial Narrow" w:cs="Calibri"/>
                <w:color w:val="000000"/>
              </w:rPr>
            </w:pPr>
            <w:r w:rsidRPr="00EE61A6">
              <w:rPr>
                <w:rFonts w:ascii="Arial Narrow" w:eastAsia="Times New Roman" w:hAnsi="Arial Narrow" w:cs="Calibri"/>
                <w:color w:val="000000"/>
              </w:rPr>
              <w:t> </w:t>
            </w:r>
          </w:p>
        </w:tc>
      </w:tr>
    </w:tbl>
    <w:p w:rsidR="00EE61A6" w:rsidRPr="004A1629" w:rsidRDefault="00EE61A6" w:rsidP="004A1629">
      <w:pPr>
        <w:pStyle w:val="Default"/>
        <w:contextualSpacing/>
        <w:jc w:val="both"/>
        <w:rPr>
          <w:rFonts w:ascii="Arial Narrow" w:hAnsi="Arial Narrow" w:cstheme="minorHAnsi"/>
          <w:color w:val="auto"/>
          <w:sz w:val="23"/>
          <w:szCs w:val="23"/>
        </w:rPr>
      </w:pPr>
    </w:p>
    <w:p w:rsidR="004A1629" w:rsidRPr="004A1629" w:rsidRDefault="004A1629" w:rsidP="004A1629">
      <w:pPr>
        <w:pStyle w:val="Default"/>
        <w:contextualSpacing/>
        <w:jc w:val="both"/>
        <w:rPr>
          <w:rFonts w:ascii="Arial Narrow" w:hAnsi="Arial Narrow" w:cstheme="minorHAnsi"/>
          <w:color w:val="auto"/>
          <w:sz w:val="23"/>
          <w:szCs w:val="23"/>
        </w:rPr>
      </w:pPr>
    </w:p>
    <w:p w:rsidR="00E776CD" w:rsidRDefault="004A1629" w:rsidP="004A1629">
      <w:pPr>
        <w:jc w:val="both"/>
        <w:rPr>
          <w:rFonts w:ascii="Arial Narrow" w:hAnsi="Arial Narrow" w:cs="Tahoma"/>
        </w:rPr>
      </w:pPr>
      <w:r w:rsidRPr="004A1629">
        <w:rPr>
          <w:rFonts w:ascii="Arial Narrow" w:hAnsi="Arial Narrow" w:cs="Tahoma"/>
        </w:rPr>
        <w:t xml:space="preserve">Stav  záväzkov </w:t>
      </w:r>
      <w:r w:rsidR="00E776CD">
        <w:rPr>
          <w:rFonts w:ascii="Arial Narrow" w:hAnsi="Arial Narrow" w:cs="Tahoma"/>
        </w:rPr>
        <w:t xml:space="preserve">Spoločnosti sa v porovnaní s predchádzajúcim rokom znížil o necelých </w:t>
      </w:r>
      <w:r w:rsidR="00EE61A6">
        <w:rPr>
          <w:rFonts w:ascii="Arial Narrow" w:hAnsi="Arial Narrow" w:cs="Tahoma"/>
        </w:rPr>
        <w:t>26</w:t>
      </w:r>
      <w:r w:rsidR="00E776CD">
        <w:rPr>
          <w:rFonts w:ascii="Arial Narrow" w:hAnsi="Arial Narrow" w:cs="Tahoma"/>
        </w:rPr>
        <w:t xml:space="preserve"> % a to predovšetkým krátkodobé záväzky  z obchodného styku.</w:t>
      </w:r>
    </w:p>
    <w:p w:rsidR="00AA7FCB" w:rsidRDefault="00AA7FCB" w:rsidP="00AA7FCB">
      <w:pPr>
        <w:jc w:val="both"/>
        <w:rPr>
          <w:rFonts w:ascii="Arial Narrow" w:hAnsi="Arial Narrow" w:cs="Tahoma"/>
          <w:iCs/>
        </w:rPr>
      </w:pPr>
      <w:r>
        <w:rPr>
          <w:rFonts w:ascii="Arial Narrow" w:hAnsi="Arial Narrow" w:cs="Tahoma"/>
          <w:iCs/>
        </w:rPr>
        <w:t>V</w:t>
      </w:r>
      <w:r w:rsidRPr="004A1629">
        <w:rPr>
          <w:rFonts w:ascii="Arial Narrow" w:hAnsi="Arial Narrow" w:cs="Tahoma"/>
          <w:iCs/>
        </w:rPr>
        <w:t xml:space="preserve"> oblasti zdrojov krytia majetku Spoločnosť zaznamenala </w:t>
      </w:r>
      <w:r w:rsidR="009A3F48">
        <w:rPr>
          <w:rFonts w:ascii="Arial Narrow" w:hAnsi="Arial Narrow" w:cs="Tahoma"/>
          <w:iCs/>
        </w:rPr>
        <w:t>zníženie</w:t>
      </w:r>
      <w:r w:rsidRPr="004A1629">
        <w:rPr>
          <w:rFonts w:ascii="Arial Narrow" w:hAnsi="Arial Narrow" w:cs="Tahoma"/>
          <w:iCs/>
        </w:rPr>
        <w:t xml:space="preserve"> vlastných zdrojov krytia oproti minulému účtovnému obdobiu, čo zapríčinil  vykázaný hospodársky výsledok</w:t>
      </w:r>
      <w:r>
        <w:rPr>
          <w:rFonts w:ascii="Arial Narrow" w:hAnsi="Arial Narrow" w:cs="Tahoma"/>
          <w:iCs/>
        </w:rPr>
        <w:t xml:space="preserve"> za bežné obdobie.  Výsledkom dosiahnutých hospodárskych výsledkov – ziskov, bolo </w:t>
      </w:r>
      <w:r w:rsidR="009A3F48">
        <w:rPr>
          <w:rFonts w:ascii="Arial Narrow" w:hAnsi="Arial Narrow" w:cs="Tahoma"/>
          <w:iCs/>
        </w:rPr>
        <w:t xml:space="preserve">zvýšenie </w:t>
      </w:r>
      <w:r>
        <w:rPr>
          <w:rFonts w:ascii="Arial Narrow" w:hAnsi="Arial Narrow" w:cs="Tahoma"/>
          <w:iCs/>
        </w:rPr>
        <w:t xml:space="preserve"> záporného vlastného imania o </w:t>
      </w:r>
      <w:r w:rsidR="009A3F48">
        <w:rPr>
          <w:rFonts w:ascii="Arial Narrow" w:hAnsi="Arial Narrow" w:cs="Tahoma"/>
          <w:iCs/>
        </w:rPr>
        <w:t>78</w:t>
      </w:r>
      <w:r>
        <w:rPr>
          <w:rFonts w:ascii="Arial Narrow" w:hAnsi="Arial Narrow" w:cs="Tahoma"/>
          <w:iCs/>
        </w:rPr>
        <w:t xml:space="preserve"> %.  </w:t>
      </w:r>
    </w:p>
    <w:p w:rsidR="00E776CD" w:rsidRDefault="00E776CD" w:rsidP="00E776CD">
      <w:pPr>
        <w:jc w:val="both"/>
        <w:rPr>
          <w:rFonts w:ascii="Arial Narrow" w:hAnsi="Arial Narrow" w:cs="Tahoma"/>
        </w:rPr>
      </w:pPr>
      <w:r w:rsidRPr="004A1629">
        <w:rPr>
          <w:rFonts w:ascii="Arial Narrow" w:hAnsi="Arial Narrow" w:cs="Tahoma"/>
        </w:rPr>
        <w:t>Pri výpočte štruktúry finančných zdrojov boli vyčíslené nasledovné ukazovatele:</w:t>
      </w:r>
    </w:p>
    <w:tbl>
      <w:tblPr>
        <w:tblW w:w="7420" w:type="dxa"/>
        <w:tblInd w:w="55" w:type="dxa"/>
        <w:tblCellMar>
          <w:left w:w="70" w:type="dxa"/>
          <w:right w:w="70" w:type="dxa"/>
        </w:tblCellMar>
        <w:tblLook w:val="04A0" w:firstRow="1" w:lastRow="0" w:firstColumn="1" w:lastColumn="0" w:noHBand="0" w:noVBand="1"/>
      </w:tblPr>
      <w:tblGrid>
        <w:gridCol w:w="3580"/>
        <w:gridCol w:w="960"/>
        <w:gridCol w:w="960"/>
        <w:gridCol w:w="960"/>
        <w:gridCol w:w="960"/>
      </w:tblGrid>
      <w:tr w:rsidR="009A3F48" w:rsidRPr="009A3F48" w:rsidTr="009A3F48">
        <w:trPr>
          <w:trHeight w:val="33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rPr>
            </w:pPr>
            <w:r w:rsidRPr="009A3F48">
              <w:rPr>
                <w:rFonts w:ascii="Arial Narrow" w:eastAsia="Times New Roman" w:hAnsi="Arial Narrow" w:cs="Calibri"/>
                <w:b/>
                <w:bCs/>
                <w:color w:val="000000"/>
              </w:rPr>
              <w:t>Text položky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rPr>
            </w:pPr>
            <w:r w:rsidRPr="009A3F48">
              <w:rPr>
                <w:rFonts w:ascii="Arial Narrow" w:eastAsia="Times New Roman" w:hAnsi="Arial Narrow" w:cs="Calibri"/>
                <w:b/>
                <w:bCs/>
                <w:color w:val="000000"/>
              </w:rPr>
              <w:t>2012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rPr>
            </w:pPr>
            <w:r w:rsidRPr="009A3F48">
              <w:rPr>
                <w:rFonts w:ascii="Arial Narrow" w:eastAsia="Times New Roman" w:hAnsi="Arial Narrow" w:cs="Calibri"/>
                <w:b/>
                <w:bCs/>
                <w:color w:val="000000"/>
              </w:rPr>
              <w:t>2013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rPr>
            </w:pPr>
            <w:r w:rsidRPr="009A3F48">
              <w:rPr>
                <w:rFonts w:ascii="Arial Narrow" w:eastAsia="Times New Roman" w:hAnsi="Arial Narrow" w:cs="Calibri"/>
                <w:b/>
                <w:bCs/>
                <w:color w:val="000000"/>
              </w:rPr>
              <w:t>2014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rPr>
            </w:pPr>
            <w:r w:rsidRPr="009A3F48">
              <w:rPr>
                <w:rFonts w:ascii="Arial Narrow" w:eastAsia="Times New Roman" w:hAnsi="Arial Narrow" w:cs="Calibri"/>
                <w:b/>
                <w:bCs/>
                <w:color w:val="000000"/>
              </w:rPr>
              <w:t>2015</w:t>
            </w:r>
          </w:p>
        </w:tc>
      </w:tr>
      <w:tr w:rsidR="009A3F48" w:rsidRPr="009A3F48" w:rsidTr="009A3F48">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rPr>
            </w:pPr>
            <w:r w:rsidRPr="009A3F48">
              <w:rPr>
                <w:rFonts w:ascii="Arial Narrow" w:eastAsia="Times New Roman" w:hAnsi="Arial Narrow" w:cs="Calibri"/>
                <w:color w:val="000000"/>
              </w:rPr>
              <w:t>Ukazovateľ finančnej samostatnosti</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-0,39</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-0,16</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-0,12</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-0,29</w:t>
            </w:r>
          </w:p>
        </w:tc>
      </w:tr>
      <w:tr w:rsidR="009A3F48" w:rsidRPr="009A3F48" w:rsidTr="009A3F48">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rPr>
            </w:pPr>
            <w:r w:rsidRPr="009A3F48">
              <w:rPr>
                <w:rFonts w:ascii="Arial Narrow" w:eastAsia="Times New Roman" w:hAnsi="Arial Narrow" w:cs="Calibri"/>
                <w:color w:val="000000"/>
              </w:rPr>
              <w:t>Ukazovateľ finančnej stability</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-0,39</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-0,16</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-0,12</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-0,28</w:t>
            </w:r>
          </w:p>
        </w:tc>
      </w:tr>
      <w:tr w:rsidR="009A3F48" w:rsidRPr="009A3F48" w:rsidTr="009A3F48">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rPr>
            </w:pPr>
            <w:r w:rsidRPr="009A3F48">
              <w:rPr>
                <w:rFonts w:ascii="Arial Narrow" w:eastAsia="Times New Roman" w:hAnsi="Arial Narrow" w:cs="Calibri"/>
                <w:color w:val="000000"/>
              </w:rPr>
              <w:t>Podiel cudzieho a vlastného kapitálu</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-3,58</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-7,11</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-9,38</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-4,5</w:t>
            </w:r>
          </w:p>
        </w:tc>
      </w:tr>
      <w:tr w:rsidR="009A3F48" w:rsidRPr="009A3F48" w:rsidTr="009A3F48">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rPr>
            </w:pPr>
            <w:r w:rsidRPr="009A3F48">
              <w:rPr>
                <w:rFonts w:ascii="Arial Narrow" w:eastAsia="Times New Roman" w:hAnsi="Arial Narrow" w:cs="Calibri"/>
                <w:color w:val="000000"/>
              </w:rPr>
              <w:t>Podiel vlastného a cudzieho kapitálu</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-0,28</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-0,14</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-0,11</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-0,22</w:t>
            </w:r>
          </w:p>
        </w:tc>
      </w:tr>
      <w:tr w:rsidR="009A3F48" w:rsidRPr="009A3F48" w:rsidTr="009A3F48">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rPr>
            </w:pPr>
            <w:r w:rsidRPr="009A3F48">
              <w:rPr>
                <w:rFonts w:ascii="Arial Narrow" w:eastAsia="Times New Roman" w:hAnsi="Arial Narrow" w:cs="Calibri"/>
                <w:color w:val="000000"/>
              </w:rPr>
              <w:t xml:space="preserve">Celková </w:t>
            </w:r>
            <w:proofErr w:type="spellStart"/>
            <w:r w:rsidRPr="009A3F48">
              <w:rPr>
                <w:rFonts w:ascii="Arial Narrow" w:eastAsia="Times New Roman" w:hAnsi="Arial Narrow" w:cs="Calibri"/>
                <w:color w:val="000000"/>
              </w:rPr>
              <w:t>zadĺženosť</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1,39</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1,16</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1,12</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1,29</w:t>
            </w:r>
          </w:p>
        </w:tc>
      </w:tr>
      <w:tr w:rsidR="009A3F48" w:rsidRPr="009A3F48" w:rsidTr="009A3F48">
        <w:trPr>
          <w:trHeight w:val="33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rPr>
            </w:pPr>
            <w:r w:rsidRPr="009A3F48">
              <w:rPr>
                <w:rFonts w:ascii="Arial Narrow" w:eastAsia="Times New Roman" w:hAnsi="Arial Narrow" w:cs="Calibri"/>
                <w:color w:val="000000"/>
              </w:rPr>
              <w:t xml:space="preserve">Koeficient </w:t>
            </w:r>
            <w:proofErr w:type="spellStart"/>
            <w:r w:rsidRPr="009A3F48">
              <w:rPr>
                <w:rFonts w:ascii="Arial Narrow" w:eastAsia="Times New Roman" w:hAnsi="Arial Narrow" w:cs="Calibri"/>
                <w:color w:val="000000"/>
              </w:rPr>
              <w:t>zadĺženosti</w:t>
            </w:r>
            <w:proofErr w:type="spellEnd"/>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0,72</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0,86</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0,89</w:t>
            </w:r>
          </w:p>
        </w:tc>
        <w:tc>
          <w:tcPr>
            <w:tcW w:w="960" w:type="dxa"/>
            <w:tcBorders>
              <w:top w:val="nil"/>
              <w:left w:val="nil"/>
              <w:bottom w:val="single" w:sz="4" w:space="0" w:color="auto"/>
              <w:right w:val="single" w:sz="4" w:space="0" w:color="auto"/>
            </w:tcBorders>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rPr>
            </w:pPr>
            <w:r w:rsidRPr="009A3F48">
              <w:rPr>
                <w:rFonts w:ascii="Arial Narrow" w:eastAsia="Times New Roman" w:hAnsi="Arial Narrow" w:cs="Calibri"/>
                <w:color w:val="000000"/>
              </w:rPr>
              <w:t>0,78</w:t>
            </w:r>
          </w:p>
        </w:tc>
      </w:tr>
    </w:tbl>
    <w:p w:rsidR="009A3F48" w:rsidRDefault="009A3F48" w:rsidP="00E776CD">
      <w:pPr>
        <w:jc w:val="both"/>
        <w:rPr>
          <w:rFonts w:ascii="Arial Narrow" w:hAnsi="Arial Narrow" w:cs="Tahoma"/>
        </w:rPr>
      </w:pPr>
    </w:p>
    <w:p w:rsidR="00E776CD" w:rsidRPr="004A1629" w:rsidRDefault="00E776CD" w:rsidP="00E776CD">
      <w:pPr>
        <w:jc w:val="both"/>
        <w:rPr>
          <w:rFonts w:ascii="Arial Narrow" w:hAnsi="Arial Narrow" w:cs="Tahoma"/>
        </w:rPr>
      </w:pPr>
      <w:r w:rsidRPr="004A1629">
        <w:rPr>
          <w:rFonts w:ascii="Arial Narrow" w:hAnsi="Arial Narrow" w:cs="Tahoma"/>
        </w:rPr>
        <w:t xml:space="preserve">Z uvedených výsledkov je zrejmé, akým smerom sa vyvíja povinnosť Spoločnosti vracanie požičaných finančných prostriedkov alebo ich ekvivalenty. Ukazovatele zadlženosti slúžia na monitorovanie štruktúry finančných zdrojov – vlastných a cudzích; merajú rozsah, v akom je Spoločnosť financovaná cudzími zdrojmi a ako je schopná pokryť dlžnícke záväzky. </w:t>
      </w:r>
    </w:p>
    <w:p w:rsidR="00A32210" w:rsidRDefault="00A32210" w:rsidP="00A32210">
      <w:pPr>
        <w:jc w:val="both"/>
        <w:rPr>
          <w:rFonts w:ascii="Arial Narrow" w:hAnsi="Arial Narrow" w:cs="Tahoma"/>
        </w:rPr>
      </w:pPr>
      <w:r w:rsidRPr="00756B5C">
        <w:rPr>
          <w:rFonts w:ascii="Arial Narrow" w:hAnsi="Arial Narrow" w:cs="Tahoma"/>
        </w:rPr>
        <w:t>Stupeň krytia záväzkov je vyjadrený v nasledovnom grafe:</w:t>
      </w:r>
    </w:p>
    <w:p w:rsidR="009A3F48" w:rsidRDefault="009A3F48" w:rsidP="00A32210">
      <w:pPr>
        <w:jc w:val="both"/>
        <w:rPr>
          <w:rFonts w:ascii="Arial Narrow" w:hAnsi="Arial Narrow" w:cs="Tahoma"/>
        </w:rPr>
      </w:pPr>
      <w:r>
        <w:rPr>
          <w:noProof/>
        </w:rPr>
        <w:drawing>
          <wp:inline distT="0" distB="0" distL="0" distR="0" wp14:anchorId="155BF02B" wp14:editId="003E169A">
            <wp:extent cx="3683000" cy="2133600"/>
            <wp:effectExtent l="0" t="0" r="12700" b="190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A1629" w:rsidRPr="004A1629" w:rsidRDefault="004A1629" w:rsidP="004A1629">
      <w:pPr>
        <w:jc w:val="both"/>
        <w:rPr>
          <w:rFonts w:ascii="Arial Narrow" w:hAnsi="Arial Narrow" w:cs="Tahoma"/>
        </w:rPr>
      </w:pPr>
      <w:r w:rsidRPr="004A1629">
        <w:rPr>
          <w:rFonts w:ascii="Arial Narrow" w:hAnsi="Arial Narrow" w:cs="Tahoma"/>
        </w:rPr>
        <w:t xml:space="preserve">Pod pojmom likvidita sa označuje speňažiteľnosť aktív, schopnosť splatiť záväzok veriteľovi, schopnosť spoločnosti uhradiť splatné záväzky, vlastnosť aktíva/majetku, ktorá umožňuje vymeniť ho za hotovosť bez straty hodnoty, pri čo najnižších transakčných nákladoch. Pojmami likvidita a solventnosť sa charakterizuje úroveň úhrady záväzkov. Likvidita sa viaže k dlhšiemu obdobiu, solventnosť predstavuje momentálnu schopnosť úhrady. Likvidita je ovplyvnená najmä štruktúrou majetku a primeraným a pravidelným prítokom peňažných prostriedkov. </w:t>
      </w:r>
    </w:p>
    <w:p w:rsidR="004A1629" w:rsidRPr="004A1629" w:rsidRDefault="004A1629" w:rsidP="004A1629">
      <w:pPr>
        <w:jc w:val="both"/>
        <w:rPr>
          <w:rFonts w:ascii="Arial Narrow" w:hAnsi="Arial Narrow" w:cs="Tahoma"/>
        </w:rPr>
      </w:pPr>
      <w:r w:rsidRPr="004A1629">
        <w:rPr>
          <w:rFonts w:ascii="Arial Narrow" w:hAnsi="Arial Narrow" w:cs="Tahoma"/>
        </w:rPr>
        <w:t>Ukazovatele likvidity, vypočítané ako pomer obežných aktív, príp. ich zložiek ku krátkodobým záväzkom, vyjadrujú stupeň krytia splatných záväzkov viac či menej likvidnými obežnými aktívami.</w:t>
      </w:r>
    </w:p>
    <w:p w:rsidR="004A1629" w:rsidRPr="004A1629" w:rsidRDefault="004A1629" w:rsidP="004A1629">
      <w:pPr>
        <w:jc w:val="both"/>
        <w:rPr>
          <w:rFonts w:ascii="Arial Narrow" w:hAnsi="Arial Narrow" w:cs="Tahoma"/>
        </w:rPr>
      </w:pPr>
      <w:r w:rsidRPr="004A1629">
        <w:rPr>
          <w:rFonts w:ascii="Arial Narrow" w:hAnsi="Arial Narrow" w:cs="Tahoma"/>
        </w:rPr>
        <w:t xml:space="preserve">Okamžitá likvidita, nazývaná aj likvidita I. stupňa (cash </w:t>
      </w:r>
      <w:proofErr w:type="spellStart"/>
      <w:r w:rsidRPr="004A1629">
        <w:rPr>
          <w:rFonts w:ascii="Arial Narrow" w:hAnsi="Arial Narrow" w:cs="Tahoma"/>
        </w:rPr>
        <w:t>ratio</w:t>
      </w:r>
      <w:proofErr w:type="spellEnd"/>
      <w:r w:rsidRPr="004A1629">
        <w:rPr>
          <w:rFonts w:ascii="Arial Narrow" w:hAnsi="Arial Narrow" w:cs="Tahoma"/>
        </w:rPr>
        <w:t>), vypočítaná ako pomer finančného majetku ku krátkodobým záväzkom, vyjadruje vlastne solventnosť. Jeho ideálna hodnota je 1, vtedy je k dispozícii toľko platobných prostriedkov, koľko činia záväzky. Vypovedá o vzťahu medzi najlikvidnejšou časťou majetku a krátkodobými záväzkami. Za optimálne hodnoty sú považované hodnoty z intervalu 0,8 – 1,0.</w:t>
      </w:r>
    </w:p>
    <w:p w:rsidR="004A1629" w:rsidRPr="004A1629" w:rsidRDefault="004A1629" w:rsidP="004A1629">
      <w:pPr>
        <w:jc w:val="both"/>
        <w:rPr>
          <w:rFonts w:ascii="Arial Narrow" w:hAnsi="Arial Narrow" w:cs="Tahoma"/>
        </w:rPr>
      </w:pPr>
      <w:r w:rsidRPr="004A1629">
        <w:rPr>
          <w:rFonts w:ascii="Arial Narrow" w:hAnsi="Arial Narrow" w:cs="Tahoma"/>
        </w:rPr>
        <w:t>Bežná (pohotová) likvidita, nazývaná aj likvidita II. stupňa (</w:t>
      </w:r>
      <w:proofErr w:type="spellStart"/>
      <w:r w:rsidRPr="004A1629">
        <w:rPr>
          <w:rFonts w:ascii="Arial Narrow" w:hAnsi="Arial Narrow" w:cs="Tahoma"/>
        </w:rPr>
        <w:t>quick</w:t>
      </w:r>
      <w:proofErr w:type="spellEnd"/>
      <w:r w:rsidRPr="004A1629">
        <w:rPr>
          <w:rFonts w:ascii="Arial Narrow" w:hAnsi="Arial Narrow" w:cs="Tahoma"/>
        </w:rPr>
        <w:t xml:space="preserve"> </w:t>
      </w:r>
      <w:proofErr w:type="spellStart"/>
      <w:r w:rsidRPr="004A1629">
        <w:rPr>
          <w:rFonts w:ascii="Arial Narrow" w:hAnsi="Arial Narrow" w:cs="Tahoma"/>
        </w:rPr>
        <w:t>ratio</w:t>
      </w:r>
      <w:proofErr w:type="spellEnd"/>
      <w:r w:rsidRPr="004A1629">
        <w:rPr>
          <w:rFonts w:ascii="Arial Narrow" w:hAnsi="Arial Narrow" w:cs="Tahoma"/>
        </w:rPr>
        <w:t xml:space="preserve">), vypočítaná ako pomer súčtu finančného majetku a krátkodobých pohľadávok ku krátkodobým záväzkom, neberie pri výpočte do úvahy zásoby, nakoľko predstavujú najproblematickejšiu časť obežných aktív. S ich premenou na platobné prostriedky môžu byť spojené značné straty. Za ideálnu hodnotu ukazovateľa sa považuje 1,5. Za optimálne hodnoty sú považované hodnoty z intervalu 1 – 2.    </w:t>
      </w:r>
    </w:p>
    <w:p w:rsidR="004A1629" w:rsidRPr="004A1629" w:rsidRDefault="004A1629" w:rsidP="004A1629">
      <w:pPr>
        <w:jc w:val="both"/>
        <w:rPr>
          <w:rFonts w:ascii="Arial Narrow" w:hAnsi="Arial Narrow" w:cs="Tahoma"/>
        </w:rPr>
      </w:pPr>
      <w:r w:rsidRPr="004A1629">
        <w:rPr>
          <w:rFonts w:ascii="Arial Narrow" w:hAnsi="Arial Narrow" w:cs="Tahoma"/>
        </w:rPr>
        <w:t>Celková likvidita, nazývaná aj likvidita III. stupňa (</w:t>
      </w:r>
      <w:proofErr w:type="spellStart"/>
      <w:r w:rsidRPr="004A1629">
        <w:rPr>
          <w:rFonts w:ascii="Arial Narrow" w:hAnsi="Arial Narrow" w:cs="Tahoma"/>
        </w:rPr>
        <w:t>current</w:t>
      </w:r>
      <w:proofErr w:type="spellEnd"/>
      <w:r w:rsidRPr="004A1629">
        <w:rPr>
          <w:rFonts w:ascii="Arial Narrow" w:hAnsi="Arial Narrow" w:cs="Tahoma"/>
        </w:rPr>
        <w:t xml:space="preserve"> </w:t>
      </w:r>
      <w:proofErr w:type="spellStart"/>
      <w:r w:rsidRPr="004A1629">
        <w:rPr>
          <w:rFonts w:ascii="Arial Narrow" w:hAnsi="Arial Narrow" w:cs="Tahoma"/>
        </w:rPr>
        <w:t>ratio</w:t>
      </w:r>
      <w:proofErr w:type="spellEnd"/>
      <w:r w:rsidRPr="004A1629">
        <w:rPr>
          <w:rFonts w:ascii="Arial Narrow" w:hAnsi="Arial Narrow" w:cs="Tahoma"/>
        </w:rPr>
        <w:t>), vypočítaná ako pomer obežných aktív bez dlhodobých záväzkov ku krátkodobým záväzkom, rozširuje výpočet bežnej likvidity o vplyv zásob. Za ideálnu hodnotu ukazovateľa sa považuje 2,5. Za optimálne hodnoty sú považované hodnoty z intervalu 1,5 – 4.</w:t>
      </w:r>
    </w:p>
    <w:p w:rsidR="004A1629" w:rsidRDefault="004A1629" w:rsidP="004A1629">
      <w:pPr>
        <w:jc w:val="both"/>
        <w:rPr>
          <w:rFonts w:ascii="Arial Narrow" w:hAnsi="Arial Narrow" w:cs="Tahoma"/>
        </w:rPr>
      </w:pPr>
      <w:r w:rsidRPr="004A1629">
        <w:rPr>
          <w:rFonts w:ascii="Arial Narrow" w:hAnsi="Arial Narrow" w:cs="Tahoma"/>
        </w:rPr>
        <w:t>Cieľom plánovania likvidity v Spoločnosti je zabezpečiť dostatok likvidných prostriedkov. Je to pomerne zložitý proces ovplyvňovaný nielen výkyvmi v ekonomike Spoločnosti , ale aj náhle zmeny vonkajších podmienok, čo sa snaží Spoločnosť prekonať vytvorením rezerv v podobe možnosti čerpania úveru a znížením nákladov.</w:t>
      </w:r>
    </w:p>
    <w:p w:rsidR="00AA7FCB" w:rsidRDefault="00AA7FCB" w:rsidP="00AA7FCB">
      <w:pPr>
        <w:rPr>
          <w:rFonts w:ascii="Arial Narrow" w:hAnsi="Arial Narrow" w:cs="Tahoma"/>
        </w:rPr>
      </w:pPr>
      <w:r>
        <w:rPr>
          <w:rFonts w:ascii="Arial Narrow" w:hAnsi="Arial Narrow" w:cs="Tahoma"/>
        </w:rPr>
        <w:t>Z výsledkov vykonanej analýzy likvidity je zrejmé, že ukazovatele likvidity</w:t>
      </w:r>
      <w:r w:rsidR="009A3F48">
        <w:rPr>
          <w:rFonts w:ascii="Arial Narrow" w:hAnsi="Arial Narrow" w:cs="Tahoma"/>
        </w:rPr>
        <w:t xml:space="preserve"> vykazujú </w:t>
      </w:r>
      <w:r>
        <w:rPr>
          <w:rFonts w:ascii="Arial Narrow" w:hAnsi="Arial Narrow" w:cs="Tahoma"/>
        </w:rPr>
        <w:t xml:space="preserve"> </w:t>
      </w:r>
      <w:r w:rsidR="009A3F48">
        <w:rPr>
          <w:rFonts w:ascii="Arial Narrow" w:hAnsi="Arial Narrow" w:cs="Tahoma"/>
        </w:rPr>
        <w:t xml:space="preserve">v porovnaní s </w:t>
      </w:r>
      <w:r>
        <w:rPr>
          <w:rFonts w:ascii="Arial Narrow" w:hAnsi="Arial Narrow" w:cs="Tahoma"/>
        </w:rPr>
        <w:t>predchádzajúcim období</w:t>
      </w:r>
      <w:r w:rsidR="009A3F48">
        <w:rPr>
          <w:rFonts w:ascii="Arial Narrow" w:hAnsi="Arial Narrow" w:cs="Tahoma"/>
        </w:rPr>
        <w:t xml:space="preserve">m nepriaznivejšie </w:t>
      </w:r>
      <w:r>
        <w:rPr>
          <w:rFonts w:ascii="Arial Narrow" w:hAnsi="Arial Narrow" w:cs="Tahoma"/>
        </w:rPr>
        <w:t>výsledky</w:t>
      </w:r>
      <w:r w:rsidR="009A3F48">
        <w:rPr>
          <w:rFonts w:ascii="Arial Narrow" w:hAnsi="Arial Narrow" w:cs="Tahoma"/>
        </w:rPr>
        <w:t>.</w:t>
      </w:r>
    </w:p>
    <w:p w:rsidR="00AA7FCB" w:rsidRDefault="00AA7FCB" w:rsidP="00AA7FCB">
      <w:pPr>
        <w:jc w:val="both"/>
        <w:rPr>
          <w:rFonts w:ascii="Arial Narrow" w:hAnsi="Arial Narrow" w:cs="Tahoma"/>
          <w:iCs/>
        </w:rPr>
      </w:pPr>
      <w:r w:rsidRPr="004A1629">
        <w:rPr>
          <w:rFonts w:ascii="Arial Narrow" w:hAnsi="Arial Narrow" w:cs="Tahoma"/>
          <w:iCs/>
        </w:rPr>
        <w:t>Vývoj v tomto účtovnom roku ovplyvňoval vykázaný hospodársky výsledok za rok 201</w:t>
      </w:r>
      <w:r w:rsidR="009A3F48">
        <w:rPr>
          <w:rFonts w:ascii="Arial Narrow" w:hAnsi="Arial Narrow" w:cs="Tahoma"/>
          <w:iCs/>
        </w:rPr>
        <w:t>5</w:t>
      </w:r>
      <w:r w:rsidRPr="004A1629">
        <w:rPr>
          <w:rFonts w:ascii="Arial Narrow" w:hAnsi="Arial Narrow" w:cs="Tahoma"/>
          <w:iCs/>
        </w:rPr>
        <w:t xml:space="preserve">, čo bolo spôsobené zvýšením tržieb </w:t>
      </w:r>
      <w:r>
        <w:rPr>
          <w:rFonts w:ascii="Arial Narrow" w:hAnsi="Arial Narrow" w:cs="Tahoma"/>
          <w:iCs/>
        </w:rPr>
        <w:t xml:space="preserve"> a to predovšetkým zvýšením tržieb z predaj služieb. Tržby z predaja  služieb vzrástli v porovnaní s minulým rokom o viac ako 5 %., pričom náklady na hospodársku činnosť vzrástli o percentuálne menej. </w:t>
      </w:r>
    </w:p>
    <w:p w:rsidR="00611BCA" w:rsidRDefault="00751B25" w:rsidP="00751B25">
      <w:pPr>
        <w:pStyle w:val="Bezriadkovania"/>
        <w:rPr>
          <w:rFonts w:ascii="Arial Narrow" w:hAnsi="Arial Narrow"/>
        </w:rPr>
      </w:pPr>
      <w:r w:rsidRPr="00751B25">
        <w:rPr>
          <w:rFonts w:ascii="Arial Narrow" w:hAnsi="Arial Narrow"/>
        </w:rPr>
        <w:t>Vývoj  nákladov a výnosov je uvedený v nasledovnej tabuľke:</w:t>
      </w:r>
    </w:p>
    <w:p w:rsidR="009A3F48" w:rsidRDefault="009A3F48" w:rsidP="00751B25">
      <w:pPr>
        <w:pStyle w:val="Bezriadkovania"/>
        <w:rPr>
          <w:rFonts w:ascii="Arial Narrow" w:hAnsi="Arial Narrow"/>
        </w:rPr>
      </w:pPr>
    </w:p>
    <w:tbl>
      <w:tblPr>
        <w:tblW w:w="5000"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5410"/>
        <w:gridCol w:w="890"/>
        <w:gridCol w:w="890"/>
        <w:gridCol w:w="890"/>
        <w:gridCol w:w="982"/>
      </w:tblGrid>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Text položky   (EUR)</w:t>
            </w:r>
          </w:p>
        </w:tc>
        <w:tc>
          <w:tcPr>
            <w:tcW w:w="491" w:type="pct"/>
            <w:shd w:val="clear" w:color="auto" w:fill="auto"/>
            <w:noWrap/>
            <w:vAlign w:val="bottom"/>
            <w:hideMark/>
          </w:tcPr>
          <w:p w:rsidR="009A3F48" w:rsidRPr="009A3F48" w:rsidRDefault="009A3F48" w:rsidP="009A3F48">
            <w:pPr>
              <w:spacing w:after="0" w:line="240" w:lineRule="auto"/>
              <w:jc w:val="center"/>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2012</w:t>
            </w:r>
          </w:p>
        </w:tc>
        <w:tc>
          <w:tcPr>
            <w:tcW w:w="491" w:type="pct"/>
            <w:shd w:val="clear" w:color="auto" w:fill="auto"/>
            <w:noWrap/>
            <w:vAlign w:val="bottom"/>
            <w:hideMark/>
          </w:tcPr>
          <w:p w:rsidR="009A3F48" w:rsidRPr="009A3F48" w:rsidRDefault="009A3F48" w:rsidP="009A3F48">
            <w:pPr>
              <w:spacing w:after="0" w:line="240" w:lineRule="auto"/>
              <w:jc w:val="center"/>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2013</w:t>
            </w:r>
          </w:p>
        </w:tc>
        <w:tc>
          <w:tcPr>
            <w:tcW w:w="491" w:type="pct"/>
            <w:shd w:val="clear" w:color="auto" w:fill="auto"/>
            <w:noWrap/>
            <w:vAlign w:val="bottom"/>
            <w:hideMark/>
          </w:tcPr>
          <w:p w:rsidR="009A3F48" w:rsidRPr="009A3F48" w:rsidRDefault="009A3F48" w:rsidP="009A3F48">
            <w:pPr>
              <w:spacing w:after="0" w:line="240" w:lineRule="auto"/>
              <w:jc w:val="center"/>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2014</w:t>
            </w:r>
          </w:p>
        </w:tc>
        <w:tc>
          <w:tcPr>
            <w:tcW w:w="543" w:type="pct"/>
            <w:shd w:val="clear" w:color="auto" w:fill="auto"/>
            <w:noWrap/>
            <w:vAlign w:val="bottom"/>
            <w:hideMark/>
          </w:tcPr>
          <w:p w:rsidR="009A3F48" w:rsidRPr="009A3F48" w:rsidRDefault="009A3F48" w:rsidP="009A3F48">
            <w:pPr>
              <w:spacing w:after="0" w:line="240" w:lineRule="auto"/>
              <w:jc w:val="center"/>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2015</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 xml:space="preserve">Výnosy z hospodárskej činnosti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2 443 335</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2 298 049</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2 406 944</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2 459 123</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Tržby z predaja tovaru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263 817</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245 707</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246 353</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233 136</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Tržby z predaja služieb</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2 112 168</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2 021 542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2 130 514</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2 201 671</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Aktivácia</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22 244</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22 736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22 479</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17 080</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Tržby z predaja dlh. </w:t>
            </w:r>
            <w:proofErr w:type="spellStart"/>
            <w:r w:rsidRPr="009A3F48">
              <w:rPr>
                <w:rFonts w:ascii="Arial Narrow" w:eastAsia="Times New Roman" w:hAnsi="Arial Narrow" w:cs="Calibri"/>
                <w:color w:val="000000"/>
                <w:sz w:val="20"/>
                <w:szCs w:val="20"/>
              </w:rPr>
              <w:t>nehmot</w:t>
            </w:r>
            <w:proofErr w:type="spellEnd"/>
            <w:r w:rsidRPr="009A3F48">
              <w:rPr>
                <w:rFonts w:ascii="Arial Narrow" w:eastAsia="Times New Roman" w:hAnsi="Arial Narrow" w:cs="Calibri"/>
                <w:color w:val="000000"/>
                <w:sz w:val="20"/>
                <w:szCs w:val="20"/>
              </w:rPr>
              <w:t xml:space="preserve">, </w:t>
            </w:r>
            <w:proofErr w:type="spellStart"/>
            <w:r w:rsidRPr="009A3F48">
              <w:rPr>
                <w:rFonts w:ascii="Arial Narrow" w:eastAsia="Times New Roman" w:hAnsi="Arial Narrow" w:cs="Calibri"/>
                <w:color w:val="000000"/>
                <w:sz w:val="20"/>
                <w:szCs w:val="20"/>
              </w:rPr>
              <w:t>hmot</w:t>
            </w:r>
            <w:proofErr w:type="spellEnd"/>
            <w:r w:rsidRPr="009A3F48">
              <w:rPr>
                <w:rFonts w:ascii="Arial Narrow" w:eastAsia="Times New Roman" w:hAnsi="Arial Narrow" w:cs="Calibri"/>
                <w:color w:val="000000"/>
                <w:sz w:val="20"/>
                <w:szCs w:val="20"/>
              </w:rPr>
              <w:t xml:space="preserve">. majetku a materiálu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9</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167</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Ostatné výnosy z hospodárskej činnosti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45 106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8 064</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7 589</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7 052</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Náklady na hospodársku činnosť spolu</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2 365 362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2 246 306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2 362 248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2 486 933</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Náklady vynaložené na obstaranie predaného tovaru</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94 879</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83 851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83 325</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77 537</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Spotreba materiálu, energie a ostatných neskladovateľných dodávok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608 350</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577 929</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534 572</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521 222</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Služby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838 278</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763 097</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938 678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1 111 332</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Osobné náklady</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788 096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792 902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774 555</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746 638</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Mzdové náklady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603 205</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578 051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564 312</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545 527</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Náklady na sociálne poistenie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181 230</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198 045</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192 647</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187 595</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Sociálne náklady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3 661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16 806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17 596</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13 516</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Dane a poplatky</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15 991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14 253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15 248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14 408</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Odpisy a opravné položky k </w:t>
            </w:r>
            <w:proofErr w:type="spellStart"/>
            <w:r w:rsidRPr="009A3F48">
              <w:rPr>
                <w:rFonts w:ascii="Arial Narrow" w:eastAsia="Times New Roman" w:hAnsi="Arial Narrow" w:cs="Calibri"/>
                <w:color w:val="000000"/>
                <w:sz w:val="20"/>
                <w:szCs w:val="20"/>
              </w:rPr>
              <w:t>dlh.nehmot.a</w:t>
            </w:r>
            <w:proofErr w:type="spellEnd"/>
            <w:r w:rsidRPr="009A3F48">
              <w:rPr>
                <w:rFonts w:ascii="Arial Narrow" w:eastAsia="Times New Roman" w:hAnsi="Arial Narrow" w:cs="Calibri"/>
                <w:color w:val="000000"/>
                <w:sz w:val="20"/>
                <w:szCs w:val="20"/>
              </w:rPr>
              <w:t xml:space="preserve"> </w:t>
            </w:r>
            <w:proofErr w:type="spellStart"/>
            <w:r w:rsidRPr="009A3F48">
              <w:rPr>
                <w:rFonts w:ascii="Arial Narrow" w:eastAsia="Times New Roman" w:hAnsi="Arial Narrow" w:cs="Calibri"/>
                <w:color w:val="000000"/>
                <w:sz w:val="20"/>
                <w:szCs w:val="20"/>
              </w:rPr>
              <w:t>hmot.majetku</w:t>
            </w:r>
            <w:proofErr w:type="spellEnd"/>
            <w:r w:rsidRPr="009A3F48">
              <w:rPr>
                <w:rFonts w:ascii="Arial Narrow" w:eastAsia="Times New Roman" w:hAnsi="Arial Narrow" w:cs="Calibri"/>
                <w:color w:val="000000"/>
                <w:sz w:val="20"/>
                <w:szCs w:val="20"/>
              </w:rPr>
              <w:t xml:space="preserve">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2 493</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1 408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3 355</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Odpisy dlhodobého nehmotného a dlhodobého hmotného majetku</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2 493</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1 408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3 355</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w:t>
            </w:r>
            <w:proofErr w:type="spellStart"/>
            <w:r w:rsidRPr="009A3F48">
              <w:rPr>
                <w:rFonts w:ascii="Arial Narrow" w:eastAsia="Times New Roman" w:hAnsi="Arial Narrow" w:cs="Calibri"/>
                <w:color w:val="000000"/>
                <w:sz w:val="20"/>
                <w:szCs w:val="20"/>
              </w:rPr>
              <w:t>Zostat</w:t>
            </w:r>
            <w:proofErr w:type="spellEnd"/>
            <w:r w:rsidRPr="009A3F48">
              <w:rPr>
                <w:rFonts w:ascii="Arial Narrow" w:eastAsia="Times New Roman" w:hAnsi="Arial Narrow" w:cs="Calibri"/>
                <w:color w:val="000000"/>
                <w:sz w:val="20"/>
                <w:szCs w:val="20"/>
              </w:rPr>
              <w:t xml:space="preserve">. cena predaného </w:t>
            </w:r>
            <w:proofErr w:type="spellStart"/>
            <w:r w:rsidRPr="009A3F48">
              <w:rPr>
                <w:rFonts w:ascii="Arial Narrow" w:eastAsia="Times New Roman" w:hAnsi="Arial Narrow" w:cs="Calibri"/>
                <w:color w:val="000000"/>
                <w:sz w:val="20"/>
                <w:szCs w:val="20"/>
              </w:rPr>
              <w:t>dlhod.majetku</w:t>
            </w:r>
            <w:proofErr w:type="spellEnd"/>
            <w:r w:rsidRPr="009A3F48">
              <w:rPr>
                <w:rFonts w:ascii="Arial Narrow" w:eastAsia="Times New Roman" w:hAnsi="Arial Narrow" w:cs="Calibri"/>
                <w:color w:val="000000"/>
                <w:sz w:val="20"/>
                <w:szCs w:val="20"/>
              </w:rPr>
              <w:t xml:space="preserve"> a predaného materiálu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9</w:t>
            </w:r>
          </w:p>
        </w:tc>
        <w:tc>
          <w:tcPr>
            <w:tcW w:w="543"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Opravné položky k pohľadávkam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-21 761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333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-140</w:t>
            </w:r>
          </w:p>
        </w:tc>
        <w:tc>
          <w:tcPr>
            <w:tcW w:w="543"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Ostatné náklady na hospodársku činnosť</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39 036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13 941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14 593</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12 441</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Výsledok hospodárenia z hospodárskej činnosti (+/-)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77 973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51 743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44 696</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-27 827</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Pridaná hodnota</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856 722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865 108</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842 771</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741 796,00</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Výnosy z finančnej činnosti</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18</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Výnosové úroky</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18</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Ostatné výnosové úroky</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12</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16</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18</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Kurzové zisky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6</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543"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Náklady na finančnú činnosť</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14 919</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14 799</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14 843</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14 643</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Nákladové úroky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840</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Ostatné nákladové úroky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840</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Kurzové straty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31</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15</w:t>
            </w:r>
          </w:p>
        </w:tc>
        <w:tc>
          <w:tcPr>
            <w:tcW w:w="543"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Ostatné náklady na finančnú činnosť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14 908</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14 768</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14 828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13 803</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Výsledok hospodárenia z finančnej činnosti (+/-)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-14 897</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-14 787</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-14 827</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-14 625</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 xml:space="preserve">Výsledok hospodárenia za účtovné obdobie pred zdanením (+/-)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63 076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36 956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29 869</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-42 452</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Daň z príjmov</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-470</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3 278</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1 292</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Daň z príjmov splatná</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2 882</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2 883</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xml:space="preserve">   Daň z príjmov odložená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-473</w:t>
            </w:r>
          </w:p>
        </w:tc>
        <w:tc>
          <w:tcPr>
            <w:tcW w:w="491"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396</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color w:val="000000"/>
                <w:sz w:val="20"/>
                <w:szCs w:val="20"/>
              </w:rPr>
            </w:pPr>
            <w:r w:rsidRPr="009A3F48">
              <w:rPr>
                <w:rFonts w:ascii="Arial Narrow" w:eastAsia="Times New Roman" w:hAnsi="Arial Narrow" w:cs="Calibri"/>
                <w:color w:val="000000"/>
                <w:sz w:val="20"/>
                <w:szCs w:val="20"/>
              </w:rPr>
              <w:t>-1 591</w:t>
            </w:r>
          </w:p>
        </w:tc>
      </w:tr>
      <w:tr w:rsidR="009A3F48" w:rsidRPr="009A3F48" w:rsidTr="009A3F48">
        <w:trPr>
          <w:trHeight w:val="300"/>
        </w:trPr>
        <w:tc>
          <w:tcPr>
            <w:tcW w:w="2985" w:type="pct"/>
            <w:shd w:val="clear" w:color="auto" w:fill="auto"/>
            <w:noWrap/>
            <w:vAlign w:val="bottom"/>
            <w:hideMark/>
          </w:tcPr>
          <w:p w:rsidR="009A3F48" w:rsidRPr="009A3F48" w:rsidRDefault="009A3F48" w:rsidP="009A3F48">
            <w:pPr>
              <w:spacing w:after="0" w:line="240" w:lineRule="auto"/>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 xml:space="preserve">Výsledok hospodárenia za účtovné obdobie po zdanení (+/-) </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63 546</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36 953</w:t>
            </w:r>
          </w:p>
        </w:tc>
        <w:tc>
          <w:tcPr>
            <w:tcW w:w="491"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26 591</w:t>
            </w:r>
          </w:p>
        </w:tc>
        <w:tc>
          <w:tcPr>
            <w:tcW w:w="543" w:type="pct"/>
            <w:shd w:val="clear" w:color="auto" w:fill="auto"/>
            <w:noWrap/>
            <w:vAlign w:val="bottom"/>
            <w:hideMark/>
          </w:tcPr>
          <w:p w:rsidR="009A3F48" w:rsidRPr="009A3F48" w:rsidRDefault="009A3F48" w:rsidP="009A3F48">
            <w:pPr>
              <w:spacing w:after="0" w:line="240" w:lineRule="auto"/>
              <w:jc w:val="right"/>
              <w:rPr>
                <w:rFonts w:ascii="Arial Narrow" w:eastAsia="Times New Roman" w:hAnsi="Arial Narrow" w:cs="Calibri"/>
                <w:b/>
                <w:bCs/>
                <w:color w:val="000000"/>
                <w:sz w:val="20"/>
                <w:szCs w:val="20"/>
              </w:rPr>
            </w:pPr>
            <w:r w:rsidRPr="009A3F48">
              <w:rPr>
                <w:rFonts w:ascii="Arial Narrow" w:eastAsia="Times New Roman" w:hAnsi="Arial Narrow" w:cs="Calibri"/>
                <w:b/>
                <w:bCs/>
                <w:color w:val="000000"/>
                <w:sz w:val="20"/>
                <w:szCs w:val="20"/>
              </w:rPr>
              <w:t>-43 744</w:t>
            </w:r>
          </w:p>
        </w:tc>
      </w:tr>
    </w:tbl>
    <w:p w:rsidR="009A3F48" w:rsidRPr="00751B25" w:rsidRDefault="009A3F48" w:rsidP="00751B25">
      <w:pPr>
        <w:pStyle w:val="Bezriadkovania"/>
        <w:rPr>
          <w:rFonts w:ascii="Arial Narrow" w:hAnsi="Arial Narrow"/>
        </w:rPr>
      </w:pPr>
    </w:p>
    <w:p w:rsidR="003D4435" w:rsidRDefault="003D4435" w:rsidP="003D4435">
      <w:pPr>
        <w:rPr>
          <w:rFonts w:ascii="Arial Narrow" w:hAnsi="Arial Narrow" w:cs="Tahoma"/>
        </w:rPr>
      </w:pPr>
      <w:r w:rsidRPr="004A1629">
        <w:rPr>
          <w:rFonts w:ascii="Arial Narrow" w:hAnsi="Arial Narrow" w:cs="Tahoma"/>
        </w:rPr>
        <w:t>Vývoj tržieb v absolútnej hodnote od roku 20</w:t>
      </w:r>
      <w:r>
        <w:rPr>
          <w:rFonts w:ascii="Arial Narrow" w:hAnsi="Arial Narrow" w:cs="Tahoma"/>
        </w:rPr>
        <w:t>1</w:t>
      </w:r>
      <w:r w:rsidR="009A3F48">
        <w:rPr>
          <w:rFonts w:ascii="Arial Narrow" w:hAnsi="Arial Narrow" w:cs="Tahoma"/>
        </w:rPr>
        <w:t>2</w:t>
      </w:r>
      <w:r w:rsidRPr="004A1629">
        <w:rPr>
          <w:rFonts w:ascii="Arial Narrow" w:hAnsi="Arial Narrow" w:cs="Tahoma"/>
        </w:rPr>
        <w:t xml:space="preserve"> až do roku 201</w:t>
      </w:r>
      <w:r w:rsidR="009A3F48">
        <w:rPr>
          <w:rFonts w:ascii="Arial Narrow" w:hAnsi="Arial Narrow" w:cs="Tahoma"/>
        </w:rPr>
        <w:t>5</w:t>
      </w:r>
      <w:r w:rsidRPr="004A1629">
        <w:rPr>
          <w:rFonts w:ascii="Arial Narrow" w:hAnsi="Arial Narrow" w:cs="Tahoma"/>
        </w:rPr>
        <w:t xml:space="preserve"> zobrazuje nasledovný graf:</w:t>
      </w:r>
    </w:p>
    <w:p w:rsidR="00E64DA1" w:rsidRPr="004A1629" w:rsidRDefault="00E64DA1" w:rsidP="003D4435">
      <w:pPr>
        <w:rPr>
          <w:rFonts w:ascii="Arial Narrow" w:hAnsi="Arial Narrow" w:cs="Tahoma"/>
        </w:rPr>
      </w:pPr>
      <w:r>
        <w:rPr>
          <w:noProof/>
        </w:rPr>
        <w:drawing>
          <wp:inline distT="0" distB="0" distL="0" distR="0" wp14:anchorId="5273EC6F" wp14:editId="3BA5329A">
            <wp:extent cx="4064000" cy="2025650"/>
            <wp:effectExtent l="0" t="0" r="12700" b="1270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A1629" w:rsidRDefault="004A1629" w:rsidP="004A1629">
      <w:pPr>
        <w:jc w:val="both"/>
        <w:rPr>
          <w:rFonts w:ascii="Arial Narrow" w:hAnsi="Arial Narrow" w:cs="Tahoma"/>
        </w:rPr>
      </w:pPr>
      <w:r w:rsidRPr="004A1629">
        <w:rPr>
          <w:rFonts w:ascii="Arial Narrow" w:hAnsi="Arial Narrow" w:cs="Tahoma"/>
        </w:rPr>
        <w:t>Prostredníctvom ukazovateľa rentability (</w:t>
      </w:r>
      <w:proofErr w:type="spellStart"/>
      <w:r w:rsidRPr="004A1629">
        <w:rPr>
          <w:rFonts w:ascii="Arial Narrow" w:hAnsi="Arial Narrow" w:cs="Tahoma"/>
        </w:rPr>
        <w:t>profitability</w:t>
      </w:r>
      <w:proofErr w:type="spellEnd"/>
      <w:r w:rsidRPr="004A1629">
        <w:rPr>
          <w:rFonts w:ascii="Arial Narrow" w:hAnsi="Arial Narrow" w:cs="Tahoma"/>
        </w:rPr>
        <w:t xml:space="preserve"> </w:t>
      </w:r>
      <w:proofErr w:type="spellStart"/>
      <w:r w:rsidRPr="004A1629">
        <w:rPr>
          <w:rFonts w:ascii="Arial Narrow" w:hAnsi="Arial Narrow" w:cs="Tahoma"/>
        </w:rPr>
        <w:t>rations</w:t>
      </w:r>
      <w:proofErr w:type="spellEnd"/>
      <w:r w:rsidRPr="004A1629">
        <w:rPr>
          <w:rFonts w:ascii="Arial Narrow" w:hAnsi="Arial Narrow" w:cs="Tahoma"/>
        </w:rPr>
        <w:t>) je demonštrovaný výsledok (výnosnosť) úsilia Spoločnosti. Boli vypočítané nasledovné ukazovatele:</w:t>
      </w:r>
    </w:p>
    <w:tbl>
      <w:tblPr>
        <w:tblW w:w="6820" w:type="dxa"/>
        <w:tblInd w:w="55" w:type="dxa"/>
        <w:tblCellMar>
          <w:left w:w="70" w:type="dxa"/>
          <w:right w:w="70" w:type="dxa"/>
        </w:tblCellMar>
        <w:tblLook w:val="04A0" w:firstRow="1" w:lastRow="0" w:firstColumn="1" w:lastColumn="0" w:noHBand="0" w:noVBand="1"/>
      </w:tblPr>
      <w:tblGrid>
        <w:gridCol w:w="2980"/>
        <w:gridCol w:w="960"/>
        <w:gridCol w:w="960"/>
        <w:gridCol w:w="960"/>
        <w:gridCol w:w="960"/>
      </w:tblGrid>
      <w:tr w:rsidR="00E64DA1" w:rsidRPr="00E64DA1" w:rsidTr="00E64DA1">
        <w:trPr>
          <w:trHeight w:val="330"/>
        </w:trPr>
        <w:tc>
          <w:tcPr>
            <w:tcW w:w="29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rPr>
                <w:rFonts w:ascii="Arial Narrow" w:eastAsia="Times New Roman" w:hAnsi="Arial Narrow" w:cs="Calibri"/>
                <w:b/>
                <w:bCs/>
                <w:color w:val="000000"/>
              </w:rPr>
            </w:pPr>
            <w:r w:rsidRPr="00E64DA1">
              <w:rPr>
                <w:rFonts w:ascii="Arial Narrow" w:eastAsia="Times New Roman" w:hAnsi="Arial Narrow" w:cs="Calibri"/>
                <w:b/>
                <w:bCs/>
                <w:color w:val="000000"/>
              </w:rPr>
              <w:t>Text položky</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b/>
                <w:bCs/>
                <w:color w:val="000000"/>
              </w:rPr>
            </w:pPr>
            <w:r w:rsidRPr="00E64DA1">
              <w:rPr>
                <w:rFonts w:ascii="Arial Narrow" w:eastAsia="Times New Roman" w:hAnsi="Arial Narrow" w:cs="Calibri"/>
                <w:b/>
                <w:bCs/>
                <w:color w:val="000000"/>
              </w:rPr>
              <w:t>2012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b/>
                <w:bCs/>
                <w:color w:val="000000"/>
              </w:rPr>
            </w:pPr>
            <w:r w:rsidRPr="00E64DA1">
              <w:rPr>
                <w:rFonts w:ascii="Arial Narrow" w:eastAsia="Times New Roman" w:hAnsi="Arial Narrow" w:cs="Calibri"/>
                <w:b/>
                <w:bCs/>
                <w:color w:val="000000"/>
              </w:rPr>
              <w:t>2013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b/>
                <w:bCs/>
                <w:color w:val="000000"/>
              </w:rPr>
            </w:pPr>
            <w:r w:rsidRPr="00E64DA1">
              <w:rPr>
                <w:rFonts w:ascii="Arial Narrow" w:eastAsia="Times New Roman" w:hAnsi="Arial Narrow" w:cs="Calibri"/>
                <w:b/>
                <w:bCs/>
                <w:color w:val="000000"/>
              </w:rPr>
              <w:t>2014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b/>
                <w:bCs/>
                <w:color w:val="000000"/>
              </w:rPr>
            </w:pPr>
            <w:r w:rsidRPr="00E64DA1">
              <w:rPr>
                <w:rFonts w:ascii="Arial Narrow" w:eastAsia="Times New Roman" w:hAnsi="Arial Narrow" w:cs="Calibri"/>
                <w:b/>
                <w:bCs/>
                <w:color w:val="000000"/>
              </w:rPr>
              <w:t>2015</w:t>
            </w:r>
          </w:p>
        </w:tc>
      </w:tr>
      <w:tr w:rsidR="00E64DA1" w:rsidRPr="00E64DA1" w:rsidTr="00E64DA1">
        <w:trPr>
          <w:trHeight w:val="33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rPr>
                <w:rFonts w:ascii="Arial Narrow" w:eastAsia="Times New Roman" w:hAnsi="Arial Narrow" w:cs="Calibri"/>
                <w:color w:val="000000"/>
              </w:rPr>
            </w:pPr>
            <w:r w:rsidRPr="00E64DA1">
              <w:rPr>
                <w:rFonts w:ascii="Arial Narrow" w:eastAsia="Times New Roman" w:hAnsi="Arial Narrow" w:cs="Calibri"/>
                <w:color w:val="000000"/>
              </w:rPr>
              <w:t>Rentabilita celkového kapitálu</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0,21</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0,07</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0,06</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-0,13</w:t>
            </w:r>
          </w:p>
        </w:tc>
      </w:tr>
      <w:tr w:rsidR="00E64DA1" w:rsidRPr="00E64DA1" w:rsidTr="00E64DA1">
        <w:trPr>
          <w:trHeight w:val="33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rPr>
                <w:rFonts w:ascii="Arial Narrow" w:eastAsia="Times New Roman" w:hAnsi="Arial Narrow" w:cs="Calibri"/>
                <w:color w:val="000000"/>
              </w:rPr>
            </w:pPr>
            <w:r w:rsidRPr="00E64DA1">
              <w:rPr>
                <w:rFonts w:ascii="Arial Narrow" w:eastAsia="Times New Roman" w:hAnsi="Arial Narrow" w:cs="Calibri"/>
                <w:color w:val="000000"/>
              </w:rPr>
              <w:t>Rentabilita vlastného kapitálu</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-0,53</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-0,45</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-0,47</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0,44</w:t>
            </w:r>
          </w:p>
        </w:tc>
      </w:tr>
      <w:tr w:rsidR="00E64DA1" w:rsidRPr="00E64DA1" w:rsidTr="00E64DA1">
        <w:trPr>
          <w:trHeight w:val="33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rPr>
                <w:rFonts w:ascii="Arial Narrow" w:eastAsia="Times New Roman" w:hAnsi="Arial Narrow" w:cs="Calibri"/>
                <w:color w:val="000000"/>
              </w:rPr>
            </w:pPr>
            <w:r w:rsidRPr="00E64DA1">
              <w:rPr>
                <w:rFonts w:ascii="Arial Narrow" w:eastAsia="Times New Roman" w:hAnsi="Arial Narrow" w:cs="Calibri"/>
                <w:color w:val="000000"/>
              </w:rPr>
              <w:t>Rentabilita tržieb</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0,01</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-0,02</w:t>
            </w:r>
          </w:p>
        </w:tc>
      </w:tr>
      <w:tr w:rsidR="00E64DA1" w:rsidRPr="00E64DA1" w:rsidTr="00E64DA1">
        <w:trPr>
          <w:trHeight w:val="330"/>
        </w:trPr>
        <w:tc>
          <w:tcPr>
            <w:tcW w:w="2980" w:type="dxa"/>
            <w:tcBorders>
              <w:top w:val="nil"/>
              <w:left w:val="single" w:sz="4" w:space="0" w:color="auto"/>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rPr>
                <w:rFonts w:ascii="Arial Narrow" w:eastAsia="Times New Roman" w:hAnsi="Arial Narrow" w:cs="Calibri"/>
                <w:color w:val="000000"/>
              </w:rPr>
            </w:pPr>
            <w:r w:rsidRPr="00E64DA1">
              <w:rPr>
                <w:rFonts w:ascii="Arial Narrow" w:eastAsia="Times New Roman" w:hAnsi="Arial Narrow" w:cs="Calibri"/>
                <w:color w:val="000000"/>
              </w:rPr>
              <w:t>Rentabilita nákladov</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0,03</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0,02</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0,01</w:t>
            </w:r>
          </w:p>
        </w:tc>
        <w:tc>
          <w:tcPr>
            <w:tcW w:w="960" w:type="dxa"/>
            <w:tcBorders>
              <w:top w:val="nil"/>
              <w:left w:val="nil"/>
              <w:bottom w:val="single" w:sz="4" w:space="0" w:color="auto"/>
              <w:right w:val="single" w:sz="4" w:space="0" w:color="auto"/>
            </w:tcBorders>
            <w:shd w:val="clear" w:color="auto" w:fill="auto"/>
            <w:noWrap/>
            <w:vAlign w:val="bottom"/>
            <w:hideMark/>
          </w:tcPr>
          <w:p w:rsidR="00E64DA1" w:rsidRPr="00E64DA1" w:rsidRDefault="00E64DA1" w:rsidP="00E64DA1">
            <w:pPr>
              <w:spacing w:after="0" w:line="240" w:lineRule="auto"/>
              <w:jc w:val="right"/>
              <w:rPr>
                <w:rFonts w:ascii="Arial Narrow" w:eastAsia="Times New Roman" w:hAnsi="Arial Narrow" w:cs="Calibri"/>
                <w:color w:val="000000"/>
              </w:rPr>
            </w:pPr>
            <w:r w:rsidRPr="00E64DA1">
              <w:rPr>
                <w:rFonts w:ascii="Arial Narrow" w:eastAsia="Times New Roman" w:hAnsi="Arial Narrow" w:cs="Calibri"/>
                <w:color w:val="000000"/>
              </w:rPr>
              <w:t>-0,02</w:t>
            </w:r>
          </w:p>
        </w:tc>
      </w:tr>
    </w:tbl>
    <w:p w:rsidR="00E64DA1" w:rsidRDefault="00E64DA1" w:rsidP="004A1629">
      <w:pPr>
        <w:jc w:val="both"/>
        <w:rPr>
          <w:rFonts w:ascii="Arial Narrow" w:hAnsi="Arial Narrow" w:cs="Tahoma"/>
        </w:rPr>
      </w:pPr>
    </w:p>
    <w:p w:rsidR="004A1629" w:rsidRPr="004A1629" w:rsidRDefault="004A1629" w:rsidP="004A1629">
      <w:pPr>
        <w:jc w:val="both"/>
        <w:rPr>
          <w:rFonts w:ascii="Arial Narrow" w:hAnsi="Arial Narrow" w:cs="Tahoma"/>
        </w:rPr>
      </w:pPr>
      <w:r w:rsidRPr="004A1629">
        <w:rPr>
          <w:rFonts w:ascii="Arial Narrow" w:hAnsi="Arial Narrow" w:cs="Tahoma"/>
        </w:rPr>
        <w:t xml:space="preserve">Ukazovateľ rentability celkových aktív (ROA – </w:t>
      </w:r>
      <w:proofErr w:type="spellStart"/>
      <w:r w:rsidRPr="004A1629">
        <w:rPr>
          <w:rFonts w:ascii="Arial Narrow" w:hAnsi="Arial Narrow" w:cs="Tahoma"/>
        </w:rPr>
        <w:t>return</w:t>
      </w:r>
      <w:proofErr w:type="spellEnd"/>
      <w:r w:rsidRPr="004A1629">
        <w:rPr>
          <w:rFonts w:ascii="Arial Narrow" w:hAnsi="Arial Narrow" w:cs="Tahoma"/>
        </w:rPr>
        <w:t xml:space="preserve"> on </w:t>
      </w:r>
      <w:proofErr w:type="spellStart"/>
      <w:r w:rsidRPr="004A1629">
        <w:rPr>
          <w:rFonts w:ascii="Arial Narrow" w:hAnsi="Arial Narrow" w:cs="Tahoma"/>
        </w:rPr>
        <w:t>assets</w:t>
      </w:r>
      <w:proofErr w:type="spellEnd"/>
      <w:r w:rsidRPr="004A1629">
        <w:rPr>
          <w:rFonts w:ascii="Arial Narrow" w:hAnsi="Arial Narrow" w:cs="Tahoma"/>
        </w:rPr>
        <w:t>), vypočítaný ako podiel čistého zisku k aktívam celkom,  v porovnaní s</w:t>
      </w:r>
      <w:r w:rsidR="00E64DA1">
        <w:rPr>
          <w:rFonts w:ascii="Arial Narrow" w:hAnsi="Arial Narrow" w:cs="Tahoma"/>
        </w:rPr>
        <w:t> prechádzajúcimi rokmi má klesajúcu tendenciu.</w:t>
      </w:r>
      <w:r w:rsidR="00AA7FCB">
        <w:rPr>
          <w:rFonts w:ascii="Arial Narrow" w:hAnsi="Arial Narrow" w:cs="Tahoma"/>
        </w:rPr>
        <w:t>.</w:t>
      </w:r>
      <w:r w:rsidRPr="004A1629">
        <w:rPr>
          <w:rFonts w:ascii="Arial Narrow" w:hAnsi="Arial Narrow" w:cs="Tahoma"/>
        </w:rPr>
        <w:t xml:space="preserve"> Ukazovateľ vyjadruje zhodnotenie celkových aktív bez ohľadu na to, z akých zdrojov sú financované.</w:t>
      </w:r>
    </w:p>
    <w:p w:rsidR="004A1629" w:rsidRPr="004A1629" w:rsidRDefault="004A1629" w:rsidP="004A1629">
      <w:pPr>
        <w:jc w:val="both"/>
        <w:rPr>
          <w:rFonts w:ascii="Arial Narrow" w:hAnsi="Arial Narrow" w:cs="Tahoma"/>
        </w:rPr>
      </w:pPr>
      <w:r w:rsidRPr="004A1629">
        <w:rPr>
          <w:rFonts w:ascii="Arial Narrow" w:hAnsi="Arial Narrow" w:cs="Tahoma"/>
        </w:rPr>
        <w:t xml:space="preserve">Ukazovateľ rentabilita vlastného imania (ROE – </w:t>
      </w:r>
      <w:proofErr w:type="spellStart"/>
      <w:r w:rsidRPr="004A1629">
        <w:rPr>
          <w:rFonts w:ascii="Arial Narrow" w:hAnsi="Arial Narrow" w:cs="Tahoma"/>
        </w:rPr>
        <w:t>return</w:t>
      </w:r>
      <w:proofErr w:type="spellEnd"/>
      <w:r w:rsidRPr="004A1629">
        <w:rPr>
          <w:rFonts w:ascii="Arial Narrow" w:hAnsi="Arial Narrow" w:cs="Tahoma"/>
        </w:rPr>
        <w:t xml:space="preserve"> on </w:t>
      </w:r>
      <w:proofErr w:type="spellStart"/>
      <w:r w:rsidRPr="004A1629">
        <w:rPr>
          <w:rFonts w:ascii="Arial Narrow" w:hAnsi="Arial Narrow" w:cs="Tahoma"/>
        </w:rPr>
        <w:t>equity</w:t>
      </w:r>
      <w:proofErr w:type="spellEnd"/>
      <w:r w:rsidRPr="004A1629">
        <w:rPr>
          <w:rFonts w:ascii="Arial Narrow" w:hAnsi="Arial Narrow" w:cs="Tahoma"/>
        </w:rPr>
        <w:t>), vypočítaný ako podiel čistého zisku a vlastného imania</w:t>
      </w:r>
      <w:r w:rsidR="00E64DA1">
        <w:rPr>
          <w:rFonts w:ascii="Arial Narrow" w:hAnsi="Arial Narrow" w:cs="Tahoma"/>
        </w:rPr>
        <w:t xml:space="preserve"> v roku 2015 sa stúpajúcu tendenciu v porovnaní s rokom 201</w:t>
      </w:r>
      <w:r w:rsidR="006163C7">
        <w:rPr>
          <w:rFonts w:ascii="Arial Narrow" w:hAnsi="Arial Narrow" w:cs="Tahoma"/>
        </w:rPr>
        <w:t>4</w:t>
      </w:r>
      <w:r w:rsidR="00E64DA1">
        <w:rPr>
          <w:rFonts w:ascii="Arial Narrow" w:hAnsi="Arial Narrow" w:cs="Tahoma"/>
        </w:rPr>
        <w:t xml:space="preserve"> a taktiež s rokom 2013 kedy dosiahol mínusové hodnoty.</w:t>
      </w:r>
      <w:r w:rsidRPr="004A1629">
        <w:rPr>
          <w:rFonts w:ascii="Arial Narrow" w:hAnsi="Arial Narrow" w:cs="Tahoma"/>
        </w:rPr>
        <w:t xml:space="preserve"> Ukazovateľ vyjadruje mieru ziskovosti z vlastného kapitálu.</w:t>
      </w:r>
    </w:p>
    <w:p w:rsidR="004A1629" w:rsidRPr="004A1629" w:rsidRDefault="004A1629" w:rsidP="004A1629">
      <w:pPr>
        <w:jc w:val="both"/>
        <w:rPr>
          <w:rFonts w:ascii="Arial Narrow" w:hAnsi="Arial Narrow" w:cs="Tahoma"/>
        </w:rPr>
      </w:pPr>
      <w:r w:rsidRPr="004A1629">
        <w:rPr>
          <w:rFonts w:ascii="Arial Narrow" w:hAnsi="Arial Narrow" w:cs="Tahoma"/>
        </w:rPr>
        <w:t xml:space="preserve">Ukazovateľ rentabilita tržieb (profit </w:t>
      </w:r>
      <w:proofErr w:type="spellStart"/>
      <w:r w:rsidRPr="004A1629">
        <w:rPr>
          <w:rFonts w:ascii="Arial Narrow" w:hAnsi="Arial Narrow" w:cs="Tahoma"/>
        </w:rPr>
        <w:t>margin</w:t>
      </w:r>
      <w:proofErr w:type="spellEnd"/>
      <w:r w:rsidRPr="004A1629">
        <w:rPr>
          <w:rFonts w:ascii="Arial Narrow" w:hAnsi="Arial Narrow" w:cs="Tahoma"/>
        </w:rPr>
        <w:t xml:space="preserve"> on </w:t>
      </w:r>
      <w:proofErr w:type="spellStart"/>
      <w:r w:rsidRPr="004A1629">
        <w:rPr>
          <w:rFonts w:ascii="Arial Narrow" w:hAnsi="Arial Narrow" w:cs="Tahoma"/>
        </w:rPr>
        <w:t>sales</w:t>
      </w:r>
      <w:proofErr w:type="spellEnd"/>
      <w:r w:rsidRPr="004A1629">
        <w:rPr>
          <w:rFonts w:ascii="Arial Narrow" w:hAnsi="Arial Narrow" w:cs="Tahoma"/>
        </w:rPr>
        <w:t xml:space="preserve">), vypočítaný ako podiel čistého zisku a tržieb </w:t>
      </w:r>
      <w:r w:rsidR="00AA7FCB">
        <w:rPr>
          <w:rFonts w:ascii="Arial Narrow" w:hAnsi="Arial Narrow" w:cs="Tahoma"/>
        </w:rPr>
        <w:t xml:space="preserve">taktiež zaznamenal mierny pokles </w:t>
      </w:r>
      <w:r w:rsidRPr="004A1629">
        <w:rPr>
          <w:rFonts w:ascii="Arial Narrow" w:hAnsi="Arial Narrow" w:cs="Tahoma"/>
        </w:rPr>
        <w:t xml:space="preserve">  v porovnaní s minulým obdobím na úroveň </w:t>
      </w:r>
      <w:r w:rsidR="00E64DA1">
        <w:rPr>
          <w:rFonts w:ascii="Arial Narrow" w:hAnsi="Arial Narrow" w:cs="Tahoma"/>
        </w:rPr>
        <w:t>-0,02</w:t>
      </w:r>
      <w:r w:rsidRPr="004A1629">
        <w:rPr>
          <w:rFonts w:ascii="Arial Narrow" w:hAnsi="Arial Narrow" w:cs="Tahoma"/>
        </w:rPr>
        <w:t xml:space="preserve">. </w:t>
      </w:r>
    </w:p>
    <w:p w:rsidR="004A1629" w:rsidRPr="004A1629" w:rsidRDefault="004A1629" w:rsidP="004A1629">
      <w:pPr>
        <w:jc w:val="both"/>
        <w:rPr>
          <w:rFonts w:ascii="Arial Narrow" w:hAnsi="Arial Narrow" w:cs="Tahoma"/>
        </w:rPr>
      </w:pPr>
      <w:r w:rsidRPr="004A1629">
        <w:rPr>
          <w:rFonts w:ascii="Arial Narrow" w:hAnsi="Arial Narrow" w:cs="Tahoma"/>
        </w:rPr>
        <w:t>Ukazovatele rentability súvisia s dosiahnutými tržbami. Z výsledkov je zrejmé, že  rozhodujúce tržby - tržby za predaj tovaru Spoločnosti -  v porovnaní s rokom 201</w:t>
      </w:r>
      <w:r w:rsidR="00E64DA1">
        <w:rPr>
          <w:rFonts w:ascii="Arial Narrow" w:hAnsi="Arial Narrow" w:cs="Tahoma"/>
        </w:rPr>
        <w:t>4</w:t>
      </w:r>
      <w:r w:rsidRPr="004A1629">
        <w:rPr>
          <w:rFonts w:ascii="Arial Narrow" w:hAnsi="Arial Narrow" w:cs="Tahoma"/>
        </w:rPr>
        <w:t xml:space="preserve"> vzrástli i o</w:t>
      </w:r>
      <w:r w:rsidR="00E64DA1">
        <w:rPr>
          <w:rFonts w:ascii="Arial Narrow" w:hAnsi="Arial Narrow" w:cs="Tahoma"/>
        </w:rPr>
        <w:t xml:space="preserve"> viac ako 3 </w:t>
      </w:r>
      <w:r w:rsidRPr="004A1629">
        <w:rPr>
          <w:rFonts w:ascii="Arial Narrow" w:hAnsi="Arial Narrow" w:cs="Tahoma"/>
        </w:rPr>
        <w:t xml:space="preserve"> %. </w:t>
      </w:r>
    </w:p>
    <w:p w:rsidR="004A1629" w:rsidRDefault="004A1629" w:rsidP="004A1629">
      <w:pPr>
        <w:jc w:val="both"/>
        <w:rPr>
          <w:rFonts w:ascii="Arial Narrow" w:hAnsi="Arial Narrow" w:cs="Tahoma"/>
        </w:rPr>
      </w:pPr>
      <w:r w:rsidRPr="004A1629">
        <w:rPr>
          <w:rFonts w:ascii="Arial Narrow" w:hAnsi="Arial Narrow" w:cs="Tahoma"/>
        </w:rPr>
        <w:t>Spoločnosť  vykázala  za účtovné obdobie roka 201</w:t>
      </w:r>
      <w:r w:rsidR="00E64DA1">
        <w:rPr>
          <w:rFonts w:ascii="Arial Narrow" w:hAnsi="Arial Narrow" w:cs="Tahoma"/>
        </w:rPr>
        <w:t>5</w:t>
      </w:r>
      <w:r w:rsidRPr="004A1629">
        <w:rPr>
          <w:rFonts w:ascii="Arial Narrow" w:hAnsi="Arial Narrow" w:cs="Tahoma"/>
        </w:rPr>
        <w:t xml:space="preserve">  hospodársky výsledok – </w:t>
      </w:r>
      <w:r w:rsidR="00E64DA1">
        <w:rPr>
          <w:rFonts w:ascii="Arial Narrow" w:hAnsi="Arial Narrow" w:cs="Tahoma"/>
        </w:rPr>
        <w:t xml:space="preserve">stratu </w:t>
      </w:r>
      <w:r w:rsidRPr="004A1629">
        <w:rPr>
          <w:rFonts w:ascii="Arial Narrow" w:hAnsi="Arial Narrow" w:cs="Tahoma"/>
        </w:rPr>
        <w:t xml:space="preserve">  vo výške </w:t>
      </w:r>
      <w:r w:rsidR="00E64DA1">
        <w:rPr>
          <w:rFonts w:ascii="Arial Narrow" w:hAnsi="Arial Narrow" w:cs="Tahoma"/>
        </w:rPr>
        <w:t>– 43 744</w:t>
      </w:r>
      <w:r w:rsidRPr="004A1629">
        <w:rPr>
          <w:rFonts w:ascii="Arial Narrow" w:hAnsi="Arial Narrow" w:cs="Tahoma"/>
        </w:rPr>
        <w:t xml:space="preserve"> EUR. Zúčtovanie hospodárskeho výsledku Spoločnosť navrhne na Valnom zhromaždení. Návrh   pre Valné zhromaždenie je    zúčtovanie</w:t>
      </w:r>
      <w:r w:rsidR="003D4435">
        <w:rPr>
          <w:rFonts w:ascii="Arial Narrow" w:hAnsi="Arial Narrow" w:cs="Tahoma"/>
        </w:rPr>
        <w:t xml:space="preserve"> strát minulých účtovných období.</w:t>
      </w:r>
    </w:p>
    <w:p w:rsidR="00751B25" w:rsidRDefault="004A1629" w:rsidP="004A1629">
      <w:pPr>
        <w:jc w:val="both"/>
        <w:rPr>
          <w:rFonts w:ascii="Arial Narrow" w:hAnsi="Arial Narrow" w:cs="Tahoma"/>
        </w:rPr>
      </w:pPr>
      <w:r w:rsidRPr="00C7196A">
        <w:rPr>
          <w:rFonts w:ascii="Arial Narrow" w:hAnsi="Arial Narrow" w:cs="Tahoma"/>
        </w:rPr>
        <w:t xml:space="preserve">Prostredníctvom dosiahnutých výnosov a majetkovej situácie je možné stanoviť účtovné ocenenie majetku Spoločnosti ako celku. Na účely ocenenia sa reálnou hodnotou rozumie trhová cena. Trhová cena je cena, ktorá je vyhlásená na tuzemskej alebo zahraničnej burze alebo na inom verejnom trhu. I napriek skutočnosti, že Spoločnosť je akciovou Spoločnosťou, jej akcie nie sú voľne obchodovateľné na trhu. Z daného dôvodu je </w:t>
      </w:r>
      <w:r w:rsidR="001A3D34">
        <w:rPr>
          <w:rFonts w:ascii="Arial Narrow" w:hAnsi="Arial Narrow" w:cs="Tahoma"/>
        </w:rPr>
        <w:t xml:space="preserve">možné vypočítať </w:t>
      </w:r>
      <w:r w:rsidRPr="00C7196A">
        <w:rPr>
          <w:rFonts w:ascii="Arial Narrow" w:hAnsi="Arial Narrow" w:cs="Tahoma"/>
        </w:rPr>
        <w:t>ukazovateľ účtovná hodnota jednej akcie (</w:t>
      </w:r>
      <w:proofErr w:type="spellStart"/>
      <w:r w:rsidRPr="00C7196A">
        <w:rPr>
          <w:rFonts w:ascii="Arial Narrow" w:hAnsi="Arial Narrow" w:cs="Tahoma"/>
        </w:rPr>
        <w:t>book</w:t>
      </w:r>
      <w:proofErr w:type="spellEnd"/>
      <w:r w:rsidRPr="00C7196A">
        <w:rPr>
          <w:rFonts w:ascii="Arial Narrow" w:hAnsi="Arial Narrow" w:cs="Tahoma"/>
        </w:rPr>
        <w:t xml:space="preserve"> </w:t>
      </w:r>
      <w:proofErr w:type="spellStart"/>
      <w:r w:rsidRPr="00C7196A">
        <w:rPr>
          <w:rFonts w:ascii="Arial Narrow" w:hAnsi="Arial Narrow" w:cs="Tahoma"/>
        </w:rPr>
        <w:t>value</w:t>
      </w:r>
      <w:proofErr w:type="spellEnd"/>
      <w:r w:rsidRPr="00C7196A">
        <w:rPr>
          <w:rFonts w:ascii="Arial Narrow" w:hAnsi="Arial Narrow" w:cs="Tahoma"/>
        </w:rPr>
        <w:t xml:space="preserve"> per </w:t>
      </w:r>
      <w:proofErr w:type="spellStart"/>
      <w:r w:rsidRPr="00C7196A">
        <w:rPr>
          <w:rFonts w:ascii="Arial Narrow" w:hAnsi="Arial Narrow" w:cs="Tahoma"/>
        </w:rPr>
        <w:t>share</w:t>
      </w:r>
      <w:proofErr w:type="spellEnd"/>
      <w:r w:rsidRPr="00C7196A">
        <w:rPr>
          <w:rFonts w:ascii="Arial Narrow" w:hAnsi="Arial Narrow" w:cs="Tahoma"/>
        </w:rPr>
        <w:t>) ako podiel vlastného imania a počtu emitovaných akcií.</w:t>
      </w:r>
      <w:r w:rsidR="001A3D34">
        <w:rPr>
          <w:rFonts w:ascii="Arial Narrow" w:hAnsi="Arial Narrow" w:cs="Tahoma"/>
        </w:rPr>
        <w:t xml:space="preserve">  Z dôvodu, že Spoločnosť vykazuje mínusové vlastné imanie,  účtovná hodnota akcie je 0. </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RIZIKÁ A NEISTOTY, KTORýM JE Spoločnosť VYSTAVENÁ</w:t>
      </w:r>
    </w:p>
    <w:p w:rsidR="004A1629" w:rsidRPr="004A1629" w:rsidRDefault="004A1629" w:rsidP="004A1629">
      <w:pPr>
        <w:jc w:val="both"/>
        <w:rPr>
          <w:rFonts w:ascii="Arial Narrow" w:hAnsi="Arial Narrow" w:cs="Tahoma"/>
        </w:rPr>
      </w:pPr>
      <w:r w:rsidRPr="004A1629">
        <w:rPr>
          <w:rFonts w:ascii="Arial Narrow" w:hAnsi="Arial Narrow" w:cs="Tahoma"/>
        </w:rPr>
        <w:t xml:space="preserve">Hlavnou činnosťou Spoločnosti je </w:t>
      </w:r>
      <w:r w:rsidR="00C7196A">
        <w:rPr>
          <w:rFonts w:ascii="Arial Narrow" w:hAnsi="Arial Narrow" w:cs="Tahoma"/>
        </w:rPr>
        <w:t xml:space="preserve">poskytovanie stravovacích a ubytovacích služieb a s tým spojených služieb. </w:t>
      </w:r>
      <w:r w:rsidRPr="004A1629">
        <w:rPr>
          <w:rFonts w:ascii="Arial Narrow" w:hAnsi="Arial Narrow" w:cs="Tahoma"/>
        </w:rPr>
        <w:t xml:space="preserve"> Politika štátu a jej vplyv na obyvateľstvo a podnikateľské subjekty, zmeny v zákonoch ovplyvňujúce činnosť Spoločnosti môžu do určitej miery vplývať na ďalší rozvoj Spoločnosti. </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VPLYV ČINNOSTI SPOLOČNOSTI A JEJ DOPAD NA ŽIVOTNÉ PROSTREDIE</w:t>
      </w:r>
    </w:p>
    <w:p w:rsidR="004A1629" w:rsidRPr="004A1629" w:rsidRDefault="004A1629" w:rsidP="004A1629">
      <w:pPr>
        <w:pStyle w:val="Zarkazkladnhotextu2"/>
        <w:ind w:firstLine="0"/>
        <w:rPr>
          <w:rFonts w:ascii="Arial Narrow" w:hAnsi="Arial Narrow" w:cs="Tahoma"/>
          <w:sz w:val="22"/>
          <w:szCs w:val="22"/>
        </w:rPr>
      </w:pPr>
      <w:r w:rsidRPr="004A1629">
        <w:rPr>
          <w:rFonts w:ascii="Arial Narrow" w:hAnsi="Arial Narrow" w:cs="Tahoma"/>
          <w:sz w:val="22"/>
          <w:szCs w:val="22"/>
        </w:rPr>
        <w:t>Snahou spoločnosti je preferovať predávané tovary, ktoré sú ekologicky nezávadné. Pri objednávaní zamestnanci Spoločnosti kontrolujú, aby tovar nebol v rozpore s platnými normami týkajúcimi sa predovšetkým ochrany zdravia spotrebiteľov. Pri dovoze tovaru zo zahraničia si Spoločnosť plní svoje odvodové povinnosti do recyklačného fondu. Aktívne sa podieľa aj na spätnom zbere elektrozariadení.</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VPLYV SPOLOČNOSTI NA ZAMESTNANOSŤ</w:t>
      </w:r>
    </w:p>
    <w:p w:rsidR="004A1629" w:rsidRPr="004A1629" w:rsidRDefault="004A1629" w:rsidP="004A1629">
      <w:pPr>
        <w:pStyle w:val="Zkladntext2"/>
        <w:jc w:val="both"/>
        <w:rPr>
          <w:rFonts w:ascii="Arial Narrow" w:hAnsi="Arial Narrow" w:cs="Tahoma"/>
          <w:i w:val="0"/>
          <w:sz w:val="22"/>
          <w:szCs w:val="22"/>
        </w:rPr>
      </w:pPr>
      <w:r w:rsidRPr="004A1629">
        <w:rPr>
          <w:rFonts w:ascii="Arial Narrow" w:hAnsi="Arial Narrow" w:cs="Tahoma"/>
          <w:i w:val="0"/>
          <w:sz w:val="22"/>
          <w:szCs w:val="22"/>
        </w:rPr>
        <w:t>Spoločnosť zamestnávala v roku 201</w:t>
      </w:r>
      <w:r w:rsidR="00E64DA1">
        <w:rPr>
          <w:rFonts w:ascii="Arial Narrow" w:hAnsi="Arial Narrow" w:cs="Tahoma"/>
          <w:i w:val="0"/>
          <w:sz w:val="22"/>
          <w:szCs w:val="22"/>
        </w:rPr>
        <w:t>5</w:t>
      </w:r>
      <w:r w:rsidRPr="004A1629">
        <w:rPr>
          <w:rFonts w:ascii="Arial Narrow" w:hAnsi="Arial Narrow" w:cs="Tahoma"/>
          <w:i w:val="0"/>
          <w:sz w:val="22"/>
          <w:szCs w:val="22"/>
        </w:rPr>
        <w:t xml:space="preserve"> </w:t>
      </w:r>
      <w:r w:rsidR="00E64DA1">
        <w:rPr>
          <w:rFonts w:ascii="Arial Narrow" w:hAnsi="Arial Narrow" w:cs="Tahoma"/>
          <w:i w:val="0"/>
          <w:sz w:val="22"/>
          <w:szCs w:val="22"/>
        </w:rPr>
        <w:t>60</w:t>
      </w:r>
      <w:r w:rsidRPr="004A1629">
        <w:rPr>
          <w:rFonts w:ascii="Arial Narrow" w:hAnsi="Arial Narrow" w:cs="Tahoma"/>
          <w:i w:val="0"/>
          <w:sz w:val="22"/>
          <w:szCs w:val="22"/>
        </w:rPr>
        <w:t xml:space="preserve"> zamestnancov</w:t>
      </w:r>
      <w:r w:rsidR="00E64DA1">
        <w:rPr>
          <w:rFonts w:ascii="Arial Narrow" w:hAnsi="Arial Narrow" w:cs="Tahoma"/>
          <w:i w:val="0"/>
          <w:sz w:val="22"/>
          <w:szCs w:val="22"/>
        </w:rPr>
        <w:t>.</w:t>
      </w:r>
      <w:r w:rsidRPr="004A1629">
        <w:rPr>
          <w:rFonts w:ascii="Arial Narrow" w:hAnsi="Arial Narrow" w:cs="Tahoma"/>
          <w:i w:val="0"/>
          <w:sz w:val="22"/>
          <w:szCs w:val="22"/>
        </w:rPr>
        <w:t xml:space="preserve"> V porovnaní s rokom 201</w:t>
      </w:r>
      <w:r w:rsidR="00E64DA1">
        <w:rPr>
          <w:rFonts w:ascii="Arial Narrow" w:hAnsi="Arial Narrow" w:cs="Tahoma"/>
          <w:i w:val="0"/>
          <w:sz w:val="22"/>
          <w:szCs w:val="22"/>
        </w:rPr>
        <w:t>4</w:t>
      </w:r>
      <w:r w:rsidRPr="004A1629">
        <w:rPr>
          <w:rFonts w:ascii="Arial Narrow" w:hAnsi="Arial Narrow" w:cs="Tahoma"/>
          <w:i w:val="0"/>
          <w:sz w:val="22"/>
          <w:szCs w:val="22"/>
        </w:rPr>
        <w:t xml:space="preserve">  je to </w:t>
      </w:r>
      <w:r w:rsidR="00E64DA1">
        <w:rPr>
          <w:rFonts w:ascii="Arial Narrow" w:hAnsi="Arial Narrow" w:cs="Tahoma"/>
          <w:i w:val="0"/>
          <w:sz w:val="22"/>
          <w:szCs w:val="22"/>
        </w:rPr>
        <w:t xml:space="preserve">zníženie ich počtu o 4  zamestnancov. </w:t>
      </w:r>
      <w:r w:rsidRPr="004A1629">
        <w:rPr>
          <w:rFonts w:ascii="Arial Narrow" w:hAnsi="Arial Narrow" w:cs="Tahoma"/>
          <w:i w:val="0"/>
          <w:sz w:val="22"/>
          <w:szCs w:val="22"/>
        </w:rPr>
        <w:t xml:space="preserve">  Spoločnosť uvedenými opatreniami reaguje na aktuálnu ekonomickú situáciu v Spoločnosti. Do existujúceho tímu zamestnancov Spoločnosť investuje prostriedky v podobe zabezpečovania rozvoja ľudských zdrojov formou pravidelných školení zameraných na predajné zručnosti, na etiku obchodovania a iné krátkodobé  odborné kurzy.</w:t>
      </w:r>
    </w:p>
    <w:p w:rsidR="004A1629" w:rsidRPr="004A1629" w:rsidRDefault="004A1629" w:rsidP="004A1629">
      <w:pPr>
        <w:pStyle w:val="Zarkazkladnhotextu2"/>
        <w:ind w:firstLine="0"/>
        <w:rPr>
          <w:rFonts w:ascii="Arial Narrow" w:hAnsi="Arial Narrow" w:cs="Tahoma"/>
          <w:sz w:val="22"/>
          <w:szCs w:val="22"/>
        </w:rPr>
      </w:pP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UDALOSTI OSOBITNÉHO VÝZNAMU, KTORÉ NASTALI PO SKONČENÍ ÚČTOVNÉHO OBDOBIA, ZA KTORÉ SA VYHOTOVUJE VÝROČNÁ SPRÁVA</w:t>
      </w:r>
    </w:p>
    <w:p w:rsidR="004A1629" w:rsidRPr="004A1629" w:rsidRDefault="004A1629" w:rsidP="004A1629">
      <w:pPr>
        <w:jc w:val="both"/>
        <w:rPr>
          <w:rFonts w:ascii="Arial Narrow" w:hAnsi="Arial Narrow" w:cs="Tahoma"/>
        </w:rPr>
      </w:pPr>
      <w:r w:rsidRPr="004A1629">
        <w:rPr>
          <w:rFonts w:ascii="Arial Narrow" w:hAnsi="Arial Narrow" w:cs="Tahoma"/>
        </w:rPr>
        <w:t>Po skončení účtovného obdobia, za ktoré sa vyhotovuje výročná správa, nenastali udalosti osobitného významu okrem informácií, nachádzajúcich sa v Poznámkach k účtovnej závierke.</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PREDPOKLADANÝ BUDÚCI VÝVOJ  ČINNOSTI SPOLOČNOSTI</w:t>
      </w:r>
    </w:p>
    <w:p w:rsidR="00C7196A" w:rsidRPr="004A1629" w:rsidRDefault="00C7196A" w:rsidP="00C7196A">
      <w:pPr>
        <w:pStyle w:val="Default"/>
        <w:spacing w:after="240"/>
        <w:jc w:val="both"/>
        <w:rPr>
          <w:rFonts w:ascii="Arial Narrow" w:hAnsi="Arial Narrow" w:cstheme="minorHAnsi"/>
          <w:sz w:val="23"/>
          <w:szCs w:val="23"/>
        </w:rPr>
      </w:pPr>
      <w:r w:rsidRPr="004A1629">
        <w:rPr>
          <w:rFonts w:ascii="Arial Narrow" w:hAnsi="Arial Narrow" w:cstheme="minorHAnsi"/>
          <w:sz w:val="23"/>
          <w:szCs w:val="23"/>
        </w:rPr>
        <w:t>Spoločnosť SLOVKARPATIA HOTEL, a.s. bude naďalej pokračovať vo svojej podnikateľskej činnosti v nastúpenom trende z predošlého roka. Spoločnosť bude zvyšovať svoje podnikateľské aktivity, zlepšovať svoju obchodnú politiku a rozširovať ponuku doplnkových služieb.</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NÁKLADY NA ČINNOSŤ V OBLASTI VÝSKUMU A VÝVOJA</w:t>
      </w:r>
    </w:p>
    <w:p w:rsidR="004A1629" w:rsidRPr="004A1629" w:rsidRDefault="004A1629" w:rsidP="004A1629">
      <w:pPr>
        <w:jc w:val="both"/>
        <w:rPr>
          <w:rFonts w:ascii="Arial Narrow" w:hAnsi="Arial Narrow" w:cs="Tahoma"/>
        </w:rPr>
      </w:pPr>
      <w:r w:rsidRPr="004A1629">
        <w:rPr>
          <w:rFonts w:ascii="Arial Narrow" w:hAnsi="Arial Narrow" w:cs="Tahoma"/>
        </w:rPr>
        <w:t>Spoločnosť neuskutočňuje činnosti spojené s výskumom a vývojom, t.j. náklady daného druhu nemá.</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NADOBÚDANIE VLASTNÝCH AKCIÍ, DOČASNÝCH LISTOV, OBCHODNÝCH PODIELOV A AKCIÍ</w:t>
      </w:r>
    </w:p>
    <w:p w:rsidR="004A1629" w:rsidRPr="004A1629" w:rsidRDefault="004A1629" w:rsidP="004A1629">
      <w:pPr>
        <w:jc w:val="both"/>
        <w:rPr>
          <w:rFonts w:ascii="Arial Narrow" w:hAnsi="Arial Narrow" w:cs="Tahoma"/>
        </w:rPr>
      </w:pPr>
      <w:r w:rsidRPr="004A1629">
        <w:rPr>
          <w:rFonts w:ascii="Arial Narrow" w:hAnsi="Arial Narrow" w:cs="Tahoma"/>
        </w:rPr>
        <w:t>Spoločnosť v roku 201</w:t>
      </w:r>
      <w:r w:rsidR="00E64DA1">
        <w:rPr>
          <w:rFonts w:ascii="Arial Narrow" w:hAnsi="Arial Narrow" w:cs="Tahoma"/>
        </w:rPr>
        <w:t>5</w:t>
      </w:r>
      <w:r w:rsidRPr="004A1629">
        <w:rPr>
          <w:rFonts w:ascii="Arial Narrow" w:hAnsi="Arial Narrow" w:cs="Tahoma"/>
        </w:rPr>
        <w:t xml:space="preserve"> nenadobudla vlastné akcie, dočasné listy ani obchodné podiely a akcie v iných účtovných jednotkách.</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NÁVRH NA ROZDELENIE ZISKU</w:t>
      </w:r>
    </w:p>
    <w:p w:rsidR="004A1629" w:rsidRPr="004A1629" w:rsidRDefault="004A1629" w:rsidP="004A1629">
      <w:pPr>
        <w:jc w:val="both"/>
        <w:rPr>
          <w:rFonts w:ascii="Arial Narrow" w:hAnsi="Arial Narrow" w:cs="Tahoma"/>
        </w:rPr>
      </w:pPr>
      <w:r w:rsidRPr="004A1629">
        <w:rPr>
          <w:rFonts w:ascii="Arial Narrow" w:hAnsi="Arial Narrow" w:cs="Tahoma"/>
        </w:rPr>
        <w:t>Orgány Spoločnosti na svojom zasadaní  schvália zúčtovanie hospodárskeho výsledku za rok 201</w:t>
      </w:r>
      <w:r w:rsidR="00E64DA1">
        <w:rPr>
          <w:rFonts w:ascii="Arial Narrow" w:hAnsi="Arial Narrow" w:cs="Tahoma"/>
        </w:rPr>
        <w:t>5</w:t>
      </w:r>
      <w:r w:rsidRPr="004A1629">
        <w:rPr>
          <w:rFonts w:ascii="Arial Narrow" w:hAnsi="Arial Narrow" w:cs="Tahoma"/>
        </w:rPr>
        <w:t>. Návrh Spoločnosti je zúčtovať vykázaný hospodársky výsledok -  zisk  na účet nerozdelených ziskov minulých rokov.</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 xml:space="preserve">úDAJE POŽADOVANÉ NA ZÁKLADE OSOBITNÝCH </w:t>
      </w:r>
      <w:r w:rsidRPr="004A1629">
        <w:rPr>
          <w:rFonts w:ascii="Arial Narrow" w:hAnsi="Arial Narrow" w:cs="Tahoma"/>
          <w:sz w:val="22"/>
          <w:szCs w:val="22"/>
        </w:rPr>
        <w:t>PREDPISOV</w:t>
      </w:r>
    </w:p>
    <w:p w:rsidR="004A1629" w:rsidRPr="004A1629" w:rsidRDefault="004A1629" w:rsidP="004A1629">
      <w:pPr>
        <w:jc w:val="both"/>
        <w:rPr>
          <w:rFonts w:ascii="Arial Narrow" w:hAnsi="Arial Narrow" w:cs="Tahoma"/>
        </w:rPr>
      </w:pPr>
      <w:r w:rsidRPr="004A1629">
        <w:rPr>
          <w:rFonts w:ascii="Arial Narrow" w:hAnsi="Arial Narrow" w:cs="Tahoma"/>
        </w:rPr>
        <w:t>Spoločnosť nevykonáva činnosti vyžadujúce si predkladanie údajov na základe osobitných predpisov.</w:t>
      </w:r>
    </w:p>
    <w:p w:rsidR="004A1629" w:rsidRPr="004A1629" w:rsidRDefault="004A1629" w:rsidP="004A1629">
      <w:pPr>
        <w:pStyle w:val="Nadpis1"/>
        <w:rPr>
          <w:rFonts w:ascii="Arial Narrow" w:hAnsi="Arial Narrow" w:cs="Tahoma"/>
          <w:caps/>
          <w:sz w:val="22"/>
          <w:szCs w:val="22"/>
        </w:rPr>
      </w:pPr>
      <w:r w:rsidRPr="004A1629">
        <w:rPr>
          <w:rFonts w:ascii="Arial Narrow" w:hAnsi="Arial Narrow" w:cs="Tahoma"/>
          <w:caps/>
          <w:sz w:val="22"/>
          <w:szCs w:val="22"/>
        </w:rPr>
        <w:t>organizačná zložka v zahraničí</w:t>
      </w:r>
    </w:p>
    <w:p w:rsidR="004A1629" w:rsidRPr="004A1629" w:rsidRDefault="004A1629" w:rsidP="004A1629">
      <w:pPr>
        <w:jc w:val="both"/>
        <w:rPr>
          <w:rFonts w:ascii="Arial Narrow" w:hAnsi="Arial Narrow" w:cs="Tahoma"/>
        </w:rPr>
      </w:pPr>
      <w:r w:rsidRPr="004A1629">
        <w:rPr>
          <w:rFonts w:ascii="Arial Narrow" w:hAnsi="Arial Narrow" w:cs="Tahoma"/>
        </w:rPr>
        <w:t>Spoločnosť nemá organizačnú zložku v zahraničí.</w:t>
      </w:r>
    </w:p>
    <w:p w:rsidR="00C7196A" w:rsidRPr="004A1629" w:rsidRDefault="00C7196A" w:rsidP="004A1629">
      <w:pPr>
        <w:jc w:val="both"/>
        <w:rPr>
          <w:rFonts w:ascii="Arial Narrow" w:hAnsi="Arial Narrow" w:cs="Tahoma"/>
        </w:rPr>
      </w:pPr>
    </w:p>
    <w:p w:rsidR="004A1629" w:rsidRPr="004A1629" w:rsidRDefault="004A1629" w:rsidP="004A1629">
      <w:pPr>
        <w:jc w:val="both"/>
        <w:rPr>
          <w:rFonts w:ascii="Arial Narrow" w:hAnsi="Arial Narrow" w:cs="Tahoma"/>
        </w:rPr>
      </w:pPr>
      <w:r w:rsidRPr="004A1629">
        <w:rPr>
          <w:rFonts w:ascii="Arial Narrow" w:hAnsi="Arial Narrow" w:cs="Tahoma"/>
        </w:rPr>
        <w:t>V</w:t>
      </w:r>
      <w:r w:rsidR="00C7196A">
        <w:rPr>
          <w:rFonts w:ascii="Arial Narrow" w:hAnsi="Arial Narrow" w:cs="Tahoma"/>
        </w:rPr>
        <w:t> Bratislave, dňa 30.06.201</w:t>
      </w:r>
      <w:r w:rsidR="00F044EB">
        <w:rPr>
          <w:rFonts w:ascii="Arial Narrow" w:hAnsi="Arial Narrow" w:cs="Tahoma"/>
        </w:rPr>
        <w:t>6</w:t>
      </w:r>
    </w:p>
    <w:p w:rsidR="004A1629" w:rsidRDefault="004A1629" w:rsidP="004A1629">
      <w:pPr>
        <w:jc w:val="both"/>
        <w:rPr>
          <w:rFonts w:ascii="Arial Narrow" w:hAnsi="Arial Narrow" w:cs="Tahoma"/>
        </w:rPr>
      </w:pPr>
    </w:p>
    <w:p w:rsidR="00751B25" w:rsidRDefault="00751B25" w:rsidP="004A1629">
      <w:pPr>
        <w:jc w:val="both"/>
        <w:rPr>
          <w:rFonts w:ascii="Arial Narrow" w:hAnsi="Arial Narrow" w:cs="Tahoma"/>
        </w:rPr>
      </w:pPr>
    </w:p>
    <w:p w:rsidR="00751B25" w:rsidRDefault="00751B25" w:rsidP="004A1629">
      <w:pPr>
        <w:jc w:val="both"/>
        <w:rPr>
          <w:rFonts w:ascii="Arial Narrow" w:hAnsi="Arial Narrow" w:cs="Tahoma"/>
        </w:rPr>
      </w:pPr>
    </w:p>
    <w:p w:rsidR="00751B25" w:rsidRDefault="00751B25" w:rsidP="004A1629">
      <w:pPr>
        <w:jc w:val="both"/>
        <w:rPr>
          <w:rFonts w:ascii="Arial Narrow" w:hAnsi="Arial Narrow" w:cs="Tahoma"/>
        </w:rPr>
      </w:pPr>
    </w:p>
    <w:p w:rsidR="00751B25" w:rsidRPr="004A1629" w:rsidRDefault="00751B25" w:rsidP="004A1629">
      <w:pPr>
        <w:jc w:val="both"/>
        <w:rPr>
          <w:rFonts w:ascii="Arial Narrow" w:hAnsi="Arial Narrow" w:cs="Tahoma"/>
        </w:rPr>
      </w:pPr>
    </w:p>
    <w:p w:rsidR="004A1629" w:rsidRDefault="004A1629" w:rsidP="004A1629">
      <w:pPr>
        <w:jc w:val="both"/>
        <w:rPr>
          <w:rFonts w:ascii="Arial Narrow" w:hAnsi="Arial Narrow" w:cs="Tahoma"/>
        </w:rPr>
      </w:pPr>
      <w:r w:rsidRPr="004A1629">
        <w:rPr>
          <w:rFonts w:ascii="Arial Narrow" w:hAnsi="Arial Narrow" w:cs="Tahoma"/>
        </w:rPr>
        <w:t>–––––––––––––––––––––––</w:t>
      </w:r>
    </w:p>
    <w:p w:rsidR="00E237E6" w:rsidRPr="00751B25" w:rsidRDefault="00E237E6" w:rsidP="00751B25">
      <w:pPr>
        <w:pStyle w:val="Bezriadkovania"/>
        <w:rPr>
          <w:rFonts w:ascii="Arial Narrow" w:hAnsi="Arial Narrow"/>
        </w:rPr>
      </w:pPr>
      <w:r w:rsidRPr="00751B25">
        <w:rPr>
          <w:rFonts w:ascii="Arial Narrow" w:hAnsi="Arial Narrow"/>
        </w:rPr>
        <w:t xml:space="preserve">      Ing. Michal Ďurica</w:t>
      </w:r>
    </w:p>
    <w:p w:rsidR="004A1629" w:rsidRPr="00751B25" w:rsidRDefault="004A1629" w:rsidP="00751B25">
      <w:pPr>
        <w:pStyle w:val="Bezriadkovania"/>
        <w:rPr>
          <w:rFonts w:ascii="Arial Narrow" w:hAnsi="Arial Narrow"/>
        </w:rPr>
      </w:pPr>
      <w:r w:rsidRPr="00751B25">
        <w:rPr>
          <w:rFonts w:ascii="Arial Narrow" w:hAnsi="Arial Narrow"/>
        </w:rPr>
        <w:t xml:space="preserve">  predseda predstavenstva </w:t>
      </w:r>
    </w:p>
    <w:p w:rsidR="00E237E6" w:rsidRPr="004A1629" w:rsidRDefault="00E237E6" w:rsidP="004A1629">
      <w:pPr>
        <w:jc w:val="both"/>
        <w:rPr>
          <w:rFonts w:ascii="Arial Narrow" w:hAnsi="Arial Narrow" w:cs="Tahoma"/>
        </w:rPr>
      </w:pPr>
    </w:p>
    <w:sectPr w:rsidR="00E237E6" w:rsidRPr="004A1629" w:rsidSect="009A3F48">
      <w:headerReference w:type="even" r:id="rId15"/>
      <w:headerReference w:type="default" r:id="rId16"/>
      <w:footerReference w:type="even" r:id="rId17"/>
      <w:footerReference w:type="default" r:id="rId18"/>
      <w:headerReference w:type="first" r:id="rId19"/>
      <w:footerReference w:type="firs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736B" w:rsidRDefault="00EC736B" w:rsidP="00214104">
      <w:pPr>
        <w:spacing w:after="0" w:line="240" w:lineRule="auto"/>
      </w:pPr>
      <w:r>
        <w:separator/>
      </w:r>
    </w:p>
  </w:endnote>
  <w:endnote w:type="continuationSeparator" w:id="0">
    <w:p w:rsidR="00EC736B" w:rsidRDefault="00EC736B" w:rsidP="002141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36B" w:rsidRDefault="00EC736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8493381"/>
      <w:docPartObj>
        <w:docPartGallery w:val="Page Numbers (Bottom of Page)"/>
        <w:docPartUnique/>
      </w:docPartObj>
    </w:sdtPr>
    <w:sdtContent>
      <w:p w:rsidR="00EC736B" w:rsidRDefault="00EC736B">
        <w:pPr>
          <w:pStyle w:val="Pta"/>
          <w:jc w:val="right"/>
        </w:pPr>
        <w:r>
          <w:fldChar w:fldCharType="begin"/>
        </w:r>
        <w:r>
          <w:instrText xml:space="preserve"> PAGE   \* MERGEFORMAT </w:instrText>
        </w:r>
        <w:r>
          <w:fldChar w:fldCharType="separate"/>
        </w:r>
        <w:r w:rsidR="00F524BC">
          <w:rPr>
            <w:noProof/>
          </w:rPr>
          <w:t>4</w:t>
        </w:r>
        <w:r>
          <w:rPr>
            <w:noProof/>
          </w:rPr>
          <w:fldChar w:fldCharType="end"/>
        </w:r>
      </w:p>
    </w:sdtContent>
  </w:sdt>
  <w:p w:rsidR="00EC736B" w:rsidRDefault="00EC736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36B" w:rsidRDefault="00EC736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736B" w:rsidRDefault="00EC736B" w:rsidP="00214104">
      <w:pPr>
        <w:spacing w:after="0" w:line="240" w:lineRule="auto"/>
      </w:pPr>
      <w:r>
        <w:separator/>
      </w:r>
    </w:p>
  </w:footnote>
  <w:footnote w:type="continuationSeparator" w:id="0">
    <w:p w:rsidR="00EC736B" w:rsidRDefault="00EC736B" w:rsidP="002141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36B" w:rsidRDefault="00EC736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36B" w:rsidRDefault="00EC736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36B" w:rsidRDefault="00EC736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26A5E"/>
    <w:multiLevelType w:val="hybridMultilevel"/>
    <w:tmpl w:val="AF68D04A"/>
    <w:lvl w:ilvl="0" w:tplc="B18CBCC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458F4153"/>
    <w:multiLevelType w:val="hybridMultilevel"/>
    <w:tmpl w:val="BBB80CA2"/>
    <w:lvl w:ilvl="0" w:tplc="B18CBCC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51865194"/>
    <w:multiLevelType w:val="hybridMultilevel"/>
    <w:tmpl w:val="ECF4EADC"/>
    <w:lvl w:ilvl="0" w:tplc="041B000B">
      <w:start w:val="1"/>
      <w:numFmt w:val="bullet"/>
      <w:lvlText w:val=""/>
      <w:lvlJc w:val="left"/>
      <w:pPr>
        <w:ind w:left="1211" w:hanging="360"/>
      </w:pPr>
      <w:rPr>
        <w:rFonts w:ascii="Wingdings" w:hAnsi="Wingdings"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3" w15:restartNumberingAfterBreak="0">
    <w:nsid w:val="57285849"/>
    <w:multiLevelType w:val="hybridMultilevel"/>
    <w:tmpl w:val="7694727C"/>
    <w:lvl w:ilvl="0" w:tplc="51127602">
      <w:start w:val="1"/>
      <w:numFmt w:val="bullet"/>
      <w:lvlText w:val="-"/>
      <w:lvlJc w:val="left"/>
      <w:pPr>
        <w:ind w:left="1080" w:hanging="360"/>
      </w:pPr>
      <w:rPr>
        <w:rFonts w:ascii="Tahoma" w:eastAsia="Times New Roman"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proofState w:spelling="clean" w:grammar="clean"/>
  <w:defaultTabStop w:val="708"/>
  <w:hyphenationZone w:val="425"/>
  <w:drawingGridHorizontalSpacing w:val="110"/>
  <w:displayHorizontalDrawingGridEvery w:val="2"/>
  <w:characterSpacingControl w:val="doNotCompress"/>
  <w:hdrShapeDefaults>
    <o:shapedefaults v:ext="edit" spidmax="205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E61"/>
    <w:rsid w:val="00025487"/>
    <w:rsid w:val="00032D97"/>
    <w:rsid w:val="00061E26"/>
    <w:rsid w:val="00071432"/>
    <w:rsid w:val="00075D72"/>
    <w:rsid w:val="00081676"/>
    <w:rsid w:val="00094ACE"/>
    <w:rsid w:val="000B12A2"/>
    <w:rsid w:val="000C5E61"/>
    <w:rsid w:val="000D1265"/>
    <w:rsid w:val="000D1375"/>
    <w:rsid w:val="000F2B09"/>
    <w:rsid w:val="00124215"/>
    <w:rsid w:val="00133E16"/>
    <w:rsid w:val="0019488D"/>
    <w:rsid w:val="001A3D34"/>
    <w:rsid w:val="001A7767"/>
    <w:rsid w:val="001A7A85"/>
    <w:rsid w:val="001D2284"/>
    <w:rsid w:val="001D32F4"/>
    <w:rsid w:val="001E1E31"/>
    <w:rsid w:val="001E6DFA"/>
    <w:rsid w:val="002121EF"/>
    <w:rsid w:val="00214104"/>
    <w:rsid w:val="00286CF9"/>
    <w:rsid w:val="00291755"/>
    <w:rsid w:val="002E48CD"/>
    <w:rsid w:val="00301F6B"/>
    <w:rsid w:val="00311EB9"/>
    <w:rsid w:val="00351BC7"/>
    <w:rsid w:val="00384007"/>
    <w:rsid w:val="0039460F"/>
    <w:rsid w:val="003C32B6"/>
    <w:rsid w:val="003D0370"/>
    <w:rsid w:val="003D4435"/>
    <w:rsid w:val="003F7FB6"/>
    <w:rsid w:val="004835F6"/>
    <w:rsid w:val="004A1629"/>
    <w:rsid w:val="004D58AC"/>
    <w:rsid w:val="00526511"/>
    <w:rsid w:val="00535CD9"/>
    <w:rsid w:val="00544A6F"/>
    <w:rsid w:val="00554B14"/>
    <w:rsid w:val="005E7042"/>
    <w:rsid w:val="00611BCA"/>
    <w:rsid w:val="006163C7"/>
    <w:rsid w:val="006268D2"/>
    <w:rsid w:val="00683CB0"/>
    <w:rsid w:val="006A0DB2"/>
    <w:rsid w:val="006A4174"/>
    <w:rsid w:val="006E0A0F"/>
    <w:rsid w:val="006E4E6A"/>
    <w:rsid w:val="0072178E"/>
    <w:rsid w:val="00730F85"/>
    <w:rsid w:val="00731AB7"/>
    <w:rsid w:val="0075031F"/>
    <w:rsid w:val="00751B25"/>
    <w:rsid w:val="0079445D"/>
    <w:rsid w:val="00797C4F"/>
    <w:rsid w:val="007A6493"/>
    <w:rsid w:val="00813A32"/>
    <w:rsid w:val="0084029A"/>
    <w:rsid w:val="008917FD"/>
    <w:rsid w:val="008979FF"/>
    <w:rsid w:val="008A5654"/>
    <w:rsid w:val="008C25DE"/>
    <w:rsid w:val="008C2AA0"/>
    <w:rsid w:val="008F2AFD"/>
    <w:rsid w:val="00947933"/>
    <w:rsid w:val="00976D49"/>
    <w:rsid w:val="00980414"/>
    <w:rsid w:val="00981DBF"/>
    <w:rsid w:val="00996441"/>
    <w:rsid w:val="009A3F48"/>
    <w:rsid w:val="009A5758"/>
    <w:rsid w:val="009F6B3B"/>
    <w:rsid w:val="00A32210"/>
    <w:rsid w:val="00A73FE7"/>
    <w:rsid w:val="00A83801"/>
    <w:rsid w:val="00AA7FCB"/>
    <w:rsid w:val="00AD2194"/>
    <w:rsid w:val="00AE2D55"/>
    <w:rsid w:val="00B7560E"/>
    <w:rsid w:val="00B82AB3"/>
    <w:rsid w:val="00B95C20"/>
    <w:rsid w:val="00C24D05"/>
    <w:rsid w:val="00C34315"/>
    <w:rsid w:val="00C7196A"/>
    <w:rsid w:val="00C72DE9"/>
    <w:rsid w:val="00C76777"/>
    <w:rsid w:val="00CD7D63"/>
    <w:rsid w:val="00CF4C4D"/>
    <w:rsid w:val="00D0386C"/>
    <w:rsid w:val="00D51AD0"/>
    <w:rsid w:val="00D52E4F"/>
    <w:rsid w:val="00D63447"/>
    <w:rsid w:val="00E237E6"/>
    <w:rsid w:val="00E6033B"/>
    <w:rsid w:val="00E61AB7"/>
    <w:rsid w:val="00E64DA1"/>
    <w:rsid w:val="00E776CD"/>
    <w:rsid w:val="00E97DA4"/>
    <w:rsid w:val="00EA2404"/>
    <w:rsid w:val="00EC736B"/>
    <w:rsid w:val="00EE61A6"/>
    <w:rsid w:val="00F044EB"/>
    <w:rsid w:val="00F06F97"/>
    <w:rsid w:val="00F15EBD"/>
    <w:rsid w:val="00F34A98"/>
    <w:rsid w:val="00F524BC"/>
    <w:rsid w:val="00F761F1"/>
    <w:rsid w:val="00FB3E72"/>
    <w:rsid w:val="00FB7FDD"/>
    <w:rsid w:val="00FD0763"/>
    <w:rsid w:val="00FF41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5DCBFE1E-A24C-47D6-8290-06F36EE6C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style>
  <w:style w:type="paragraph" w:styleId="Nadpis1">
    <w:name w:val="heading 1"/>
    <w:basedOn w:val="Normlny"/>
    <w:next w:val="Normlny"/>
    <w:link w:val="Nadpis1Char"/>
    <w:qFormat/>
    <w:rsid w:val="00CD7D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CD7D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CD7D6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link w:val="DefaultChar"/>
    <w:rsid w:val="000C5E6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a">
    <w:name w:val="ra"/>
    <w:basedOn w:val="Predvolenpsmoodseku"/>
    <w:rsid w:val="00311EB9"/>
  </w:style>
  <w:style w:type="paragraph" w:styleId="Odsekzoznamu">
    <w:name w:val="List Paragraph"/>
    <w:basedOn w:val="Normlny"/>
    <w:uiPriority w:val="34"/>
    <w:qFormat/>
    <w:rsid w:val="00311EB9"/>
    <w:pPr>
      <w:ind w:left="720"/>
      <w:contextualSpacing/>
    </w:pPr>
  </w:style>
  <w:style w:type="table" w:styleId="Mriekatabuky">
    <w:name w:val="Table Grid"/>
    <w:basedOn w:val="Normlnatabuka"/>
    <w:uiPriority w:val="59"/>
    <w:rsid w:val="00286C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vana">
    <w:name w:val="Ivana"/>
    <w:basedOn w:val="Default"/>
    <w:link w:val="IvanaChar"/>
    <w:qFormat/>
    <w:rsid w:val="004D58AC"/>
    <w:pPr>
      <w:jc w:val="center"/>
    </w:pPr>
    <w:rPr>
      <w:b/>
      <w:bCs/>
      <w:i/>
    </w:rPr>
  </w:style>
  <w:style w:type="character" w:customStyle="1" w:styleId="Nadpis1Char">
    <w:name w:val="Nadpis 1 Char"/>
    <w:basedOn w:val="Predvolenpsmoodseku"/>
    <w:link w:val="Nadpis1"/>
    <w:uiPriority w:val="9"/>
    <w:rsid w:val="00CD7D63"/>
    <w:rPr>
      <w:rFonts w:asciiTheme="majorHAnsi" w:eastAsiaTheme="majorEastAsia" w:hAnsiTheme="majorHAnsi" w:cstheme="majorBidi"/>
      <w:b/>
      <w:bCs/>
      <w:color w:val="365F91" w:themeColor="accent1" w:themeShade="BF"/>
      <w:sz w:val="28"/>
      <w:szCs w:val="28"/>
    </w:rPr>
  </w:style>
  <w:style w:type="character" w:customStyle="1" w:styleId="DefaultChar">
    <w:name w:val="Default Char"/>
    <w:basedOn w:val="Predvolenpsmoodseku"/>
    <w:link w:val="Default"/>
    <w:rsid w:val="00CD7D63"/>
    <w:rPr>
      <w:rFonts w:ascii="Times New Roman" w:hAnsi="Times New Roman" w:cs="Times New Roman"/>
      <w:color w:val="000000"/>
      <w:sz w:val="24"/>
      <w:szCs w:val="24"/>
    </w:rPr>
  </w:style>
  <w:style w:type="character" w:customStyle="1" w:styleId="IvanaChar">
    <w:name w:val="Ivana Char"/>
    <w:basedOn w:val="DefaultChar"/>
    <w:link w:val="Ivana"/>
    <w:rsid w:val="004D58AC"/>
    <w:rPr>
      <w:rFonts w:ascii="Times New Roman" w:hAnsi="Times New Roman" w:cs="Times New Roman"/>
      <w:b/>
      <w:bCs/>
      <w:i/>
      <w:color w:val="000000"/>
      <w:sz w:val="24"/>
      <w:szCs w:val="24"/>
    </w:rPr>
  </w:style>
  <w:style w:type="paragraph" w:styleId="Hlavikaobsahu">
    <w:name w:val="TOC Heading"/>
    <w:basedOn w:val="Nadpis1"/>
    <w:next w:val="Normlny"/>
    <w:uiPriority w:val="39"/>
    <w:semiHidden/>
    <w:unhideWhenUsed/>
    <w:qFormat/>
    <w:rsid w:val="00CD7D63"/>
    <w:pPr>
      <w:outlineLvl w:val="9"/>
    </w:pPr>
  </w:style>
  <w:style w:type="paragraph" w:styleId="Textbubliny">
    <w:name w:val="Balloon Text"/>
    <w:basedOn w:val="Normlny"/>
    <w:link w:val="TextbublinyChar"/>
    <w:uiPriority w:val="99"/>
    <w:semiHidden/>
    <w:unhideWhenUsed/>
    <w:rsid w:val="00CD7D6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D7D63"/>
    <w:rPr>
      <w:rFonts w:ascii="Tahoma" w:hAnsi="Tahoma" w:cs="Tahoma"/>
      <w:sz w:val="16"/>
      <w:szCs w:val="16"/>
    </w:rPr>
  </w:style>
  <w:style w:type="character" w:customStyle="1" w:styleId="Nadpis2Char">
    <w:name w:val="Nadpis 2 Char"/>
    <w:basedOn w:val="Predvolenpsmoodseku"/>
    <w:link w:val="Nadpis2"/>
    <w:uiPriority w:val="9"/>
    <w:semiHidden/>
    <w:rsid w:val="00CD7D63"/>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semiHidden/>
    <w:rsid w:val="00CD7D63"/>
    <w:rPr>
      <w:rFonts w:asciiTheme="majorHAnsi" w:eastAsiaTheme="majorEastAsia" w:hAnsiTheme="majorHAnsi" w:cstheme="majorBidi"/>
      <w:b/>
      <w:bCs/>
      <w:color w:val="4F81BD" w:themeColor="accent1"/>
    </w:rPr>
  </w:style>
  <w:style w:type="character" w:styleId="Hypertextovprepojenie">
    <w:name w:val="Hyperlink"/>
    <w:basedOn w:val="Predvolenpsmoodseku"/>
    <w:uiPriority w:val="99"/>
    <w:unhideWhenUsed/>
    <w:rsid w:val="00CD7D63"/>
    <w:rPr>
      <w:color w:val="0000FF" w:themeColor="hyperlink"/>
      <w:u w:val="single"/>
    </w:rPr>
  </w:style>
  <w:style w:type="paragraph" w:styleId="Obsah1">
    <w:name w:val="toc 1"/>
    <w:aliases w:val="Štýl 1"/>
    <w:basedOn w:val="Normlny"/>
    <w:next w:val="Normlny"/>
    <w:autoRedefine/>
    <w:uiPriority w:val="39"/>
    <w:unhideWhenUsed/>
    <w:rsid w:val="00214104"/>
    <w:pPr>
      <w:tabs>
        <w:tab w:val="right" w:leader="dot" w:pos="9072"/>
      </w:tabs>
      <w:spacing w:after="100" w:line="360" w:lineRule="auto"/>
    </w:pPr>
  </w:style>
  <w:style w:type="paragraph" w:styleId="Hlavika">
    <w:name w:val="header"/>
    <w:basedOn w:val="Normlny"/>
    <w:link w:val="HlavikaChar"/>
    <w:uiPriority w:val="99"/>
    <w:unhideWhenUsed/>
    <w:rsid w:val="0021410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14104"/>
  </w:style>
  <w:style w:type="paragraph" w:styleId="Pta">
    <w:name w:val="footer"/>
    <w:basedOn w:val="Normlny"/>
    <w:link w:val="PtaChar"/>
    <w:uiPriority w:val="99"/>
    <w:unhideWhenUsed/>
    <w:rsid w:val="00214104"/>
    <w:pPr>
      <w:tabs>
        <w:tab w:val="center" w:pos="4536"/>
        <w:tab w:val="right" w:pos="9072"/>
      </w:tabs>
      <w:spacing w:after="0" w:line="240" w:lineRule="auto"/>
    </w:pPr>
  </w:style>
  <w:style w:type="character" w:customStyle="1" w:styleId="PtaChar">
    <w:name w:val="Päta Char"/>
    <w:basedOn w:val="Predvolenpsmoodseku"/>
    <w:link w:val="Pta"/>
    <w:uiPriority w:val="99"/>
    <w:rsid w:val="00214104"/>
  </w:style>
  <w:style w:type="character" w:styleId="Odkaznakomentr">
    <w:name w:val="annotation reference"/>
    <w:basedOn w:val="Predvolenpsmoodseku"/>
    <w:uiPriority w:val="99"/>
    <w:semiHidden/>
    <w:unhideWhenUsed/>
    <w:rsid w:val="00CF4C4D"/>
    <w:rPr>
      <w:sz w:val="16"/>
      <w:szCs w:val="16"/>
    </w:rPr>
  </w:style>
  <w:style w:type="paragraph" w:styleId="Textkomentra">
    <w:name w:val="annotation text"/>
    <w:basedOn w:val="Normlny"/>
    <w:link w:val="TextkomentraChar"/>
    <w:uiPriority w:val="99"/>
    <w:semiHidden/>
    <w:unhideWhenUsed/>
    <w:rsid w:val="00CF4C4D"/>
    <w:pPr>
      <w:spacing w:line="240" w:lineRule="auto"/>
    </w:pPr>
    <w:rPr>
      <w:sz w:val="20"/>
      <w:szCs w:val="20"/>
    </w:rPr>
  </w:style>
  <w:style w:type="character" w:customStyle="1" w:styleId="TextkomentraChar">
    <w:name w:val="Text komentára Char"/>
    <w:basedOn w:val="Predvolenpsmoodseku"/>
    <w:link w:val="Textkomentra"/>
    <w:uiPriority w:val="99"/>
    <w:semiHidden/>
    <w:rsid w:val="00CF4C4D"/>
    <w:rPr>
      <w:sz w:val="20"/>
      <w:szCs w:val="20"/>
    </w:rPr>
  </w:style>
  <w:style w:type="paragraph" w:styleId="Predmetkomentra">
    <w:name w:val="annotation subject"/>
    <w:basedOn w:val="Textkomentra"/>
    <w:next w:val="Textkomentra"/>
    <w:link w:val="PredmetkomentraChar"/>
    <w:uiPriority w:val="99"/>
    <w:semiHidden/>
    <w:unhideWhenUsed/>
    <w:rsid w:val="00CF4C4D"/>
    <w:rPr>
      <w:b/>
      <w:bCs/>
    </w:rPr>
  </w:style>
  <w:style w:type="character" w:customStyle="1" w:styleId="PredmetkomentraChar">
    <w:name w:val="Predmet komentára Char"/>
    <w:basedOn w:val="TextkomentraChar"/>
    <w:link w:val="Predmetkomentra"/>
    <w:uiPriority w:val="99"/>
    <w:semiHidden/>
    <w:rsid w:val="00CF4C4D"/>
    <w:rPr>
      <w:b/>
      <w:bCs/>
      <w:sz w:val="20"/>
      <w:szCs w:val="20"/>
    </w:rPr>
  </w:style>
  <w:style w:type="paragraph" w:styleId="Zkladntext2">
    <w:name w:val="Body Text 2"/>
    <w:basedOn w:val="Normlny"/>
    <w:link w:val="Zkladntext2Char"/>
    <w:semiHidden/>
    <w:rsid w:val="004A1629"/>
    <w:pPr>
      <w:spacing w:after="0" w:line="240" w:lineRule="auto"/>
    </w:pPr>
    <w:rPr>
      <w:rFonts w:ascii="Times New Roman" w:eastAsia="Times New Roman" w:hAnsi="Times New Roman" w:cs="Times New Roman"/>
      <w:i/>
      <w:iCs/>
      <w:sz w:val="26"/>
      <w:szCs w:val="24"/>
    </w:rPr>
  </w:style>
  <w:style w:type="character" w:customStyle="1" w:styleId="Zkladntext2Char">
    <w:name w:val="Základný text 2 Char"/>
    <w:basedOn w:val="Predvolenpsmoodseku"/>
    <w:link w:val="Zkladntext2"/>
    <w:semiHidden/>
    <w:rsid w:val="004A1629"/>
    <w:rPr>
      <w:rFonts w:ascii="Times New Roman" w:eastAsia="Times New Roman" w:hAnsi="Times New Roman" w:cs="Times New Roman"/>
      <w:i/>
      <w:iCs/>
      <w:sz w:val="26"/>
      <w:szCs w:val="24"/>
    </w:rPr>
  </w:style>
  <w:style w:type="paragraph" w:styleId="Zarkazkladnhotextu2">
    <w:name w:val="Body Text Indent 2"/>
    <w:basedOn w:val="Normlny"/>
    <w:link w:val="Zarkazkladnhotextu2Char"/>
    <w:semiHidden/>
    <w:rsid w:val="004A1629"/>
    <w:pPr>
      <w:spacing w:after="0" w:line="240" w:lineRule="auto"/>
      <w:ind w:firstLine="708"/>
      <w:jc w:val="both"/>
    </w:pPr>
    <w:rPr>
      <w:rFonts w:ascii="Times New Roman" w:eastAsia="Times New Roman" w:hAnsi="Times New Roman" w:cs="Times New Roman"/>
      <w:iCs/>
      <w:sz w:val="26"/>
      <w:szCs w:val="24"/>
    </w:rPr>
  </w:style>
  <w:style w:type="character" w:customStyle="1" w:styleId="Zarkazkladnhotextu2Char">
    <w:name w:val="Zarážka základného textu 2 Char"/>
    <w:basedOn w:val="Predvolenpsmoodseku"/>
    <w:link w:val="Zarkazkladnhotextu2"/>
    <w:semiHidden/>
    <w:rsid w:val="004A1629"/>
    <w:rPr>
      <w:rFonts w:ascii="Times New Roman" w:eastAsia="Times New Roman" w:hAnsi="Times New Roman" w:cs="Times New Roman"/>
      <w:iCs/>
      <w:sz w:val="26"/>
      <w:szCs w:val="24"/>
    </w:rPr>
  </w:style>
  <w:style w:type="paragraph" w:styleId="Bezriadkovania">
    <w:name w:val="No Spacing"/>
    <w:uiPriority w:val="1"/>
    <w:qFormat/>
    <w:rsid w:val="00751B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112604">
      <w:bodyDiv w:val="1"/>
      <w:marLeft w:val="0"/>
      <w:marRight w:val="0"/>
      <w:marTop w:val="0"/>
      <w:marBottom w:val="0"/>
      <w:divBdr>
        <w:top w:val="none" w:sz="0" w:space="0" w:color="auto"/>
        <w:left w:val="none" w:sz="0" w:space="0" w:color="auto"/>
        <w:bottom w:val="none" w:sz="0" w:space="0" w:color="auto"/>
        <w:right w:val="none" w:sz="0" w:space="0" w:color="auto"/>
      </w:divBdr>
    </w:div>
    <w:div w:id="139420062">
      <w:bodyDiv w:val="1"/>
      <w:marLeft w:val="0"/>
      <w:marRight w:val="0"/>
      <w:marTop w:val="0"/>
      <w:marBottom w:val="0"/>
      <w:divBdr>
        <w:top w:val="none" w:sz="0" w:space="0" w:color="auto"/>
        <w:left w:val="none" w:sz="0" w:space="0" w:color="auto"/>
        <w:bottom w:val="none" w:sz="0" w:space="0" w:color="auto"/>
        <w:right w:val="none" w:sz="0" w:space="0" w:color="auto"/>
      </w:divBdr>
    </w:div>
    <w:div w:id="197082991">
      <w:bodyDiv w:val="1"/>
      <w:marLeft w:val="0"/>
      <w:marRight w:val="0"/>
      <w:marTop w:val="0"/>
      <w:marBottom w:val="0"/>
      <w:divBdr>
        <w:top w:val="none" w:sz="0" w:space="0" w:color="auto"/>
        <w:left w:val="none" w:sz="0" w:space="0" w:color="auto"/>
        <w:bottom w:val="none" w:sz="0" w:space="0" w:color="auto"/>
        <w:right w:val="none" w:sz="0" w:space="0" w:color="auto"/>
      </w:divBdr>
    </w:div>
    <w:div w:id="289365719">
      <w:bodyDiv w:val="1"/>
      <w:marLeft w:val="0"/>
      <w:marRight w:val="0"/>
      <w:marTop w:val="0"/>
      <w:marBottom w:val="0"/>
      <w:divBdr>
        <w:top w:val="none" w:sz="0" w:space="0" w:color="auto"/>
        <w:left w:val="none" w:sz="0" w:space="0" w:color="auto"/>
        <w:bottom w:val="none" w:sz="0" w:space="0" w:color="auto"/>
        <w:right w:val="none" w:sz="0" w:space="0" w:color="auto"/>
      </w:divBdr>
    </w:div>
    <w:div w:id="374890973">
      <w:bodyDiv w:val="1"/>
      <w:marLeft w:val="0"/>
      <w:marRight w:val="0"/>
      <w:marTop w:val="0"/>
      <w:marBottom w:val="0"/>
      <w:divBdr>
        <w:top w:val="none" w:sz="0" w:space="0" w:color="auto"/>
        <w:left w:val="none" w:sz="0" w:space="0" w:color="auto"/>
        <w:bottom w:val="none" w:sz="0" w:space="0" w:color="auto"/>
        <w:right w:val="none" w:sz="0" w:space="0" w:color="auto"/>
      </w:divBdr>
    </w:div>
    <w:div w:id="378281333">
      <w:bodyDiv w:val="1"/>
      <w:marLeft w:val="0"/>
      <w:marRight w:val="0"/>
      <w:marTop w:val="0"/>
      <w:marBottom w:val="0"/>
      <w:divBdr>
        <w:top w:val="none" w:sz="0" w:space="0" w:color="auto"/>
        <w:left w:val="none" w:sz="0" w:space="0" w:color="auto"/>
        <w:bottom w:val="none" w:sz="0" w:space="0" w:color="auto"/>
        <w:right w:val="none" w:sz="0" w:space="0" w:color="auto"/>
      </w:divBdr>
    </w:div>
    <w:div w:id="382407311">
      <w:bodyDiv w:val="1"/>
      <w:marLeft w:val="0"/>
      <w:marRight w:val="0"/>
      <w:marTop w:val="0"/>
      <w:marBottom w:val="0"/>
      <w:divBdr>
        <w:top w:val="none" w:sz="0" w:space="0" w:color="auto"/>
        <w:left w:val="none" w:sz="0" w:space="0" w:color="auto"/>
        <w:bottom w:val="none" w:sz="0" w:space="0" w:color="auto"/>
        <w:right w:val="none" w:sz="0" w:space="0" w:color="auto"/>
      </w:divBdr>
    </w:div>
    <w:div w:id="416512608">
      <w:bodyDiv w:val="1"/>
      <w:marLeft w:val="0"/>
      <w:marRight w:val="0"/>
      <w:marTop w:val="0"/>
      <w:marBottom w:val="0"/>
      <w:divBdr>
        <w:top w:val="none" w:sz="0" w:space="0" w:color="auto"/>
        <w:left w:val="none" w:sz="0" w:space="0" w:color="auto"/>
        <w:bottom w:val="none" w:sz="0" w:space="0" w:color="auto"/>
        <w:right w:val="none" w:sz="0" w:space="0" w:color="auto"/>
      </w:divBdr>
    </w:div>
    <w:div w:id="752816639">
      <w:bodyDiv w:val="1"/>
      <w:marLeft w:val="0"/>
      <w:marRight w:val="0"/>
      <w:marTop w:val="0"/>
      <w:marBottom w:val="0"/>
      <w:divBdr>
        <w:top w:val="none" w:sz="0" w:space="0" w:color="auto"/>
        <w:left w:val="none" w:sz="0" w:space="0" w:color="auto"/>
        <w:bottom w:val="none" w:sz="0" w:space="0" w:color="auto"/>
        <w:right w:val="none" w:sz="0" w:space="0" w:color="auto"/>
      </w:divBdr>
    </w:div>
    <w:div w:id="959529710">
      <w:bodyDiv w:val="1"/>
      <w:marLeft w:val="0"/>
      <w:marRight w:val="0"/>
      <w:marTop w:val="0"/>
      <w:marBottom w:val="0"/>
      <w:divBdr>
        <w:top w:val="none" w:sz="0" w:space="0" w:color="auto"/>
        <w:left w:val="none" w:sz="0" w:space="0" w:color="auto"/>
        <w:bottom w:val="none" w:sz="0" w:space="0" w:color="auto"/>
        <w:right w:val="none" w:sz="0" w:space="0" w:color="auto"/>
      </w:divBdr>
    </w:div>
    <w:div w:id="1019619731">
      <w:bodyDiv w:val="1"/>
      <w:marLeft w:val="0"/>
      <w:marRight w:val="0"/>
      <w:marTop w:val="0"/>
      <w:marBottom w:val="0"/>
      <w:divBdr>
        <w:top w:val="none" w:sz="0" w:space="0" w:color="auto"/>
        <w:left w:val="none" w:sz="0" w:space="0" w:color="auto"/>
        <w:bottom w:val="none" w:sz="0" w:space="0" w:color="auto"/>
        <w:right w:val="none" w:sz="0" w:space="0" w:color="auto"/>
      </w:divBdr>
    </w:div>
    <w:div w:id="1097360721">
      <w:bodyDiv w:val="1"/>
      <w:marLeft w:val="0"/>
      <w:marRight w:val="0"/>
      <w:marTop w:val="0"/>
      <w:marBottom w:val="0"/>
      <w:divBdr>
        <w:top w:val="none" w:sz="0" w:space="0" w:color="auto"/>
        <w:left w:val="none" w:sz="0" w:space="0" w:color="auto"/>
        <w:bottom w:val="none" w:sz="0" w:space="0" w:color="auto"/>
        <w:right w:val="none" w:sz="0" w:space="0" w:color="auto"/>
      </w:divBdr>
    </w:div>
    <w:div w:id="1144278410">
      <w:bodyDiv w:val="1"/>
      <w:marLeft w:val="0"/>
      <w:marRight w:val="0"/>
      <w:marTop w:val="0"/>
      <w:marBottom w:val="0"/>
      <w:divBdr>
        <w:top w:val="none" w:sz="0" w:space="0" w:color="auto"/>
        <w:left w:val="none" w:sz="0" w:space="0" w:color="auto"/>
        <w:bottom w:val="none" w:sz="0" w:space="0" w:color="auto"/>
        <w:right w:val="none" w:sz="0" w:space="0" w:color="auto"/>
      </w:divBdr>
    </w:div>
    <w:div w:id="1165323287">
      <w:bodyDiv w:val="1"/>
      <w:marLeft w:val="0"/>
      <w:marRight w:val="0"/>
      <w:marTop w:val="0"/>
      <w:marBottom w:val="0"/>
      <w:divBdr>
        <w:top w:val="none" w:sz="0" w:space="0" w:color="auto"/>
        <w:left w:val="none" w:sz="0" w:space="0" w:color="auto"/>
        <w:bottom w:val="none" w:sz="0" w:space="0" w:color="auto"/>
        <w:right w:val="none" w:sz="0" w:space="0" w:color="auto"/>
      </w:divBdr>
    </w:div>
    <w:div w:id="1352873256">
      <w:bodyDiv w:val="1"/>
      <w:marLeft w:val="0"/>
      <w:marRight w:val="0"/>
      <w:marTop w:val="0"/>
      <w:marBottom w:val="0"/>
      <w:divBdr>
        <w:top w:val="none" w:sz="0" w:space="0" w:color="auto"/>
        <w:left w:val="none" w:sz="0" w:space="0" w:color="auto"/>
        <w:bottom w:val="none" w:sz="0" w:space="0" w:color="auto"/>
        <w:right w:val="none" w:sz="0" w:space="0" w:color="auto"/>
      </w:divBdr>
    </w:div>
    <w:div w:id="1538159994">
      <w:bodyDiv w:val="1"/>
      <w:marLeft w:val="0"/>
      <w:marRight w:val="0"/>
      <w:marTop w:val="0"/>
      <w:marBottom w:val="0"/>
      <w:divBdr>
        <w:top w:val="none" w:sz="0" w:space="0" w:color="auto"/>
        <w:left w:val="none" w:sz="0" w:space="0" w:color="auto"/>
        <w:bottom w:val="none" w:sz="0" w:space="0" w:color="auto"/>
        <w:right w:val="none" w:sz="0" w:space="0" w:color="auto"/>
      </w:divBdr>
    </w:div>
    <w:div w:id="1706372180">
      <w:bodyDiv w:val="1"/>
      <w:marLeft w:val="0"/>
      <w:marRight w:val="0"/>
      <w:marTop w:val="0"/>
      <w:marBottom w:val="0"/>
      <w:divBdr>
        <w:top w:val="none" w:sz="0" w:space="0" w:color="auto"/>
        <w:left w:val="none" w:sz="0" w:space="0" w:color="auto"/>
        <w:bottom w:val="none" w:sz="0" w:space="0" w:color="auto"/>
        <w:right w:val="none" w:sz="0" w:space="0" w:color="auto"/>
      </w:divBdr>
    </w:div>
    <w:div w:id="2041852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270;urica&amp;MENO=R&#243;bert&amp;SID=0&amp;T=f0&amp;R=0" TargetMode="External"/><Relationship Id="rId13" Type="http://schemas.openxmlformats.org/officeDocument/2006/relationships/chart" Target="charts/chart1.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orsr.sk/hladaj_osoba.asp?PR=Trpinov&#225;&amp;MENO=Monika&amp;SID=0&amp;T=f0&amp;R=0"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hladaj_osoba.asp?PR=Chovanov&#225;&amp;MENO=Patr&#237;cia&amp;SID=0&amp;T=f0&amp;R=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orsr.sk/hladaj_osoba.asp?PR=&#352;m&#225;lov&#225;&amp;MENO=Libu&#353;a&amp;SID=0&amp;T=f0&amp;R=0"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orsr.sk/hladaj_osoba.asp?PR=Halu&#353;&#357;okov&#225;&amp;MENO=Zuzana&amp;SID=0&amp;T=f0&amp;R=0" TargetMode="External"/><Relationship Id="rId14" Type="http://schemas.openxmlformats.org/officeDocument/2006/relationships/chart" Target="charts/chart2.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1%20ATCL\AUDIT\SLOVKARPATIA%20HOTEL\VYROCNA%20SPRAVA\2015\ukazovatele%20VS%202015.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1%20ATCL\AUDIT\SLOVKARPATIA%20HOTEL\VYROCNA%20SPRAVA\2015\ukazovatele%20VS%202015.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9.85579615048119E-2"/>
          <c:y val="3.2882035578885971E-2"/>
          <c:w val="0.61197025371828517"/>
          <c:h val="0.8326195683872849"/>
        </c:manualLayout>
      </c:layout>
      <c:barChart>
        <c:barDir val="col"/>
        <c:grouping val="clustered"/>
        <c:varyColors val="0"/>
        <c:ser>
          <c:idx val="0"/>
          <c:order val="0"/>
          <c:tx>
            <c:strRef>
              <c:f>Hárok1!$B$24</c:f>
              <c:strCache>
                <c:ptCount val="1"/>
                <c:pt idx="0">
                  <c:v>Okamžitá likvidita</c:v>
                </c:pt>
              </c:strCache>
            </c:strRef>
          </c:tx>
          <c:invertIfNegative val="0"/>
          <c:cat>
            <c:numRef>
              <c:f>Hárok1!$C$23:$F$23</c:f>
              <c:numCache>
                <c:formatCode>General</c:formatCode>
                <c:ptCount val="4"/>
                <c:pt idx="0">
                  <c:v>2012</c:v>
                </c:pt>
                <c:pt idx="1">
                  <c:v>2013</c:v>
                </c:pt>
                <c:pt idx="2">
                  <c:v>2014</c:v>
                </c:pt>
                <c:pt idx="3">
                  <c:v>2015</c:v>
                </c:pt>
              </c:numCache>
            </c:numRef>
          </c:cat>
          <c:val>
            <c:numRef>
              <c:f>Hárok1!$C$24:$F$24</c:f>
              <c:numCache>
                <c:formatCode>#,##0.00</c:formatCode>
                <c:ptCount val="4"/>
                <c:pt idx="0">
                  <c:v>0.27</c:v>
                </c:pt>
                <c:pt idx="1">
                  <c:v>0.47</c:v>
                </c:pt>
                <c:pt idx="2">
                  <c:v>0.44</c:v>
                </c:pt>
                <c:pt idx="3" formatCode="General">
                  <c:v>0.25</c:v>
                </c:pt>
              </c:numCache>
            </c:numRef>
          </c:val>
          <c:extLst>
            <c:ext xmlns:c16="http://schemas.microsoft.com/office/drawing/2014/chart" uri="{C3380CC4-5D6E-409C-BE32-E72D297353CC}">
              <c16:uniqueId val="{00000000-5761-4562-8896-D19C55E39709}"/>
            </c:ext>
          </c:extLst>
        </c:ser>
        <c:ser>
          <c:idx val="1"/>
          <c:order val="1"/>
          <c:tx>
            <c:strRef>
              <c:f>Hárok1!$B$25</c:f>
              <c:strCache>
                <c:ptCount val="1"/>
                <c:pt idx="0">
                  <c:v>Bežná likvidita</c:v>
                </c:pt>
              </c:strCache>
            </c:strRef>
          </c:tx>
          <c:invertIfNegative val="0"/>
          <c:cat>
            <c:numRef>
              <c:f>Hárok1!$C$23:$F$23</c:f>
              <c:numCache>
                <c:formatCode>General</c:formatCode>
                <c:ptCount val="4"/>
                <c:pt idx="0">
                  <c:v>2012</c:v>
                </c:pt>
                <c:pt idx="1">
                  <c:v>2013</c:v>
                </c:pt>
                <c:pt idx="2">
                  <c:v>2014</c:v>
                </c:pt>
                <c:pt idx="3">
                  <c:v>2015</c:v>
                </c:pt>
              </c:numCache>
            </c:numRef>
          </c:cat>
          <c:val>
            <c:numRef>
              <c:f>Hárok1!$C$25:$F$25</c:f>
              <c:numCache>
                <c:formatCode>#,##0.00</c:formatCode>
                <c:ptCount val="4"/>
                <c:pt idx="0">
                  <c:v>0.67</c:v>
                </c:pt>
                <c:pt idx="1">
                  <c:v>0.83</c:v>
                </c:pt>
                <c:pt idx="2">
                  <c:v>0.85</c:v>
                </c:pt>
                <c:pt idx="3" formatCode="General">
                  <c:v>0.72</c:v>
                </c:pt>
              </c:numCache>
            </c:numRef>
          </c:val>
          <c:extLst>
            <c:ext xmlns:c16="http://schemas.microsoft.com/office/drawing/2014/chart" uri="{C3380CC4-5D6E-409C-BE32-E72D297353CC}">
              <c16:uniqueId val="{00000001-5761-4562-8896-D19C55E39709}"/>
            </c:ext>
          </c:extLst>
        </c:ser>
        <c:ser>
          <c:idx val="2"/>
          <c:order val="2"/>
          <c:tx>
            <c:strRef>
              <c:f>Hárok1!$B$26</c:f>
              <c:strCache>
                <c:ptCount val="1"/>
                <c:pt idx="0">
                  <c:v>Celková likvidita</c:v>
                </c:pt>
              </c:strCache>
            </c:strRef>
          </c:tx>
          <c:invertIfNegative val="0"/>
          <c:cat>
            <c:numRef>
              <c:f>Hárok1!$C$23:$F$23</c:f>
              <c:numCache>
                <c:formatCode>General</c:formatCode>
                <c:ptCount val="4"/>
                <c:pt idx="0">
                  <c:v>2012</c:v>
                </c:pt>
                <c:pt idx="1">
                  <c:v>2013</c:v>
                </c:pt>
                <c:pt idx="2">
                  <c:v>2014</c:v>
                </c:pt>
                <c:pt idx="3">
                  <c:v>2015</c:v>
                </c:pt>
              </c:numCache>
            </c:numRef>
          </c:cat>
          <c:val>
            <c:numRef>
              <c:f>Hárok1!$C$26:$F$26</c:f>
              <c:numCache>
                <c:formatCode>#,##0.00</c:formatCode>
                <c:ptCount val="4"/>
                <c:pt idx="0">
                  <c:v>0.77</c:v>
                </c:pt>
                <c:pt idx="1">
                  <c:v>0.9</c:v>
                </c:pt>
                <c:pt idx="2">
                  <c:v>0.93</c:v>
                </c:pt>
                <c:pt idx="3" formatCode="General">
                  <c:v>0.81</c:v>
                </c:pt>
              </c:numCache>
            </c:numRef>
          </c:val>
          <c:extLst>
            <c:ext xmlns:c16="http://schemas.microsoft.com/office/drawing/2014/chart" uri="{C3380CC4-5D6E-409C-BE32-E72D297353CC}">
              <c16:uniqueId val="{00000002-5761-4562-8896-D19C55E39709}"/>
            </c:ext>
          </c:extLst>
        </c:ser>
        <c:dLbls>
          <c:showLegendKey val="0"/>
          <c:showVal val="0"/>
          <c:showCatName val="0"/>
          <c:showSerName val="0"/>
          <c:showPercent val="0"/>
          <c:showBubbleSize val="0"/>
        </c:dLbls>
        <c:gapWidth val="150"/>
        <c:axId val="125101184"/>
        <c:axId val="125103104"/>
      </c:barChart>
      <c:catAx>
        <c:axId val="125101184"/>
        <c:scaling>
          <c:orientation val="minMax"/>
        </c:scaling>
        <c:delete val="0"/>
        <c:axPos val="b"/>
        <c:numFmt formatCode="General" sourceLinked="1"/>
        <c:majorTickMark val="out"/>
        <c:minorTickMark val="none"/>
        <c:tickLblPos val="nextTo"/>
        <c:crossAx val="125103104"/>
        <c:crosses val="autoZero"/>
        <c:auto val="1"/>
        <c:lblAlgn val="ctr"/>
        <c:lblOffset val="100"/>
        <c:noMultiLvlLbl val="0"/>
      </c:catAx>
      <c:valAx>
        <c:axId val="125103104"/>
        <c:scaling>
          <c:orientation val="minMax"/>
        </c:scaling>
        <c:delete val="0"/>
        <c:axPos val="l"/>
        <c:majorGridlines/>
        <c:numFmt formatCode="#,##0.00" sourceLinked="1"/>
        <c:majorTickMark val="out"/>
        <c:minorTickMark val="none"/>
        <c:tickLblPos val="nextTo"/>
        <c:crossAx val="12510118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manualLayout>
          <c:layoutTarget val="inner"/>
          <c:xMode val="edge"/>
          <c:yMode val="edge"/>
          <c:x val="0.16884951881014873"/>
          <c:y val="0.17165536599591719"/>
          <c:w val="0.81448381452318463"/>
          <c:h val="0.68921660834062404"/>
        </c:manualLayout>
      </c:layout>
      <c:lineChart>
        <c:grouping val="stacked"/>
        <c:varyColors val="0"/>
        <c:ser>
          <c:idx val="0"/>
          <c:order val="0"/>
          <c:tx>
            <c:strRef>
              <c:f>Hárok1!$B$37</c:f>
              <c:strCache>
                <c:ptCount val="1"/>
                <c:pt idx="0">
                  <c:v>   Tržby z predaja služieb </c:v>
                </c:pt>
              </c:strCache>
            </c:strRef>
          </c:tx>
          <c:cat>
            <c:numRef>
              <c:f>Hárok1!$C$36:$F$36</c:f>
              <c:numCache>
                <c:formatCode>General</c:formatCode>
                <c:ptCount val="4"/>
                <c:pt idx="0">
                  <c:v>2012</c:v>
                </c:pt>
                <c:pt idx="1">
                  <c:v>2013</c:v>
                </c:pt>
                <c:pt idx="2">
                  <c:v>2014</c:v>
                </c:pt>
                <c:pt idx="3">
                  <c:v>2015</c:v>
                </c:pt>
              </c:numCache>
            </c:numRef>
          </c:cat>
          <c:val>
            <c:numRef>
              <c:f>Hárok1!$C$37:$F$37</c:f>
              <c:numCache>
                <c:formatCode>#,##0</c:formatCode>
                <c:ptCount val="4"/>
                <c:pt idx="0">
                  <c:v>2112168</c:v>
                </c:pt>
                <c:pt idx="1">
                  <c:v>2021542</c:v>
                </c:pt>
                <c:pt idx="2">
                  <c:v>2130514</c:v>
                </c:pt>
                <c:pt idx="3">
                  <c:v>2201671</c:v>
                </c:pt>
              </c:numCache>
            </c:numRef>
          </c:val>
          <c:smooth val="0"/>
          <c:extLst>
            <c:ext xmlns:c16="http://schemas.microsoft.com/office/drawing/2014/chart" uri="{C3380CC4-5D6E-409C-BE32-E72D297353CC}">
              <c16:uniqueId val="{00000000-EC1D-49AB-A001-FF044D7446E1}"/>
            </c:ext>
          </c:extLst>
        </c:ser>
        <c:dLbls>
          <c:showLegendKey val="0"/>
          <c:showVal val="0"/>
          <c:showCatName val="0"/>
          <c:showSerName val="0"/>
          <c:showPercent val="0"/>
          <c:showBubbleSize val="0"/>
        </c:dLbls>
        <c:marker val="1"/>
        <c:smooth val="0"/>
        <c:axId val="156347392"/>
        <c:axId val="159675136"/>
      </c:lineChart>
      <c:catAx>
        <c:axId val="156347392"/>
        <c:scaling>
          <c:orientation val="minMax"/>
        </c:scaling>
        <c:delete val="0"/>
        <c:axPos val="b"/>
        <c:numFmt formatCode="General" sourceLinked="1"/>
        <c:majorTickMark val="none"/>
        <c:minorTickMark val="none"/>
        <c:tickLblPos val="nextTo"/>
        <c:crossAx val="159675136"/>
        <c:crosses val="autoZero"/>
        <c:auto val="1"/>
        <c:lblAlgn val="ctr"/>
        <c:lblOffset val="100"/>
        <c:noMultiLvlLbl val="0"/>
      </c:catAx>
      <c:valAx>
        <c:axId val="159675136"/>
        <c:scaling>
          <c:orientation val="minMax"/>
        </c:scaling>
        <c:delete val="0"/>
        <c:axPos val="l"/>
        <c:majorGridlines/>
        <c:numFmt formatCode="#,##0" sourceLinked="1"/>
        <c:majorTickMark val="none"/>
        <c:minorTickMark val="none"/>
        <c:tickLblPos val="nextTo"/>
        <c:crossAx val="15634739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2E27A-F3F8-4D0B-A3D0-D31A4FB54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Pages>
  <Words>3298</Words>
  <Characters>18799</Characters>
  <Application>Microsoft Office Word</Application>
  <DocSecurity>0</DocSecurity>
  <Lines>156</Lines>
  <Paragraphs>44</Paragraphs>
  <ScaleCrop>false</ScaleCrop>
  <HeadingPairs>
    <vt:vector size="2" baseType="variant">
      <vt:variant>
        <vt:lpstr>Názov</vt:lpstr>
      </vt:variant>
      <vt:variant>
        <vt:i4>1</vt:i4>
      </vt:variant>
    </vt:vector>
  </HeadingPairs>
  <TitlesOfParts>
    <vt:vector size="1" baseType="lpstr">
      <vt:lpstr/>
    </vt:vector>
  </TitlesOfParts>
  <Company>SLOVKARPATIA HOTEL, a.s.</Company>
  <LinksUpToDate>false</LinksUpToDate>
  <CharactersWithSpaces>22053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chebenova@nrgroup.sk;halustokova@cihabo.sk</dc:creator>
  <cp:lastModifiedBy>Ľudmila Chebenová</cp:lastModifiedBy>
  <cp:revision>3</cp:revision>
  <cp:lastPrinted>2017-03-31T11:30:00Z</cp:lastPrinted>
  <dcterms:created xsi:type="dcterms:W3CDTF">2017-03-31T11:27:00Z</dcterms:created>
  <dcterms:modified xsi:type="dcterms:W3CDTF">2017-03-31T11:43:00Z</dcterms:modified>
  <cp:contentStatus/>
</cp:coreProperties>
</file>