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D8F" w:rsidRDefault="004C0D8F" w:rsidP="004C0D8F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PRÍLOHA K ÚČTOVNEJ ZÁVIERKE ZOSTAVENEJ K 31.12.2016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A. Všeobecné údaje o spoločnosti</w:t>
      </w:r>
    </w:p>
    <w:p w:rsidR="004C0D8F" w:rsidRDefault="004C0D8F" w:rsidP="004C0D8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Základné údaje o vzniku spoločnosti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4C0D8F" w:rsidTr="004C0D8F">
        <w:trPr>
          <w:trHeight w:hRule="exact" w:val="2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Názov spoločnosti 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GRIMI s.r.o.</w:t>
            </w:r>
          </w:p>
        </w:tc>
      </w:tr>
      <w:tr w:rsidR="004C0D8F" w:rsidTr="004C0D8F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Sídlo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Markušovská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cesta  22, Spišská Nová Ves</w:t>
            </w: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Dátum založenia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27.04.2001</w:t>
            </w:r>
          </w:p>
        </w:tc>
      </w:tr>
      <w:tr w:rsidR="004C0D8F" w:rsidTr="004C0D8F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Dátum zápisu spoločnosti do obchodného registra: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18.05.2001</w:t>
            </w:r>
          </w:p>
        </w:tc>
      </w:tr>
      <w:tr w:rsidR="004C0D8F" w:rsidTr="004C0D8F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Identifikačné číslo organizácie (IČO):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36206881</w:t>
            </w: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2.  Predmet  činnosti spoločnosti (podľa výpisu z obchodného registra)</w:t>
      </w: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Hlavné činnosti spoločnosti sú:</w:t>
      </w:r>
    </w:p>
    <w:p w:rsidR="004C0D8F" w:rsidRDefault="004C0D8F" w:rsidP="004C0D8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kovoobrábanie</w:t>
      </w:r>
      <w:proofErr w:type="spellEnd"/>
    </w:p>
    <w:p w:rsidR="004C0D8F" w:rsidRDefault="004C0D8F" w:rsidP="004C0D8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výroba kovových konštrukcií</w:t>
      </w:r>
    </w:p>
    <w:p w:rsidR="004C0D8F" w:rsidRDefault="004C0D8F" w:rsidP="004C0D8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kúpa tovaru za účelom jeho predaja</w:t>
      </w:r>
    </w:p>
    <w:p w:rsidR="004C0D8F" w:rsidRDefault="004C0D8F" w:rsidP="004C0D8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sprostredkovanie predaja tovaru a služieb</w:t>
      </w: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Priemerný počet zamestnancov: 4</w:t>
      </w: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 toho vedúcich zamestnancov: 1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</w:t>
      </w:r>
    </w:p>
    <w:p w:rsidR="004C0D8F" w:rsidRDefault="004C0D8F" w:rsidP="004C0D8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Údaje o konsolidovanom celku</w:t>
      </w:r>
    </w:p>
    <w:p w:rsidR="004C0D8F" w:rsidRDefault="004C0D8F" w:rsidP="004C0D8F">
      <w:pPr>
        <w:spacing w:line="240" w:lineRule="auto"/>
        <w:ind w:left="2250"/>
        <w:rPr>
          <w:rFonts w:ascii="Times New Roman" w:hAnsi="Times New Roman" w:cs="Times New Roman"/>
          <w:b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Spoločnosť nie je súčasťou konsolidovaného celku.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</w:p>
    <w:p w:rsidR="004C0D8F" w:rsidRDefault="004C0D8F" w:rsidP="004C0D8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Použité účtovné zásady a metódy</w:t>
      </w:r>
    </w:p>
    <w:p w:rsidR="004C0D8F" w:rsidRDefault="004C0D8F" w:rsidP="004C0D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Spoločnosť zostavila účtovnú závierku za predpokladu nepretržitého pokračovania vo svojej činnosti.</w:t>
      </w: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Nezmenila účtovné zásady a metódy.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Spôsob oceňovania jednotlivých položiek majetku a záväzkov: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Dlhodobý nehmotný majetok nakupovaný: nemá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Dlhodobý nehmotný majetok vytvorený vlastnou činnosťou: nemá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Dlhodobý hmotný  majetok nakupovaný</w:t>
      </w:r>
    </w:p>
    <w:p w:rsidR="004C0D8F" w:rsidRDefault="004C0D8F" w:rsidP="004C0D8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 eviduje v obstarávacej cene, ktorá obsahuje cenu obstarania majetku a náklady súvisiace s obstaraním, ako napríklad náklady na dopravu, poštovné, clo, províziu a úroky z investičného úveru do doby aktivácie majetku. Náklady na technické zhodnotenie a modernizáciu majetku zvyšujú jeho nadobúdaciu hodnotu. Bežné opravy a údržba majetku sa účtujú do nákladov bežného obdobia.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Dlhodobý hmotný majetok vytvorený vlastnou činnosťou: nemá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finančné investície: nemá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zásoby nakupované</w:t>
      </w:r>
    </w:p>
    <w:p w:rsidR="004C0D8F" w:rsidRDefault="004C0D8F" w:rsidP="004C0D8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sa oceňujú obstarávacími cenami, čím sa rozumie cena obstarania vrátane nákladov súvisiacich s obstaraním ako napr. prepravné, provízia, clo, poistné a zľavy. Obstarávacia cena zásob sa v analytickej evidencii môže rozdeliť na cenu obstarania a vedľajšie náklady spojené s obstaraním, ktoré sa mesačne zúčtujú pomernou časťou do nákladov podľa postupu schváleného vnútropodnikovou smernicou. 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zásoby vytvorené vlastnou činnosťou</w:t>
      </w:r>
    </w:p>
    <w:p w:rsidR="004C0D8F" w:rsidRDefault="004C0D8F" w:rsidP="004C0D8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sa ocenia vlastnými nákladmi t.j. priamymi nákladmi vynaloženými na tvorbu zásob ako aj časť nepriamych nákladov, ktoré sa k tvorbe zásob vzťahujú.   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finančný majetok</w:t>
      </w:r>
    </w:p>
    <w:p w:rsidR="004C0D8F" w:rsidRDefault="004C0D8F" w:rsidP="004C0D8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pozostáva z peňazí v hotovosti, zostatkov na bankových účtoch ako aj likvidných investícií, ktoré môžu byť okamžite premenené na hotovosť. Oceňujú sa nominálnymi cenami.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pohľadávky</w:t>
      </w:r>
    </w:p>
    <w:p w:rsidR="004C0D8F" w:rsidRDefault="004C0D8F" w:rsidP="004C0D8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sú evidované v nominálnej cene, ktorá je upravená v prípade nedobytných a pochybných pohľadávok opravnými položkami .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prechodné účty aktív</w:t>
      </w:r>
    </w:p>
    <w:p w:rsidR="004C0D8F" w:rsidRDefault="004C0D8F" w:rsidP="004C0D8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predstavujú časové rozlíšenie a dohadné účty aktív, na ktoré sa účtuje so zámerom upraviť hospodársky výsledok tak, aby náklady a výnosy boli zaúčtované do obdobia, s ktorým časovo a vecne súvisia. 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rezervy</w:t>
      </w:r>
    </w:p>
    <w:p w:rsidR="004C0D8F" w:rsidRDefault="004C0D8F" w:rsidP="004C0D8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 účtujú v súlade so zákonom o rezervách (zákonné rezervy), ďalej podľa postupov účtovania sa tvoria rezervy na kurzovú stratu z prepočtu majetku a záväzkov na konci účtovného obdobia a ostatné rezervy vytvára spoločnosť vtedy, keď predpokladá vznik nákladov v súvislosti s neukončenými spormi, záručnými platbami alebo záväzkami na neurčitú sumu. Tieto rezervy sa zúčtujú po splnení záväzkov, alebo ak pominie neistota, ktorá viedla k ich vzniku.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Záväzky</w:t>
      </w: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sa oceňujú nominálnou hodnotou. Krátkodobé záväzky sú tie, ktorých zostatková hodnota splatnosti je   </w:t>
      </w: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kratšia ako jeden rok, ostatné záväzky sú dlhodobé.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prechodné účty pasív</w:t>
      </w:r>
    </w:p>
    <w:p w:rsidR="004C0D8F" w:rsidRDefault="004C0D8F" w:rsidP="004C0D8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predstavujú časové rozlíšenie a dohadné účty pasív, na ktoré sa účtuje so zámerom upraviť hospodársky výsledok tak, aby náklady a výnosy boli zaúčtované do obdobia, s ktorým časovo a vecne súvisia. 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ocenenie darovaného majetku: spoločnosť nemá takýto majetok</w:t>
      </w:r>
    </w:p>
    <w:p w:rsidR="004C0D8F" w:rsidRDefault="004C0D8F" w:rsidP="004C0D8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spôsob ocenenia majetku nadobudnutého privatizáciou alebo kúpou cez Fond národného majetku:</w:t>
      </w:r>
    </w:p>
    <w:p w:rsidR="004C0D8F" w:rsidRDefault="004C0D8F" w:rsidP="004C0D8F">
      <w:pPr>
        <w:spacing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spoločnosť nemá takýto majetok.</w:t>
      </w:r>
    </w:p>
    <w:p w:rsidR="004C0D8F" w:rsidRDefault="004C0D8F" w:rsidP="004C0D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Tvorba odpisového plánu pre dlhodobý majetok </w:t>
      </w:r>
    </w:p>
    <w:p w:rsidR="004C0D8F" w:rsidRDefault="004C0D8F" w:rsidP="004C0D8F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stanovila interným predpisom pravidlá pre účtovanie dlhodobého majetku:</w:t>
      </w:r>
    </w:p>
    <w:p w:rsidR="004C0D8F" w:rsidRDefault="004C0D8F" w:rsidP="004C0D8F">
      <w:pPr>
        <w:spacing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Nehmotný majetok, ktorého ocenenie sa rovná sume 2400,–Eur, alebo nižšie  sa účtuje na ťarchu účtu 518 – Ostatné služby. Nehmotný majetok, ktorého ocenenie je vyššie, zaradí účtovná jednotka do dlhodobého nehmotného majetku.</w:t>
      </w:r>
    </w:p>
    <w:p w:rsidR="004C0D8F" w:rsidRDefault="004C0D8F" w:rsidP="004C0D8F">
      <w:pPr>
        <w:spacing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Hmotný majetok, ktorého ocenenie sa rovná sume 1700,–Eur, alebo nižšie, účtuje účtovná jednotka na ťarchu zásob. Hmotný majetok, ktorého ocenenie  je vyššie, zaradila účtovná jednotka do dlhodobého hmotného majetku.</w:t>
      </w:r>
    </w:p>
    <w:p w:rsidR="004C0D8F" w:rsidRDefault="004C0D8F" w:rsidP="004C0D8F">
      <w:pPr>
        <w:spacing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stanovila interným predpisom, že účtovné odpisy dlhodobého majetku sa rovnajú daňovým odpisom.</w:t>
      </w:r>
    </w:p>
    <w:p w:rsidR="004C0D8F" w:rsidRDefault="004C0D8F" w:rsidP="004C0D8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 účtuje do hospodárskeho výsledku v bežnom roku</w:t>
      </w:r>
    </w:p>
    <w:p w:rsidR="004C0D8F" w:rsidRDefault="004C0D8F" w:rsidP="004C0D8F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C0D8F" w:rsidRDefault="004C0D8F" w:rsidP="004C0D8F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E. Údaje vykázané na strane aktív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súvahz</w:t>
      </w:r>
      <w:proofErr w:type="spellEnd"/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Dlhodobý nehmotný majetok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1080"/>
        <w:gridCol w:w="1134"/>
        <w:gridCol w:w="1134"/>
        <w:gridCol w:w="1134"/>
        <w:gridCol w:w="1134"/>
      </w:tblGrid>
      <w:tr w:rsidR="004C0D8F" w:rsidTr="004C0D8F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DNM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Riadok súvahy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Ocenenie na zač.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Software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4149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Oprávky a opravné položky: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Stav 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zač.bež.účt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Software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hodnota: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Software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4C0D8F" w:rsidRDefault="004C0D8F" w:rsidP="004C0D8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Dlhodobý hmotný majetok 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2.a Ocenenie dlhodobého hmotného majetku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2.b Oprávky a opravné položky k dlhodobému hmotnému majetku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1080"/>
        <w:gridCol w:w="1134"/>
        <w:gridCol w:w="1134"/>
        <w:gridCol w:w="1134"/>
        <w:gridCol w:w="1134"/>
      </w:tblGrid>
      <w:tr w:rsidR="004C0D8F" w:rsidTr="004C0D8F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DHM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Riadok súvahy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Ocenenie na zač.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Pozemky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13511</w:t>
            </w:r>
          </w:p>
        </w:tc>
        <w:tc>
          <w:tcPr>
            <w:tcW w:w="1134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40343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Budovy, haly a stavby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337146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21154</w:t>
            </w:r>
          </w:p>
        </w:tc>
        <w:tc>
          <w:tcPr>
            <w:tcW w:w="1134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358300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Stroje, prístroje a zariadenia </w:t>
            </w: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Riadok súvahy .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354729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76475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354730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Dopravné prostriedky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Inventár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Ostatný hmotný majetok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Obstaranie hmotného majetku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Poskytnuté preddavky na DHM</w:t>
            </w: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Riadok súvahy 020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Oprávky a opravné položky: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Stav 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zač.bež.účt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bež.účtovn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Obdobia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15973</w:t>
            </w: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22113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Budovy, haly a stavby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Stroje, prístroje a zariadenia</w:t>
            </w: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Riadok súvahy </w:t>
            </w:r>
          </w:p>
        </w:tc>
        <w:tc>
          <w:tcPr>
            <w:tcW w:w="1080" w:type="dxa"/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230609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6799</w:t>
            </w: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237407</w:t>
            </w: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Dopravné prostriedky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Inventár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Ostatný hmotný majetok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hodnota:</w:t>
            </w:r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Stroje,prístroje</w:t>
            </w:r>
            <w:proofErr w:type="spellEnd"/>
          </w:p>
        </w:tc>
        <w:tc>
          <w:tcPr>
            <w:tcW w:w="1080" w:type="dxa"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Preddavky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Dlhodobý finančný majetok spoločnosť nemá.</w:t>
      </w:r>
    </w:p>
    <w:p w:rsidR="004C0D8F" w:rsidRDefault="004C0D8F" w:rsidP="004C0D8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Dlhodobý </w:t>
      </w:r>
      <w:proofErr w:type="spellStart"/>
      <w:r>
        <w:rPr>
          <w:rFonts w:ascii="Times New Roman" w:hAnsi="Times New Roman" w:cs="Times New Roman"/>
          <w:sz w:val="16"/>
          <w:szCs w:val="16"/>
        </w:rPr>
        <w:t>hmotný,nehmotný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a finančný majetok, na ktorý je zriadené záložné právo alebo pri ktorom  </w:t>
      </w:r>
    </w:p>
    <w:p w:rsidR="004C0D8F" w:rsidRDefault="004C0D8F" w:rsidP="004C0D8F">
      <w:pPr>
        <w:spacing w:line="240" w:lineRule="auto"/>
        <w:ind w:left="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má obmedzené právo s ním nakladať spoločnosť nemá</w:t>
      </w:r>
    </w:p>
    <w:p w:rsidR="004C0D8F" w:rsidRDefault="004C0D8F" w:rsidP="004C0D8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Zmeny v jednotlivých zložkách dlhodobého finančného majetku – nemá</w:t>
      </w:r>
    </w:p>
    <w:p w:rsidR="004C0D8F" w:rsidRDefault="004C0D8F" w:rsidP="004C0D8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Ocenenie dlhodobého finančného majetku – nemá</w:t>
      </w:r>
    </w:p>
    <w:p w:rsidR="004C0D8F" w:rsidRDefault="004C0D8F" w:rsidP="004C0D8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Zásoby</w:t>
      </w:r>
    </w:p>
    <w:p w:rsidR="004C0D8F" w:rsidRDefault="004C0D8F" w:rsidP="004C0D8F">
      <w:pPr>
        <w:spacing w:line="240" w:lineRule="auto"/>
        <w:ind w:left="7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Opravné položky k zásobám nemá, nemá ani záložné právo a ani obmedzené právo s nimi nakladať.</w:t>
      </w:r>
    </w:p>
    <w:p w:rsidR="004C0D8F" w:rsidRDefault="004C0D8F" w:rsidP="004C0D8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Výskumná a vývojová činnosť – nemá</w:t>
      </w:r>
    </w:p>
    <w:p w:rsidR="004C0D8F" w:rsidRDefault="004C0D8F" w:rsidP="004C0D8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Zákazková výroba – nemá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Pohľadávky</w:t>
      </w:r>
    </w:p>
    <w:p w:rsidR="004C0D8F" w:rsidRDefault="004C0D8F" w:rsidP="004C0D8F">
      <w:pPr>
        <w:spacing w:line="240" w:lineRule="auto"/>
        <w:ind w:left="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10a. Pohľadávky po splatnosti:</w:t>
      </w:r>
    </w:p>
    <w:tbl>
      <w:tblPr>
        <w:tblStyle w:val="Mriekatabuky"/>
        <w:tblW w:w="0" w:type="auto"/>
        <w:tblInd w:w="1242" w:type="dxa"/>
        <w:tblLayout w:type="fixed"/>
        <w:tblLook w:val="01E0"/>
      </w:tblPr>
      <w:tblGrid>
        <w:gridCol w:w="3544"/>
        <w:gridCol w:w="1122"/>
        <w:gridCol w:w="236"/>
      </w:tblGrid>
      <w:tr w:rsidR="004C0D8F" w:rsidTr="004C0D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Text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jc w:val="center"/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4C0D8F" w:rsidTr="004C0D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45161 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jc w:val="right"/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jc w:val="right"/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jc w:val="right"/>
              <w:rPr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10b Pohľadávky zabezpečené záložným právom – nemá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10c.Odložená daňová pohľadávka - nemá     </w:t>
      </w:r>
    </w:p>
    <w:p w:rsidR="004C0D8F" w:rsidRDefault="004C0D8F" w:rsidP="004C0D8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Krátkodobý finančný majetok</w:t>
      </w:r>
    </w:p>
    <w:p w:rsidR="004C0D8F" w:rsidRDefault="004C0D8F" w:rsidP="004C0D8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Rozpis krátkodobého finančného majetku je nasledovný: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634"/>
      </w:tblGrid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Peniaze v pokladnici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584</w:t>
            </w: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Termínované vklady v banke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Ostatné bankové účty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-388612</w:t>
            </w: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Krátkodobý finančný majetok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-60000</w:t>
            </w: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Medzisúčet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Opravné položky k finančnému majetku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Celkom: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-449196</w:t>
            </w: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Obmedzenia týkajúce sa použitia finančného majetku ku koncu roka: spoločnosť nemá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Rozpis opravnej položky k finančnému majetku: spoločnosť nemá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Finančný majetok týkajúci sa spriaznených osôb: spoločnosť nemá</w:t>
      </w:r>
    </w:p>
    <w:p w:rsidR="004C0D8F" w:rsidRDefault="004C0D8F" w:rsidP="004C0D8F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Významné položky časového rozlíšenie nákladov budúcich období a príjmov budúcich období</w:t>
      </w:r>
    </w:p>
    <w:p w:rsidR="004C0D8F" w:rsidRDefault="004C0D8F" w:rsidP="004C0D8F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tbl>
      <w:tblPr>
        <w:tblStyle w:val="Mriekatabuky"/>
        <w:tblW w:w="0" w:type="auto"/>
        <w:tblInd w:w="0" w:type="dxa"/>
        <w:tblLook w:val="01E0"/>
      </w:tblPr>
      <w:tblGrid>
        <w:gridCol w:w="1842"/>
        <w:gridCol w:w="1842"/>
        <w:gridCol w:w="1842"/>
        <w:gridCol w:w="1843"/>
        <w:gridCol w:w="1843"/>
      </w:tblGrid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zač. </w:t>
            </w:r>
            <w:proofErr w:type="spellStart"/>
            <w:r>
              <w:rPr>
                <w:sz w:val="16"/>
                <w:szCs w:val="16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konci </w:t>
            </w:r>
            <w:proofErr w:type="spellStart"/>
            <w:r>
              <w:rPr>
                <w:sz w:val="16"/>
                <w:szCs w:val="16"/>
              </w:rPr>
              <w:t>bež.účt.obdobia</w:t>
            </w:r>
            <w:proofErr w:type="spellEnd"/>
          </w:p>
        </w:tc>
      </w:tr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Poistenie dlhodobého nehmotného a dlhodobého hmotného majetku</w:t>
      </w:r>
    </w:p>
    <w:p w:rsidR="004C0D8F" w:rsidRDefault="004C0D8F" w:rsidP="004C0D8F">
      <w:pPr>
        <w:spacing w:line="240" w:lineRule="auto"/>
        <w:ind w:left="426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Ind w:w="0" w:type="dxa"/>
        <w:tblLook w:val="01E0"/>
      </w:tblPr>
      <w:tblGrid>
        <w:gridCol w:w="3070"/>
        <w:gridCol w:w="3071"/>
        <w:gridCol w:w="3071"/>
      </w:tblGrid>
      <w:tr w:rsidR="004C0D8F" w:rsidTr="004C0D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 majetku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suma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Platnosť zmluvy</w:t>
            </w:r>
          </w:p>
        </w:tc>
      </w:tr>
      <w:tr w:rsidR="004C0D8F" w:rsidTr="004C0D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Avia</w:t>
            </w:r>
            <w:proofErr w:type="spellEnd"/>
            <w:r>
              <w:rPr>
                <w:sz w:val="16"/>
                <w:szCs w:val="16"/>
              </w:rPr>
              <w:t xml:space="preserve"> SN 900 BC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237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1.1-31.12.2016</w:t>
            </w:r>
          </w:p>
        </w:tc>
      </w:tr>
      <w:tr w:rsidR="004C0D8F" w:rsidTr="004C0D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 w:rsidP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Údaje vykázané na strane pasív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1.Vlastné imanie za bežné účtovné obdobie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1a. Opis základného imania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Základné imanie celkom v hodnote: 20000 Eur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Základné imanie splatené:                 20000 Eur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Vlastné imanie:                                             Eur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Podiel  základného imania na celkovej hodnote vlastného imania vyjadrený v%: 53%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1b. Rozdelenie účtovného zisku vykázaného v predchádzajúcom účtovnom období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268"/>
      </w:tblGrid>
      <w:tr w:rsidR="004C0D8F" w:rsidTr="004C0D8F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Hodnota</w:t>
            </w:r>
          </w:p>
        </w:tc>
      </w:tr>
      <w:tr w:rsidR="004C0D8F" w:rsidTr="004C0D8F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Účtovný zisk: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Prídely do zákonného rezervného fondu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</w:p>
        </w:tc>
      </w:tr>
      <w:tr w:rsidR="004C0D8F" w:rsidTr="004C0D8F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Nerozdelený zisk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min.rokov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eur</w:t>
            </w:r>
          </w:p>
        </w:tc>
      </w:tr>
      <w:tr w:rsidR="004C0D8F" w:rsidTr="004C0D8F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Prídely zo zisku spoločníkom: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1c. </w:t>
      </w:r>
      <w:proofErr w:type="spellStart"/>
      <w:r>
        <w:rPr>
          <w:rFonts w:ascii="Times New Roman" w:hAnsi="Times New Roman" w:cs="Times New Roman"/>
          <w:sz w:val="16"/>
          <w:szCs w:val="16"/>
        </w:rPr>
        <w:t>Vysporiadanie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účtovnej straty vykázanej v predchádzajúcom období: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268"/>
      </w:tblGrid>
      <w:tr w:rsidR="004C0D8F" w:rsidTr="004C0D8F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Hodnota</w:t>
            </w:r>
          </w:p>
        </w:tc>
      </w:tr>
      <w:tr w:rsidR="004C0D8F" w:rsidTr="004C0D8F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Účtovná strata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-291262</w:t>
            </w:r>
          </w:p>
        </w:tc>
      </w:tr>
      <w:tr w:rsidR="004C0D8F" w:rsidTr="004C0D8F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Rezervy</w:t>
      </w:r>
    </w:p>
    <w:p w:rsidR="004C0D8F" w:rsidRDefault="004C0D8F" w:rsidP="004C0D8F">
      <w:pPr>
        <w:spacing w:line="240" w:lineRule="auto"/>
        <w:ind w:firstLine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Pohyby rezerv v sledovanom období znázorňuje tabuľka: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Ind w:w="0" w:type="dxa"/>
        <w:tblLook w:val="01E0"/>
      </w:tblPr>
      <w:tblGrid>
        <w:gridCol w:w="1312"/>
        <w:gridCol w:w="1311"/>
        <w:gridCol w:w="1311"/>
        <w:gridCol w:w="1312"/>
        <w:gridCol w:w="1312"/>
        <w:gridCol w:w="1314"/>
        <w:gridCol w:w="1416"/>
      </w:tblGrid>
      <w:tr w:rsidR="004C0D8F" w:rsidTr="004C0D8F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rezervy</w:t>
            </w:r>
          </w:p>
          <w:p w:rsidR="004C0D8F" w:rsidRDefault="004C0D8F">
            <w:pPr>
              <w:rPr>
                <w:sz w:val="16"/>
                <w:szCs w:val="16"/>
              </w:rPr>
            </w:pPr>
          </w:p>
          <w:p w:rsidR="004C0D8F" w:rsidRDefault="004C0D8F">
            <w:pPr>
              <w:rPr>
                <w:sz w:val="16"/>
                <w:szCs w:val="16"/>
              </w:rPr>
            </w:pPr>
          </w:p>
          <w:p w:rsidR="004C0D8F" w:rsidRDefault="004C0D8F">
            <w:pPr>
              <w:rPr>
                <w:sz w:val="16"/>
                <w:szCs w:val="16"/>
              </w:rPr>
            </w:pPr>
          </w:p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Stav na </w:t>
            </w:r>
            <w:proofErr w:type="spellStart"/>
            <w:r>
              <w:rPr>
                <w:sz w:val="16"/>
                <w:szCs w:val="16"/>
              </w:rPr>
              <w:t>zač.účt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Tvorba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Zníženie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Zrušenie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konci </w:t>
            </w:r>
            <w:proofErr w:type="spellStart"/>
            <w:r>
              <w:rPr>
                <w:sz w:val="16"/>
                <w:szCs w:val="16"/>
              </w:rPr>
              <w:lastRenderedPageBreak/>
              <w:t>účt.obdobia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Predpokladaný </w:t>
            </w:r>
            <w:r>
              <w:rPr>
                <w:sz w:val="16"/>
                <w:szCs w:val="16"/>
              </w:rPr>
              <w:lastRenderedPageBreak/>
              <w:t>rok použitia</w:t>
            </w:r>
          </w:p>
        </w:tc>
      </w:tr>
      <w:tr w:rsidR="004C0D8F" w:rsidTr="004C0D8F">
        <w:trPr>
          <w:trHeight w:val="252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mzdy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r.2016</w:t>
            </w: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Záväzky</w:t>
      </w:r>
    </w:p>
    <w:p w:rsidR="004C0D8F" w:rsidRDefault="004C0D8F" w:rsidP="004C0D8F">
      <w:pPr>
        <w:spacing w:line="240" w:lineRule="auto"/>
        <w:ind w:firstLine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3a. Záväzky podľa 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53"/>
        <w:gridCol w:w="2391"/>
      </w:tblGrid>
      <w:tr w:rsidR="004C0D8F" w:rsidTr="004C0D8F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Text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Hodnota</w:t>
            </w:r>
          </w:p>
        </w:tc>
      </w:tr>
      <w:tr w:rsidR="004C0D8F" w:rsidTr="004C0D8F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Záväzky do lehoty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59512  Eur</w:t>
            </w:r>
          </w:p>
        </w:tc>
      </w:tr>
      <w:tr w:rsidR="004C0D8F" w:rsidTr="004C0D8F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85000Eur</w:t>
            </w: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3b. Krátkodobé záväzky v členení podľa súvahy:</w:t>
      </w:r>
    </w:p>
    <w:tbl>
      <w:tblPr>
        <w:tblStyle w:val="Mriekatabuky"/>
        <w:tblW w:w="0" w:type="auto"/>
        <w:tblInd w:w="0" w:type="dxa"/>
        <w:tblLook w:val="01E0"/>
      </w:tblPr>
      <w:tblGrid>
        <w:gridCol w:w="4786"/>
        <w:gridCol w:w="2693"/>
        <w:gridCol w:w="1733"/>
      </w:tblGrid>
      <w:tr w:rsidR="004C0D8F" w:rsidTr="004C0D8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 záväzku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</w:t>
            </w:r>
          </w:p>
        </w:tc>
      </w:tr>
      <w:tr w:rsidR="004C0D8F" w:rsidTr="004C0D8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z </w:t>
            </w:r>
            <w:proofErr w:type="spellStart"/>
            <w:r>
              <w:rPr>
                <w:sz w:val="16"/>
                <w:szCs w:val="16"/>
              </w:rPr>
              <w:t>obch.styku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0ur</w:t>
            </w:r>
          </w:p>
        </w:tc>
      </w:tr>
      <w:tr w:rsidR="004C0D8F" w:rsidTr="004C0D8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voči spol.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3741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66128</w:t>
            </w:r>
            <w:r w:rsidR="004C0D8F">
              <w:rPr>
                <w:sz w:val="16"/>
                <w:szCs w:val="16"/>
              </w:rPr>
              <w:t>Eur</w:t>
            </w:r>
          </w:p>
        </w:tc>
      </w:tr>
      <w:tr w:rsidR="004C0D8F" w:rsidTr="004C0D8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Záv</w:t>
            </w:r>
            <w:proofErr w:type="spellEnd"/>
            <w:r>
              <w:rPr>
                <w:sz w:val="16"/>
                <w:szCs w:val="16"/>
              </w:rPr>
              <w:t>.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3741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C0D8F">
              <w:rPr>
                <w:sz w:val="16"/>
                <w:szCs w:val="16"/>
              </w:rPr>
              <w:t>Eur</w:t>
            </w:r>
          </w:p>
        </w:tc>
      </w:tr>
      <w:tr w:rsidR="004C0D8F" w:rsidTr="004C0D8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Záv</w:t>
            </w:r>
            <w:proofErr w:type="spellEnd"/>
            <w:r>
              <w:rPr>
                <w:sz w:val="16"/>
                <w:szCs w:val="16"/>
              </w:rPr>
              <w:t xml:space="preserve">. zo </w:t>
            </w:r>
            <w:proofErr w:type="spellStart"/>
            <w:r>
              <w:rPr>
                <w:sz w:val="16"/>
                <w:szCs w:val="16"/>
              </w:rPr>
              <w:t>soc.zabezpečenia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1910Eur</w:t>
            </w:r>
          </w:p>
        </w:tc>
      </w:tr>
      <w:tr w:rsidR="004C0D8F" w:rsidTr="004C0D8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3741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C0D8F">
              <w:rPr>
                <w:sz w:val="16"/>
                <w:szCs w:val="16"/>
              </w:rPr>
              <w:t>16019ur</w:t>
            </w:r>
          </w:p>
        </w:tc>
      </w:tr>
      <w:tr w:rsidR="004C0D8F" w:rsidTr="004C0D8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3c. Dlhodobé záväzky v členení podľa položiek súvahy (nad jeden rok)</w:t>
      </w:r>
    </w:p>
    <w:tbl>
      <w:tblPr>
        <w:tblStyle w:val="Mriekatabuky"/>
        <w:tblW w:w="0" w:type="auto"/>
        <w:tblInd w:w="0" w:type="dxa"/>
        <w:tblLook w:val="01E0"/>
      </w:tblPr>
      <w:tblGrid>
        <w:gridCol w:w="2376"/>
        <w:gridCol w:w="1134"/>
        <w:gridCol w:w="2977"/>
        <w:gridCol w:w="2725"/>
      </w:tblGrid>
      <w:tr w:rsidR="004C0D8F" w:rsidTr="004C0D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 záväzku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Splatnosť od 1 do 5 rokov</w:t>
            </w:r>
          </w:p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Splatnosť viac ako 5 rokov</w:t>
            </w:r>
          </w:p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</w:t>
            </w:r>
          </w:p>
        </w:tc>
      </w:tr>
      <w:tr w:rsidR="004C0D8F" w:rsidTr="004C0D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C0D8F" w:rsidTr="004C0D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3d. Záväzky kryté záložným právom: spoločnosť nemá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  Spôsob vzniku  odloženého daňového záväzku: spoločnosť nemá</w:t>
      </w:r>
    </w:p>
    <w:p w:rsidR="004C0D8F" w:rsidRDefault="004C0D8F" w:rsidP="004C0D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Záväzky zo sociálneho fondu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</w:tblGrid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Počiatočný stav sociálneho fondu: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1</w:t>
            </w:r>
            <w:r w:rsidR="00374142">
              <w:rPr>
                <w:rFonts w:ascii="Times New Roman" w:hAnsi="Times New Roman" w:cs="Times New Roman"/>
                <w:sz w:val="16"/>
                <w:szCs w:val="16"/>
              </w:rPr>
              <w:t>695</w:t>
            </w: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Konečný stav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37414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1695</w:t>
            </w: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Vydané dlhopisy – nemá</w:t>
      </w:r>
    </w:p>
    <w:p w:rsidR="004C0D8F" w:rsidRDefault="004C0D8F" w:rsidP="004C0D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Bankové úvery, pôžičky, finančné výpomoci</w:t>
      </w:r>
    </w:p>
    <w:tbl>
      <w:tblPr>
        <w:tblStyle w:val="Mriekatabuky"/>
        <w:tblW w:w="0" w:type="auto"/>
        <w:tblInd w:w="0" w:type="dxa"/>
        <w:tblLook w:val="01E0"/>
      </w:tblPr>
      <w:tblGrid>
        <w:gridCol w:w="3431"/>
        <w:gridCol w:w="581"/>
        <w:gridCol w:w="670"/>
        <w:gridCol w:w="1261"/>
        <w:gridCol w:w="659"/>
        <w:gridCol w:w="836"/>
        <w:gridCol w:w="1850"/>
      </w:tblGrid>
      <w:tr w:rsidR="004C0D8F" w:rsidTr="004C0D8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Charakter  bankového úveru, pôžičky, finančnej výpomoci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Cudzia mena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 Eur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Výška úroku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Splatnosť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 zabezpečenia</w:t>
            </w:r>
          </w:p>
        </w:tc>
      </w:tr>
      <w:tr w:rsidR="004C0D8F" w:rsidTr="004C0D8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DMIU ČSOB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Úver </w:t>
            </w:r>
            <w:proofErr w:type="spellStart"/>
            <w:r>
              <w:rPr>
                <w:sz w:val="16"/>
                <w:szCs w:val="16"/>
              </w:rPr>
              <w:t>kia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sorento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VW </w:t>
            </w:r>
            <w:proofErr w:type="spellStart"/>
            <w:r>
              <w:rPr>
                <w:sz w:val="16"/>
                <w:szCs w:val="16"/>
              </w:rPr>
              <w:t>fin.služby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34046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DIU ČSOB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KTK ČSOB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30179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MIU ČSOB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15935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Významné položky časového rozlíšenia výdavkoch budúcich období a výnosov budúcich období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nemá</w:t>
      </w:r>
    </w:p>
    <w:tbl>
      <w:tblPr>
        <w:tblStyle w:val="Mriekatabuky"/>
        <w:tblW w:w="0" w:type="auto"/>
        <w:tblInd w:w="0" w:type="dxa"/>
        <w:tblLook w:val="01E0"/>
      </w:tblPr>
      <w:tblGrid>
        <w:gridCol w:w="1842"/>
        <w:gridCol w:w="1842"/>
        <w:gridCol w:w="1842"/>
        <w:gridCol w:w="1843"/>
        <w:gridCol w:w="1843"/>
      </w:tblGrid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zač. </w:t>
            </w:r>
            <w:proofErr w:type="spellStart"/>
            <w:r>
              <w:rPr>
                <w:sz w:val="16"/>
                <w:szCs w:val="16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konci </w:t>
            </w:r>
            <w:proofErr w:type="spellStart"/>
            <w:r>
              <w:rPr>
                <w:sz w:val="16"/>
                <w:szCs w:val="16"/>
              </w:rPr>
              <w:t>bež.účt.obdobia</w:t>
            </w:r>
            <w:proofErr w:type="spellEnd"/>
          </w:p>
        </w:tc>
      </w:tr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  <w:tr w:rsidR="004C0D8F" w:rsidTr="004C0D8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rPr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Významné položky derivátov - nemá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G. Informácie o nákladoch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28"/>
        <w:gridCol w:w="1814"/>
        <w:gridCol w:w="1059"/>
      </w:tblGrid>
      <w:tr w:rsidR="004C0D8F" w:rsidTr="004C0D8F">
        <w:trPr>
          <w:trHeight w:val="227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Druh nákladov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Suma Eur</w:t>
            </w:r>
          </w:p>
        </w:tc>
      </w:tr>
      <w:tr w:rsidR="004C0D8F" w:rsidTr="004C0D8F">
        <w:trPr>
          <w:trHeight w:val="470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Materiál a energie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Materiál</w:t>
            </w:r>
          </w:p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energie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3741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461974</w:t>
            </w:r>
          </w:p>
        </w:tc>
      </w:tr>
      <w:tr w:rsidR="004C0D8F" w:rsidTr="004C0D8F">
        <w:trPr>
          <w:trHeight w:val="227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Mzdy a 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odvody,soc.náklady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3741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62701</w:t>
            </w:r>
          </w:p>
        </w:tc>
      </w:tr>
      <w:tr w:rsidR="004C0D8F" w:rsidTr="004C0D8F">
        <w:trPr>
          <w:trHeight w:val="697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Náklady za poskytnuté služby</w:t>
            </w: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trHeight w:val="1621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Ostatné náklady z hospodárskej činnosti</w:t>
            </w: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Odpisy</w:t>
            </w: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Ostatné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3741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47575</w:t>
            </w:r>
          </w:p>
          <w:p w:rsidR="004C0D8F" w:rsidRDefault="003741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131450</w:t>
            </w:r>
          </w:p>
        </w:tc>
      </w:tr>
      <w:tr w:rsidR="004C0D8F" w:rsidTr="004C0D8F">
        <w:trPr>
          <w:trHeight w:val="1167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Finančné náklady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trHeight w:val="455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Mimoriadne náklady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trHeight w:val="242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H. Informácie o výnosoch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  <w:gridCol w:w="1701"/>
      </w:tblGrid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Druh 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Suma Eur</w:t>
            </w: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Tržby za vlastné výkony a tovar</w:t>
            </w: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3741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364863</w:t>
            </w: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Zmena stavu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vnútroorg.zásob</w:t>
            </w:r>
            <w:proofErr w:type="spellEnd"/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Dôvody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Výnosy pri aktivácii nákladov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Ostatné výnosy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Finančné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Kurzové zisky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Mimoriadne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D8F" w:rsidRDefault="004C0D8F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3741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364863</w:t>
            </w: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I.  Náklady: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Nemá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J. Daň z príjmov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55"/>
        <w:gridCol w:w="2019"/>
      </w:tblGrid>
      <w:tr w:rsidR="004C0D8F" w:rsidTr="004C0D8F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Text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Hodnota</w:t>
            </w:r>
          </w:p>
        </w:tc>
      </w:tr>
      <w:tr w:rsidR="004C0D8F" w:rsidTr="004C0D8F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Splatná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</w:tr>
      <w:tr w:rsidR="004C0D8F" w:rsidTr="004C0D8F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Odložená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Účtovaná daň z príjmov spolu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0D8F" w:rsidTr="004C0D8F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HV pred zdanením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8F" w:rsidRDefault="003741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74142">
              <w:rPr>
                <w:rFonts w:ascii="Times New Roman" w:hAnsi="Times New Roman" w:cs="Times New Roman"/>
                <w:sz w:val="16"/>
                <w:szCs w:val="16"/>
              </w:rPr>
              <w:t>-291263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eur</w:t>
            </w: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D8F" w:rsidRDefault="004C0D8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Zmeny sadzby dane z príjmov: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Sadzba dane v predchádzajúcom účtovnom období:        23%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Sadzba dane v bežnom účtovnom období:                       22%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Sadzba dane v nasledujúcom účtovnom období:              22%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Údaje na podsúvahových účtoch </w:t>
      </w: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Nemá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L.   Iné aktíva a iné pasíva</w:t>
      </w: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Nemá</w:t>
      </w:r>
    </w:p>
    <w:p w:rsidR="004C0D8F" w:rsidRDefault="004C0D8F" w:rsidP="004C0D8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Príjmy a výhody štatutárnych a riadiacich orgánoch spoločnosti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Neboli poskytnuté</w:t>
      </w:r>
    </w:p>
    <w:p w:rsidR="004C0D8F" w:rsidRDefault="004C0D8F" w:rsidP="004C0D8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Ekonomické vzťahy účtovnej jednotky a spriaznených osôb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Nemá</w:t>
      </w:r>
    </w:p>
    <w:p w:rsidR="004C0D8F" w:rsidRDefault="004C0D8F" w:rsidP="004C0D8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Skutočnosti, ktoré nastali po dni, ku ktorému sa zastavuje účtovná závierka do dňa zostavenia závierky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4C0D8F" w:rsidRDefault="004C0D8F" w:rsidP="004C0D8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Nenastali žiadne skutočnosti.</w:t>
      </w:r>
    </w:p>
    <w:p w:rsidR="004C0D8F" w:rsidRDefault="004C0D8F" w:rsidP="004C0D8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Prehľad zmien vlastného imania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Prehľad peňažných tokov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Nemá povinnosť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Zostavené dňa: 30.09.2016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Podpisový záznam člena štatutárneho orgánu účtovnej jednotky alebo fyzickej </w:t>
      </w:r>
      <w:proofErr w:type="spellStart"/>
      <w:r>
        <w:rPr>
          <w:rFonts w:ascii="Times New Roman" w:hAnsi="Times New Roman" w:cs="Times New Roman"/>
          <w:sz w:val="16"/>
          <w:szCs w:val="16"/>
        </w:rPr>
        <w:t>oso</w:t>
      </w:r>
      <w:proofErr w:type="spellEnd"/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Podpisový záznam osoby zodpovednej za zostavenie účtovnej závierky:</w:t>
      </w: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C0D8F" w:rsidRDefault="004C0D8F" w:rsidP="004C0D8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Podpisový záznam osoby zodpovednej za vedenie účtovníctva: </w:t>
      </w:r>
    </w:p>
    <w:p w:rsidR="004C0D8F" w:rsidRDefault="004C0D8F"/>
    <w:sectPr w:rsidR="004C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3838"/>
    <w:multiLevelType w:val="hybridMultilevel"/>
    <w:tmpl w:val="000883C6"/>
    <w:lvl w:ilvl="0" w:tplc="B1EC5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27F08"/>
    <w:multiLevelType w:val="hybridMultilevel"/>
    <w:tmpl w:val="CF6E6790"/>
    <w:lvl w:ilvl="0" w:tplc="4418CEC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D00E7"/>
    <w:multiLevelType w:val="hybridMultilevel"/>
    <w:tmpl w:val="5EC04C04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A5CCE"/>
    <w:multiLevelType w:val="multilevel"/>
    <w:tmpl w:val="8AE4C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47A9A"/>
    <w:multiLevelType w:val="hybridMultilevel"/>
    <w:tmpl w:val="46C66754"/>
    <w:lvl w:ilvl="0" w:tplc="06EE4F50">
      <w:start w:val="3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7042FD84">
      <w:start w:val="1"/>
      <w:numFmt w:val="decimal"/>
      <w:lvlText w:val="%2."/>
      <w:lvlJc w:val="left"/>
      <w:pPr>
        <w:tabs>
          <w:tab w:val="num" w:pos="3330"/>
        </w:tabs>
        <w:ind w:left="333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F82E47"/>
    <w:multiLevelType w:val="hybridMultilevel"/>
    <w:tmpl w:val="9EAA69D0"/>
    <w:lvl w:ilvl="0" w:tplc="041B0015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7F264E"/>
    <w:multiLevelType w:val="hybridMultilevel"/>
    <w:tmpl w:val="F698CBA0"/>
    <w:lvl w:ilvl="0" w:tplc="082A8C3A">
      <w:start w:val="6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A461F"/>
    <w:multiLevelType w:val="hybridMultilevel"/>
    <w:tmpl w:val="39084D18"/>
    <w:lvl w:ilvl="0" w:tplc="041B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75202392"/>
    <w:multiLevelType w:val="multilevel"/>
    <w:tmpl w:val="301037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45102"/>
    <w:multiLevelType w:val="hybridMultilevel"/>
    <w:tmpl w:val="300248BA"/>
    <w:lvl w:ilvl="0" w:tplc="2DB289B4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267EDE"/>
    <w:multiLevelType w:val="hybridMultilevel"/>
    <w:tmpl w:val="EFDC6074"/>
    <w:lvl w:ilvl="0" w:tplc="041B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44466"/>
    <w:multiLevelType w:val="singleLevel"/>
    <w:tmpl w:val="81B8EA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C0D8F"/>
    <w:rsid w:val="00374142"/>
    <w:rsid w:val="004C0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C0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2017-03-31T15:54:00Z</dcterms:created>
  <dcterms:modified xsi:type="dcterms:W3CDTF">2017-03-31T16:10:00Z</dcterms:modified>
</cp:coreProperties>
</file>