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4A3" w:rsidRDefault="00AA52C0" w:rsidP="00AA04A3">
      <w:pPr>
        <w:pStyle w:val="Nadpis1"/>
      </w:pPr>
      <w:bookmarkStart w:id="0" w:name="_Toc530739894"/>
      <w:r>
        <w:t>A.     Informácie o účtovnej jednotke</w:t>
      </w:r>
      <w:bookmarkEnd w:id="0"/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Založenie spoločnosti</w:t>
      </w:r>
    </w:p>
    <w:p w:rsidR="00AA04A3" w:rsidRDefault="00AA52C0">
      <w:pPr>
        <w:pStyle w:val="Zkladntext"/>
      </w:pPr>
      <w:r>
        <w:t xml:space="preserve">Spoločnosť Diversity Group s.r.o. (ďalej len Spoločnosť), bola založená 10. januára 2012 a do obchodného registra bola zapísaná 25. januára 2012 (Obchodný register Okresného súdu Bratislava I v Bratislave, oddiel Sro, vložka 78707/B). </w:t>
      </w:r>
    </w:p>
    <w:p w:rsidR="00AA04A3" w:rsidRDefault="00AA04A3">
      <w:pPr>
        <w:rPr>
          <w:sz w:val="16"/>
          <w:szCs w:val="16"/>
        </w:rPr>
      </w:pPr>
    </w:p>
    <w:p w:rsidR="00AA04A3" w:rsidRDefault="00AA52C0" w:rsidP="00AA04A3">
      <w:pPr>
        <w:pStyle w:val="Nadpis2"/>
      </w:pPr>
      <w:bookmarkStart w:id="1" w:name="_Toc530739896"/>
      <w:r>
        <w:t>Hlavnými činnosťami Spoločnosti sú:</w:t>
      </w:r>
      <w:bookmarkEnd w:id="1"/>
    </w:p>
    <w:p w:rsidR="00AA04A3" w:rsidRDefault="00AA04A3">
      <w:pPr>
        <w:pStyle w:val="Zkladntext"/>
        <w:rPr>
          <w:sz w:val="16"/>
        </w:rPr>
      </w:pPr>
    </w:p>
    <w:p w:rsidR="00AA04A3" w:rsidRDefault="00AA52C0">
      <w:pPr>
        <w:pStyle w:val="Zkladntext"/>
      </w:pPr>
      <w:r>
        <w:t>– spracovanie prírodného medu,</w:t>
      </w:r>
    </w:p>
    <w:p w:rsidR="00AA04A3" w:rsidRDefault="00AA52C0">
      <w:pPr>
        <w:pStyle w:val="Zkladntext"/>
      </w:pPr>
      <w:r>
        <w:t>– výroba komunikačných zariadení, spotrebnej elektroniky, počítačov a kancelárskych strojov</w:t>
      </w:r>
    </w:p>
    <w:p w:rsidR="00AA04A3" w:rsidRDefault="00AA52C0">
      <w:pPr>
        <w:pStyle w:val="Zkladntext"/>
      </w:pPr>
      <w:r>
        <w:t>– vývoj, výroba zabezpečovacích systémov alebo  poplachových systémov a zariadení umožňujúcich sledovanie pohybu a konania osoby v chránenom objekte, na chránenom mieste alebo v ich okolí,</w:t>
      </w:r>
    </w:p>
    <w:p w:rsidR="00AA04A3" w:rsidRDefault="00AA52C0">
      <w:pPr>
        <w:pStyle w:val="Zkladntext"/>
      </w:pPr>
      <w:r>
        <w:t>– sprostredkovateľská činnosť v oblasti obchodu,</w:t>
      </w:r>
    </w:p>
    <w:p w:rsidR="00AA04A3" w:rsidRDefault="00AA52C0">
      <w:pPr>
        <w:pStyle w:val="Zkladntext"/>
      </w:pPr>
      <w:r>
        <w:t>– sprostredkovateľská činnosť v oblasti služieb,</w:t>
      </w:r>
    </w:p>
    <w:p w:rsidR="00AA04A3" w:rsidRDefault="00AA52C0">
      <w:pPr>
        <w:pStyle w:val="Zkladntext"/>
      </w:pPr>
      <w:r>
        <w:t>– sprostredkovateľská činnosť v oblasti výroby,</w:t>
      </w:r>
    </w:p>
    <w:p w:rsidR="00AA04A3" w:rsidRDefault="00AA52C0">
      <w:pPr>
        <w:pStyle w:val="Zkladntext"/>
      </w:pPr>
      <w:r>
        <w:t>– nákladná cestná doprava vykonávaná vozidlami s celkovou hmotnosťou do 3,5t vrátane prípojného vozidla,</w:t>
      </w:r>
    </w:p>
    <w:p w:rsidR="00AA04A3" w:rsidRDefault="00AA52C0">
      <w:pPr>
        <w:pStyle w:val="Zkladntext"/>
      </w:pPr>
      <w:r>
        <w:t>– poskytovanie služby vedenia cudzieho motorového vozidla,</w:t>
      </w:r>
    </w:p>
    <w:p w:rsidR="00AA04A3" w:rsidRDefault="00AA52C0">
      <w:pPr>
        <w:pStyle w:val="Zkladntext"/>
      </w:pPr>
      <w:r>
        <w:t>– poskytovanie obslužných služieb pri kultúrnych a iných spoločenských podujatiach,</w:t>
      </w:r>
    </w:p>
    <w:p w:rsidR="00AA04A3" w:rsidRDefault="00AA52C0">
      <w:pPr>
        <w:pStyle w:val="Zkladntext"/>
      </w:pPr>
      <w:r>
        <w:t>– počítačové služby,</w:t>
      </w:r>
    </w:p>
    <w:p w:rsidR="00AA04A3" w:rsidRDefault="00AA52C0">
      <w:pPr>
        <w:pStyle w:val="Zkladntext"/>
      </w:pPr>
      <w:r>
        <w:t>– služby súvisiace s počítačovým spracovaním údajov,</w:t>
      </w:r>
    </w:p>
    <w:p w:rsidR="00AA04A3" w:rsidRDefault="00AA52C0">
      <w:pPr>
        <w:pStyle w:val="Zkladntext"/>
      </w:pPr>
      <w:r>
        <w:t>– poskytovanie úverov alebo pôžičiek z peňažných zdrojov získaných výlučne bez verejnej výzvy a bez verejnej ponuky majetkových hodnôt,</w:t>
      </w:r>
    </w:p>
    <w:p w:rsidR="00AA04A3" w:rsidRDefault="00AA52C0">
      <w:pPr>
        <w:pStyle w:val="Zkladntext"/>
      </w:pPr>
      <w:r>
        <w:t>– sprostredkovanie poskytovania úverov a pôžičiek z peňažných zdrojov získaných výlučne bez verejnej výzvy a bez verejnej ponuky majetkových hodnôt,</w:t>
      </w:r>
    </w:p>
    <w:p w:rsidR="00AA04A3" w:rsidRDefault="00AA52C0">
      <w:pPr>
        <w:pStyle w:val="Zkladntext"/>
      </w:pPr>
      <w:r>
        <w:t>– prenájom nehnuteľnosti spojený s poskytovaním iných než základných služieb spojených s prenájmom,</w:t>
      </w:r>
    </w:p>
    <w:p w:rsidR="00AA04A3" w:rsidRDefault="00AA52C0">
      <w:pPr>
        <w:pStyle w:val="Zkladntext"/>
      </w:pPr>
      <w:r>
        <w:t>– prenájom hnuteľných vecí,</w:t>
      </w:r>
    </w:p>
    <w:p w:rsidR="00AA04A3" w:rsidRDefault="00AA52C0">
      <w:pPr>
        <w:pStyle w:val="Zkladntext"/>
      </w:pPr>
      <w:r>
        <w:t>– vykonávanie mimoškolskej vzdelávacej činnosti,</w:t>
      </w:r>
    </w:p>
    <w:p w:rsidR="00AA04A3" w:rsidRDefault="00AA52C0">
      <w:pPr>
        <w:pStyle w:val="Zkladntext"/>
      </w:pPr>
      <w:r>
        <w:t>– reklamné a marketingové služby,</w:t>
      </w:r>
    </w:p>
    <w:p w:rsidR="00AA04A3" w:rsidRDefault="00AA52C0">
      <w:pPr>
        <w:pStyle w:val="Zkladntext"/>
      </w:pPr>
      <w:r>
        <w:t>– fotografické služby,</w:t>
      </w:r>
    </w:p>
    <w:p w:rsidR="00AA04A3" w:rsidRDefault="00AA52C0">
      <w:pPr>
        <w:pStyle w:val="Zkladntext"/>
      </w:pPr>
      <w:r>
        <w:t>– organizovanie kultúrnych a iných spoločenských podujatí,</w:t>
      </w:r>
    </w:p>
    <w:p w:rsidR="00AA04A3" w:rsidRDefault="00AA52C0">
      <w:pPr>
        <w:pStyle w:val="Zkladntext"/>
      </w:pPr>
      <w:r>
        <w:t>– poskytovanie služieb v poľnohospodárstve a záhradníctve.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 xml:space="preserve">Počet zamestnancov </w:t>
      </w:r>
    </w:p>
    <w:p w:rsidR="00AA04A3" w:rsidRDefault="00AA04A3"/>
    <w:p w:rsidR="00AA04A3" w:rsidRDefault="00AA52C0">
      <w:pPr>
        <w:pStyle w:val="Zkladntext"/>
      </w:pPr>
      <w:r>
        <w:t>Spoločnosť nezamestnáva zamestnancov</w:t>
      </w:r>
    </w:p>
    <w:p w:rsidR="00AA04A3" w:rsidRDefault="00AA04A3">
      <w:pPr>
        <w:pStyle w:val="Zkladntext"/>
        <w:rPr>
          <w:sz w:val="20"/>
          <w:szCs w:val="6"/>
        </w:rPr>
      </w:pPr>
    </w:p>
    <w:p w:rsidR="00AA04A3" w:rsidRDefault="00AA04A3">
      <w:pPr>
        <w:pStyle w:val="Zkladntext"/>
        <w:rPr>
          <w:sz w:val="6"/>
          <w:szCs w:val="6"/>
        </w:rPr>
      </w:pPr>
    </w:p>
    <w:p w:rsidR="00AA04A3" w:rsidRDefault="00AA52C0" w:rsidP="00AA04A3">
      <w:pPr>
        <w:pStyle w:val="Nadpis2"/>
      </w:pPr>
      <w:r>
        <w:t>Údaje o neobmedzenom ručení</w:t>
      </w:r>
    </w:p>
    <w:p w:rsidR="00AA04A3" w:rsidRDefault="00AA04A3">
      <w:pPr>
        <w:ind w:left="450"/>
        <w:jc w:val="both"/>
        <w:rPr>
          <w:sz w:val="18"/>
          <w:szCs w:val="18"/>
        </w:rPr>
      </w:pPr>
    </w:p>
    <w:p w:rsidR="00AA04A3" w:rsidRDefault="00AA52C0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 w:rsidP="00AA04A3">
      <w:pPr>
        <w:pStyle w:val="Nadpis2"/>
      </w:pPr>
      <w:r>
        <w:t>Právny dôvod na zostavenie účtovnej závierky</w:t>
      </w:r>
    </w:p>
    <w:p w:rsidR="00AA04A3" w:rsidRDefault="00AA04A3">
      <w:pPr>
        <w:pStyle w:val="Zkladntext"/>
        <w:ind w:left="360"/>
      </w:pPr>
    </w:p>
    <w:p w:rsidR="00AA04A3" w:rsidRDefault="00AA52C0">
      <w:pPr>
        <w:pStyle w:val="Zkladntext"/>
      </w:pPr>
      <w:r>
        <w:t>Účtovná závierka</w:t>
      </w:r>
      <w:r w:rsidR="00141A55">
        <w:t xml:space="preserve"> Spoločnosti k 31. decembru 2016</w:t>
      </w:r>
      <w:r>
        <w:t xml:space="preserve"> je zostavená ako riadna účtovná závierka podľa § 17 ods. 6 zákona NR SR č. 431/2002 Z. z. o účtovníctve za úč</w:t>
      </w:r>
      <w:r w:rsidR="00141A55">
        <w:t>tovné obdobie od 1. januára 2016 do 31. decembra 2016</w:t>
      </w:r>
      <w:r>
        <w:t>.</w:t>
      </w:r>
    </w:p>
    <w:p w:rsidR="00AA04A3" w:rsidRDefault="00AA04A3">
      <w:pPr>
        <w:pStyle w:val="Zkladntext"/>
        <w:ind w:hanging="426"/>
        <w:rPr>
          <w:sz w:val="16"/>
          <w:szCs w:val="16"/>
        </w:rPr>
      </w:pPr>
    </w:p>
    <w:p w:rsidR="00AA04A3" w:rsidRDefault="00AA52C0" w:rsidP="00AA04A3">
      <w:pPr>
        <w:pStyle w:val="Nadpis2"/>
      </w:pPr>
      <w:r>
        <w:t>Dátum schválenia účtovnej závierky za predchádzajúce účtovné obdobie</w:t>
      </w:r>
    </w:p>
    <w:p w:rsidR="00AA04A3" w:rsidRDefault="00AA04A3">
      <w:pPr>
        <w:pStyle w:val="Zkladntext"/>
        <w:ind w:left="360"/>
      </w:pPr>
    </w:p>
    <w:p w:rsidR="00AA04A3" w:rsidRDefault="00AA52C0">
      <w:pPr>
        <w:pStyle w:val="Zkladntext"/>
      </w:pPr>
      <w:r>
        <w:t>Účtovná závierka</w:t>
      </w:r>
      <w:r w:rsidR="00141A55">
        <w:t xml:space="preserve"> Spoločnosti k 31. decembru 2015</w:t>
      </w:r>
      <w:r>
        <w:t>, za predchádzajúce účtovné obdobie, bola schválená va</w:t>
      </w:r>
      <w:r w:rsidR="00141A55">
        <w:t>lným zhromaždením Spoločnosti 14.03.2016</w:t>
      </w:r>
      <w:r>
        <w:t>.</w:t>
      </w:r>
    </w:p>
    <w:p w:rsidR="00AA04A3" w:rsidRDefault="00AA04A3">
      <w:pPr>
        <w:pStyle w:val="Zkladntext"/>
        <w:ind w:hanging="426"/>
        <w:rPr>
          <w:sz w:val="16"/>
          <w:szCs w:val="16"/>
        </w:rPr>
      </w:pPr>
    </w:p>
    <w:p w:rsidR="00AA04A3" w:rsidRDefault="00AA52C0" w:rsidP="00AA04A3">
      <w:pPr>
        <w:pStyle w:val="Nadpis1"/>
      </w:pPr>
      <w:r>
        <w:t>D.     Informácie o konsolidovanom celku</w:t>
      </w:r>
    </w:p>
    <w:p w:rsidR="00AA04A3" w:rsidRDefault="00AA04A3"/>
    <w:p w:rsidR="00AA04A3" w:rsidRDefault="00AA52C0">
      <w:pPr>
        <w:pStyle w:val="Zkladntext"/>
        <w:ind w:left="360"/>
      </w:pPr>
      <w:r>
        <w:t xml:space="preserve"> Spoločnosť nie je súčasťou konsolidovaného celku.</w:t>
      </w:r>
    </w:p>
    <w:p w:rsidR="00AA04A3" w:rsidRDefault="00AA04A3">
      <w:pPr>
        <w:pStyle w:val="Zkladntext"/>
        <w:ind w:hanging="426"/>
      </w:pPr>
    </w:p>
    <w:p w:rsidR="00AA04A3" w:rsidRDefault="00AA52C0" w:rsidP="00AA04A3">
      <w:pPr>
        <w:pStyle w:val="Nadpis1"/>
      </w:pPr>
      <w:bookmarkStart w:id="2" w:name="_Toc530739899"/>
      <w:r>
        <w:t xml:space="preserve">E.     Informácie o účtovných zásadách a účtovných metódach  </w:t>
      </w:r>
      <w:bookmarkEnd w:id="2"/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Východiská pre zostavenie účtovnej závierky</w:t>
      </w:r>
    </w:p>
    <w:p w:rsidR="00AA04A3" w:rsidRDefault="00AA52C0">
      <w:pPr>
        <w:pStyle w:val="Zkladntext"/>
        <w:ind w:left="450"/>
      </w:pPr>
      <w:r>
        <w:t>Účtovná závierka bola zostavená za predpokladu, že Spoločnosť bude nepretržite pokračovať vo svojej činnosti (going concern).</w:t>
      </w:r>
    </w:p>
    <w:p w:rsidR="00AA04A3" w:rsidRDefault="00AA04A3">
      <w:pPr>
        <w:pStyle w:val="Zkladntext"/>
        <w:ind w:left="450"/>
      </w:pPr>
    </w:p>
    <w:p w:rsidR="00AA04A3" w:rsidRDefault="00AA52C0">
      <w:pPr>
        <w:pStyle w:val="Zkladntext"/>
        <w:ind w:left="450"/>
      </w:pPr>
      <w:r>
        <w:t>Účtovné metódy a všeobecné účtovné zásady boli účtovnou jednotkou konzistentne aplikované.</w:t>
      </w:r>
    </w:p>
    <w:p w:rsidR="00AA04A3" w:rsidRDefault="00AA04A3">
      <w:pPr>
        <w:pStyle w:val="Zkladntext"/>
        <w:ind w:left="450"/>
      </w:pPr>
    </w:p>
    <w:p w:rsidR="00AA04A3" w:rsidRDefault="00AA52C0">
      <w:pPr>
        <w:pStyle w:val="Zkladntext"/>
        <w:ind w:left="450"/>
      </w:pPr>
      <w:r>
        <w:t>V účtovnom období 201</w:t>
      </w:r>
      <w:r w:rsidR="00141A55">
        <w:t>6</w:t>
      </w:r>
      <w:r>
        <w:t xml:space="preserve"> Spoločnosť nevykonala žiadne opravy významných chýb minulých účtovných období. </w:t>
      </w:r>
    </w:p>
    <w:p w:rsidR="00AA04A3" w:rsidRDefault="00AA04A3">
      <w:pPr>
        <w:pStyle w:val="Zkladntext"/>
        <w:ind w:left="0"/>
        <w:jc w:val="righ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Dlhodobý nehmotný majetok a dlhodobý hmotný majetok</w:t>
      </w:r>
    </w:p>
    <w:p w:rsidR="00AA04A3" w:rsidRDefault="00AA52C0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A04A3" w:rsidRDefault="00AA52C0">
      <w:pPr>
        <w:pStyle w:val="Zkladntext"/>
      </w:pPr>
      <w:r>
        <w:t xml:space="preserve"> </w:t>
      </w:r>
    </w:p>
    <w:p w:rsidR="00AA04A3" w:rsidRDefault="00AA52C0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A04A3" w:rsidRDefault="00AA04A3">
      <w:pPr>
        <w:pStyle w:val="Zkladntext"/>
        <w:rPr>
          <w:sz w:val="12"/>
          <w:szCs w:val="12"/>
        </w:rPr>
      </w:pPr>
    </w:p>
    <w:p w:rsidR="00AA04A3" w:rsidRDefault="00AA04A3">
      <w:pPr>
        <w:pStyle w:val="Zkladntext"/>
      </w:pPr>
      <w:r w:rsidRPr="00AA04A3">
        <w:object w:dxaOrig="10980" w:dyaOrig="23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ject 1" o:spid="_x0000_i1025" type="#_x0000_t75" style="width:443.25pt;height:85.5pt;visibility:visible" o:ole="">
            <v:imagedata r:id="rId7" o:title=""/>
          </v:shape>
          <o:OLEObject Type="Embed" ProgID="Excel.Sheet.12" ShapeID="Object 1" DrawAspect="Content" ObjectID="_1552490059" r:id="rId8"/>
        </w:object>
      </w:r>
    </w:p>
    <w:p w:rsidR="00AA04A3" w:rsidRDefault="00AA52C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A04A3" w:rsidRDefault="00AA04A3">
      <w:pPr>
        <w:pStyle w:val="Zkladntext"/>
        <w:rPr>
          <w:sz w:val="12"/>
          <w:szCs w:val="12"/>
        </w:rPr>
      </w:pPr>
    </w:p>
    <w:p w:rsidR="00AA04A3" w:rsidRDefault="00AA04A3">
      <w:pPr>
        <w:pStyle w:val="Zkladntext"/>
      </w:pPr>
      <w:r w:rsidRPr="00AA04A3">
        <w:object w:dxaOrig="10920" w:dyaOrig="2624">
          <v:shape id="Object 2" o:spid="_x0000_i1026" type="#_x0000_t75" style="width:441pt;height:95.25pt;visibility:visible" o:ole="">
            <v:imagedata r:id="rId9" o:title=""/>
          </v:shape>
          <o:OLEObject Type="Embed" ProgID="Excel.Sheet.12" ShapeID="Object 2" DrawAspect="Content" ObjectID="_1552490060" r:id="rId10"/>
        </w:object>
      </w:r>
    </w:p>
    <w:p w:rsidR="00AA04A3" w:rsidRDefault="00AA52C0">
      <w:pPr>
        <w:pStyle w:val="Pismenka"/>
        <w:tabs>
          <w:tab w:val="clear" w:pos="492"/>
        </w:tabs>
        <w:ind w:left="426"/>
      </w:pPr>
      <w:r>
        <w:t>Cenné papiere a podiely</w:t>
      </w:r>
    </w:p>
    <w:p w:rsidR="00AA04A3" w:rsidRDefault="00AA52C0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Cenné papiere na obchodovanie sa pri ich obstaraní oceňujú reálnou hodnotou.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 xml:space="preserve">Zásoby </w:t>
      </w:r>
    </w:p>
    <w:p w:rsidR="00AA04A3" w:rsidRDefault="00AA52C0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Zníženie hodnoty zásob sa zohľadňuje vytvorením opravnej položky.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Zákazková výroba</w:t>
      </w:r>
    </w:p>
    <w:p w:rsidR="00AA04A3" w:rsidRDefault="00AA52C0">
      <w:pPr>
        <w:pStyle w:val="Zkladntext"/>
      </w:pPr>
      <w:r>
        <w:t>Zákazková výroba sa vykazuje použitím metódy stupňa dokončenia zákazky (angl. percentage-of-completion-method).</w:t>
      </w:r>
    </w:p>
    <w:p w:rsidR="00AA04A3" w:rsidRDefault="00AA04A3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Zákazková výstavba nehnuteľnosti</w:t>
      </w:r>
    </w:p>
    <w:p w:rsidR="00AA04A3" w:rsidRDefault="00AA04A3">
      <w:pPr>
        <w:pStyle w:val="Zkladntext"/>
      </w:pPr>
    </w:p>
    <w:p w:rsidR="00AA04A3" w:rsidRDefault="00AA52C0">
      <w:pPr>
        <w:pStyle w:val="Zkladntext"/>
        <w:rPr>
          <w:b/>
          <w:i/>
        </w:rPr>
      </w:pPr>
      <w:r>
        <w:rPr>
          <w:b/>
          <w:i/>
        </w:rPr>
        <w:t>Zákazková výstavba nehnuteľnosti – priebežný transfer</w:t>
      </w:r>
    </w:p>
    <w:p w:rsidR="00AA04A3" w:rsidRDefault="00AA52C0">
      <w:pPr>
        <w:pStyle w:val="Zkladntext"/>
      </w:pPr>
      <w:r>
        <w:t xml:space="preserve">Zákazková výstavba nehnuteľnosti určenej na predaj sa vykazuje podľa metódy stupňa dokončenia.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  <w:rPr>
          <w:b/>
          <w:i/>
        </w:rPr>
      </w:pPr>
      <w:r>
        <w:rPr>
          <w:b/>
          <w:i/>
        </w:rPr>
        <w:t>Zákazková výstavba nehnuteľnosti – ostatná (nie priebežný transfer)</w:t>
      </w:r>
    </w:p>
    <w:p w:rsidR="00AA04A3" w:rsidRDefault="00AA52C0">
      <w:pPr>
        <w:pStyle w:val="Zkladntext"/>
      </w:pPr>
      <w:r>
        <w:t>Zákazková výstavba nehnuteľnosti určenej na predaj – ostatná (nie priebežný transfer) sa vykazuje metódou tzv. nulového zisku, t. j. zisk sa vykáže až pri predaji nehnuteľnosti.</w:t>
      </w:r>
    </w:p>
    <w:p w:rsidR="00AA04A3" w:rsidRDefault="00AA04A3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Pohľadávky</w:t>
      </w:r>
    </w:p>
    <w:p w:rsidR="00AA04A3" w:rsidRDefault="00AA52C0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Peňažné prostriedky a ceniny</w:t>
      </w:r>
    </w:p>
    <w:p w:rsidR="00AA04A3" w:rsidRDefault="00AA52C0">
      <w:pPr>
        <w:pStyle w:val="Zkladntext"/>
      </w:pPr>
      <w:r>
        <w:t>Peňažné prostriedky a ceniny sa oceňujú ich menovitou hodnotou. Zníženie ich hodnoty sa vyjadruje opravnou položkou.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Náklady budúcich období a príjmy budúcich období</w:t>
      </w:r>
    </w:p>
    <w:p w:rsidR="00AA04A3" w:rsidRDefault="00AA52C0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Rezervy</w:t>
      </w:r>
    </w:p>
    <w:p w:rsidR="00AA04A3" w:rsidRDefault="00AA52C0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A04A3" w:rsidRDefault="00AA04A3">
      <w:pPr>
        <w:pStyle w:val="Pismenka"/>
        <w:numPr>
          <w:ilvl w:val="0"/>
          <w:numId w:val="0"/>
        </w:numPr>
        <w:tabs>
          <w:tab w:val="clear" w:pos="492"/>
        </w:tabs>
        <w:ind w:left="360" w:hanging="360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Záväzky</w:t>
      </w:r>
    </w:p>
    <w:p w:rsidR="00AA04A3" w:rsidRDefault="00AA52C0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A04A3" w:rsidRDefault="00AA04A3">
      <w:pPr>
        <w:pStyle w:val="Pismenka"/>
        <w:numPr>
          <w:ilvl w:val="0"/>
          <w:numId w:val="0"/>
        </w:numPr>
        <w:tabs>
          <w:tab w:val="clear" w:pos="492"/>
        </w:tabs>
        <w:ind w:left="360" w:hanging="360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Odložené dane</w:t>
      </w:r>
    </w:p>
    <w:p w:rsidR="00AA04A3" w:rsidRDefault="00AA52C0">
      <w:pPr>
        <w:pStyle w:val="Zkladntext"/>
      </w:pPr>
      <w:r>
        <w:t xml:space="preserve">Odložené dane (odložená daňová pohľadávka a odložený daňový záväzok) sa vzťahujú na: </w:t>
      </w:r>
    </w:p>
    <w:p w:rsidR="00AA04A3" w:rsidRDefault="00AA52C0">
      <w:pPr>
        <w:pStyle w:val="Zkladn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AA04A3" w:rsidRDefault="00AA52C0">
      <w:pPr>
        <w:pStyle w:val="Zkladn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AA04A3" w:rsidRDefault="00AA52C0">
      <w:pPr>
        <w:pStyle w:val="Zkladn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AA04A3" w:rsidRDefault="00AA04A3">
      <w:pPr>
        <w:pStyle w:val="Zkladntext"/>
        <w:ind w:left="1192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Výdavky budúcich období a výnosy budúcich období</w:t>
      </w:r>
    </w:p>
    <w:p w:rsidR="00AA04A3" w:rsidRDefault="00AA52C0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Dotácie zo štátneho rozpočtu</w:t>
      </w:r>
    </w:p>
    <w:p w:rsidR="00AA04A3" w:rsidRDefault="00AA52C0">
      <w:pPr>
        <w:ind w:left="45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A04A3" w:rsidRDefault="00AA04A3">
      <w:pPr>
        <w:ind w:left="450"/>
        <w:jc w:val="both"/>
        <w:rPr>
          <w:sz w:val="18"/>
        </w:rPr>
      </w:pPr>
    </w:p>
    <w:p w:rsidR="00AA04A3" w:rsidRDefault="00AA52C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AA04A3" w:rsidRDefault="00AA04A3">
      <w:pPr>
        <w:ind w:left="450"/>
        <w:jc w:val="both"/>
        <w:rPr>
          <w:sz w:val="18"/>
        </w:rPr>
      </w:pPr>
    </w:p>
    <w:p w:rsidR="00AA04A3" w:rsidRDefault="00AA52C0">
      <w:pPr>
        <w:ind w:left="450"/>
        <w:jc w:val="both"/>
      </w:pPr>
      <w:r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>
        <w:rPr>
          <w:sz w:val="18"/>
        </w:rPr>
        <w:br/>
        <w:t xml:space="preserve">z tohto dlhodobého majetku. </w:t>
      </w:r>
      <w:r>
        <w:rPr>
          <w:sz w:val="16"/>
          <w:szCs w:val="16"/>
        </w:rPr>
        <w:tab/>
      </w:r>
    </w:p>
    <w:p w:rsidR="00AA04A3" w:rsidRDefault="00AA04A3">
      <w:pPr>
        <w:ind w:left="450"/>
        <w:jc w:val="both"/>
        <w:rPr>
          <w:sz w:val="16"/>
          <w:szCs w:val="16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Prenájom (lízing)</w:t>
      </w:r>
    </w:p>
    <w:p w:rsidR="00AA04A3" w:rsidRDefault="00AA52C0">
      <w:pPr>
        <w:pStyle w:val="Zkladntext"/>
      </w:pPr>
      <w:r>
        <w:t>Majetok prenajatý na základe operatívneho prenájmu vykazuje ako svoj majetok jeho vlastník, nie nájomca.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A04A3" w:rsidRDefault="00AA04A3">
      <w:pPr>
        <w:pStyle w:val="Zkladntext"/>
        <w:rPr>
          <w:szCs w:val="18"/>
        </w:rPr>
      </w:pPr>
    </w:p>
    <w:p w:rsidR="00AA04A3" w:rsidRDefault="00AA52C0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Deriváty</w:t>
      </w:r>
    </w:p>
    <w:p w:rsidR="00AA04A3" w:rsidRDefault="00AA52C0">
      <w:pPr>
        <w:pStyle w:val="Zkladntext"/>
      </w:pPr>
      <w:r>
        <w:t>Deriváty sa oceňujú reálnou hodnotou.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Majetok a záväzky zabezpečené derivátmi</w:t>
      </w:r>
    </w:p>
    <w:p w:rsidR="00AA04A3" w:rsidRDefault="00AA52C0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Cudzia mena</w:t>
      </w:r>
    </w:p>
    <w:p w:rsidR="00AA04A3" w:rsidRDefault="00AA52C0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Na ocenenie prírastku cudzej meny nakúpenej za euro sa použije kurz, za ktorý bola táto cudzia mena nakúpená.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Výnosy</w:t>
      </w:r>
    </w:p>
    <w:p w:rsidR="00AA04A3" w:rsidRDefault="00AA52C0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A04A3" w:rsidRDefault="00AA04A3" w:rsidP="00AA04A3">
      <w:pPr>
        <w:pStyle w:val="Nadpis1"/>
      </w:pPr>
      <w:bookmarkStart w:id="3" w:name="_Toc530739900"/>
    </w:p>
    <w:p w:rsidR="00AA04A3" w:rsidRDefault="00AA52C0">
      <w:pPr>
        <w:pStyle w:val="Nadpis1"/>
        <w:pageBreakBefore/>
        <w:numPr>
          <w:ilvl w:val="0"/>
          <w:numId w:val="0"/>
        </w:numPr>
        <w:spacing w:before="120" w:after="60"/>
        <w:ind w:left="502" w:hanging="360"/>
      </w:pPr>
      <w:r>
        <w:lastRenderedPageBreak/>
        <w:t>F.      informácie o údajoch na strane aktív súvahy</w:t>
      </w:r>
      <w:bookmarkEnd w:id="3"/>
    </w:p>
    <w:p w:rsidR="00AA04A3" w:rsidRDefault="00AA04A3">
      <w:pPr>
        <w:pStyle w:val="Hlavika"/>
        <w:jc w:val="both"/>
        <w:rPr>
          <w:sz w:val="16"/>
          <w:szCs w:val="16"/>
        </w:rPr>
      </w:pPr>
    </w:p>
    <w:p w:rsidR="00AA04A3" w:rsidRDefault="00AA52C0" w:rsidP="00AA04A3">
      <w:pPr>
        <w:pStyle w:val="Nadpis2"/>
        <w:numPr>
          <w:ilvl w:val="1"/>
          <w:numId w:val="4"/>
        </w:numPr>
        <w:tabs>
          <w:tab w:val="left" w:pos="66"/>
        </w:tabs>
      </w:pPr>
      <w:bookmarkStart w:id="4" w:name="_Toc530739901"/>
      <w:r>
        <w:t>Dlhodobý nehmotný majetok a dlhodobý hmotný majetok</w:t>
      </w:r>
      <w:bookmarkEnd w:id="4"/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dlhodobý nehmotný majetok.</w:t>
      </w:r>
    </w:p>
    <w:p w:rsidR="00AA04A3" w:rsidRDefault="00AA04A3">
      <w:pPr>
        <w:pStyle w:val="Zkladntext"/>
      </w:pPr>
    </w:p>
    <w:p w:rsidR="00AA04A3" w:rsidRDefault="00AA52C0">
      <w:pPr>
        <w:spacing w:after="200" w:line="276" w:lineRule="auto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Prehľad o pohybe dlhodobého hmotného majetku od 1. januára 2016 do 31. decembra 2016 je uvedený v tabuľkách za textovou časťou bodu F ods.1. </w:t>
      </w:r>
    </w:p>
    <w:p w:rsidR="00AA04A3" w:rsidRDefault="00AA52C0">
      <w:pPr>
        <w:pStyle w:val="Zkladntext"/>
      </w:pPr>
      <w:r>
        <w:t>Spoločnosť v bežnom účtovnom období, ani v bezprostredne predchádzajúcom účtovnom období nevynaložila náklady na výskum a vývoj.</w:t>
      </w:r>
    </w:p>
    <w:p w:rsidR="00AA04A3" w:rsidRDefault="00AA04A3" w:rsidP="00AA04A3">
      <w:pPr>
        <w:pStyle w:val="Nadpis2"/>
      </w:pPr>
      <w:bookmarkStart w:id="5" w:name="_Toc530739904"/>
    </w:p>
    <w:bookmarkStart w:id="6" w:name="_MON_1552478611"/>
    <w:bookmarkEnd w:id="6"/>
    <w:p w:rsidR="00AA04A3" w:rsidRDefault="00AA52C0">
      <w:r>
        <w:object w:dxaOrig="8745" w:dyaOrig="12900">
          <v:shape id="_x0000_i1027" type="#_x0000_t75" style="width:489pt;height:652.5pt" o:ole="">
            <v:imagedata r:id="rId11" o:title=""/>
          </v:shape>
          <o:OLEObject Type="Embed" ProgID="Excel.Sheet.12" ShapeID="_x0000_i1027" DrawAspect="Content" ObjectID="_1552490061" r:id="rId12"/>
        </w:object>
      </w:r>
    </w:p>
    <w:p w:rsidR="00AA04A3" w:rsidRDefault="00AA04A3"/>
    <w:p w:rsidR="00C12ED1" w:rsidRDefault="00C12ED1"/>
    <w:p w:rsidR="00C12ED1" w:rsidRDefault="00C12ED1"/>
    <w:p w:rsidR="00AA04A3" w:rsidRDefault="00AA52C0" w:rsidP="00AA04A3">
      <w:pPr>
        <w:pStyle w:val="Nadpis2"/>
      </w:pPr>
      <w:r>
        <w:lastRenderedPageBreak/>
        <w:t>Dlhodobý finančný majetok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dlhodobý finančný majetok.</w:t>
      </w:r>
    </w:p>
    <w:p w:rsidR="00AA04A3" w:rsidRDefault="00AA04A3">
      <w:bookmarkStart w:id="7" w:name="_Toc530739903"/>
    </w:p>
    <w:p w:rsidR="00AA04A3" w:rsidRDefault="00AA52C0" w:rsidP="00AA04A3">
      <w:pPr>
        <w:pStyle w:val="Nadpis2"/>
      </w:pPr>
      <w:r>
        <w:t>3.   Zásoby</w:t>
      </w:r>
      <w:bookmarkEnd w:id="7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zastarané a nízkoobrátkové zásoby, ku ktorým by tvorila opravné položky.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5"/>
        </w:numPr>
      </w:pPr>
      <w:r>
        <w:t>Údaje o zákazkovej výrobe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 zákazkovej výrobe.</w:t>
      </w:r>
    </w:p>
    <w:p w:rsidR="00AA04A3" w:rsidRDefault="00AA04A3" w:rsidP="00AA04A3">
      <w:pPr>
        <w:pStyle w:val="Nadpis2"/>
      </w:pPr>
    </w:p>
    <w:p w:rsidR="00AA04A3" w:rsidRDefault="00AA52C0" w:rsidP="00AA04A3">
      <w:pPr>
        <w:pStyle w:val="Nadpis2"/>
        <w:numPr>
          <w:ilvl w:val="1"/>
          <w:numId w:val="6"/>
        </w:numPr>
      </w:pPr>
      <w:r>
        <w:t>Údaje o zákazkovej výstavbe nehnuteľnosti na predaj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 zákazkovej výstavbe nehnuteľnosti na predaj.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Pohľadávky</w:t>
      </w:r>
      <w:bookmarkEnd w:id="5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pohľadávky po lehote splatnosti viac ako 360 dní, preto netvorila k pohľadávkam opravné položky.</w:t>
      </w:r>
    </w:p>
    <w:p w:rsidR="00AA04A3" w:rsidRDefault="00AA04A3">
      <w:pPr>
        <w:pStyle w:val="Zkladntext"/>
        <w:rPr>
          <w:sz w:val="12"/>
          <w:szCs w:val="12"/>
        </w:rPr>
      </w:pP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pohľadávky zabezpečené záložným právom alebo inou formou zabezpečenia.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Veková štruktúra pohľadávok za bežné účtovné obdobie je uvedená v nasledujúcom prehľade:</w:t>
      </w:r>
    </w:p>
    <w:p w:rsidR="00AA04A3" w:rsidRDefault="00AA04A3">
      <w:pPr>
        <w:pStyle w:val="Zkladntext"/>
      </w:pPr>
    </w:p>
    <w:bookmarkStart w:id="8" w:name="_MON_1552478728"/>
    <w:bookmarkEnd w:id="8"/>
    <w:p w:rsidR="00AA04A3" w:rsidRDefault="00C12ED1">
      <w:pPr>
        <w:pStyle w:val="Zkladntext"/>
        <w:ind w:left="0"/>
      </w:pPr>
      <w:r w:rsidRPr="00AA04A3">
        <w:object w:dxaOrig="8340" w:dyaOrig="6780">
          <v:shape id="_x0000_i1028" type="#_x0000_t75" style="width:471pt;height:343.5pt" o:ole="">
            <v:imagedata r:id="rId13" o:title=""/>
          </v:shape>
          <o:OLEObject Type="Embed" ProgID="Excel.Sheet.12" ShapeID="_x0000_i1028" DrawAspect="Content" ObjectID="_1552490062" r:id="rId14"/>
        </w:object>
      </w: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  <w:ind w:left="0"/>
      </w:pPr>
    </w:p>
    <w:p w:rsidR="00AA04A3" w:rsidRDefault="00AA04A3">
      <w:pPr>
        <w:pStyle w:val="Zkladntext"/>
        <w:ind w:left="0"/>
      </w:pPr>
    </w:p>
    <w:p w:rsidR="00AA04A3" w:rsidRDefault="00AA04A3">
      <w:pPr>
        <w:pStyle w:val="Zkladntext"/>
        <w:ind w:left="0"/>
      </w:pPr>
    </w:p>
    <w:p w:rsidR="00AA04A3" w:rsidRDefault="00AA04A3">
      <w:pPr>
        <w:pStyle w:val="Zkladntext"/>
        <w:ind w:left="0"/>
      </w:pPr>
    </w:p>
    <w:p w:rsidR="00AA04A3" w:rsidRDefault="00AA52C0">
      <w:pPr>
        <w:pStyle w:val="Zkladntext"/>
      </w:pPr>
      <w:r>
        <w:t>Veková štruktúra pohľadávok za predchádzajúce účtovné obdobie je uvedená v nasledujúcom prehľade:</w:t>
      </w:r>
    </w:p>
    <w:p w:rsidR="00AA04A3" w:rsidRDefault="00AA04A3">
      <w:pPr>
        <w:pStyle w:val="Zkladntext"/>
        <w:rPr>
          <w:sz w:val="12"/>
          <w:szCs w:val="12"/>
        </w:rPr>
      </w:pPr>
    </w:p>
    <w:bookmarkStart w:id="9" w:name="_MON_1552478784"/>
    <w:bookmarkEnd w:id="9"/>
    <w:p w:rsidR="00AA04A3" w:rsidRDefault="00AA52C0">
      <w:pPr>
        <w:pStyle w:val="Zkladntext"/>
        <w:ind w:left="0"/>
      </w:pPr>
      <w:r w:rsidRPr="00AA04A3">
        <w:object w:dxaOrig="8340" w:dyaOrig="6780">
          <v:shape id="_x0000_i1029" type="#_x0000_t75" style="width:471pt;height:343.5pt" o:ole="">
            <v:imagedata r:id="rId15" o:title=""/>
          </v:shape>
          <o:OLEObject Type="Embed" ProgID="Excel.Sheet.12" ShapeID="_x0000_i1029" DrawAspect="Content" ObjectID="_1552490063" r:id="rId16"/>
        </w:object>
      </w: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10" w:name="_Toc530739905"/>
      <w:r>
        <w:t>Finančné účty</w:t>
      </w:r>
      <w:bookmarkEnd w:id="10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Ako finančné účty sú vykázané peniaze v pokladnici, účty v bankách. Účtami v bankách môže Spoločnosť voľne disponovať.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Prehľad jednotlivých položiek finančných účtov:</w:t>
      </w:r>
    </w:p>
    <w:p w:rsidR="00AA04A3" w:rsidRDefault="00AA04A3">
      <w:pPr>
        <w:pStyle w:val="Zkladntext"/>
        <w:rPr>
          <w:sz w:val="6"/>
          <w:szCs w:val="6"/>
        </w:rPr>
      </w:pPr>
    </w:p>
    <w:bookmarkStart w:id="11" w:name="_MON_1552479004"/>
    <w:bookmarkEnd w:id="11"/>
    <w:p w:rsidR="00AA04A3" w:rsidRDefault="00AA52C0">
      <w:pPr>
        <w:pStyle w:val="Zkladntext"/>
        <w:ind w:left="0"/>
      </w:pPr>
      <w:r w:rsidRPr="00AA04A3">
        <w:object w:dxaOrig="8205" w:dyaOrig="2280">
          <v:shape id="_x0000_i1030" type="#_x0000_t75" style="width:482.25pt;height:115.5pt" o:ole="">
            <v:imagedata r:id="rId17" o:title=""/>
          </v:shape>
          <o:OLEObject Type="Embed" ProgID="Excel.Sheet.12" ShapeID="_x0000_i1030" DrawAspect="Content" ObjectID="_1552490064" r:id="rId18"/>
        </w:object>
      </w:r>
    </w:p>
    <w:p w:rsidR="00AA04A3" w:rsidRDefault="00AA04A3" w:rsidP="00C12ED1">
      <w:pPr>
        <w:pStyle w:val="Nadpis2"/>
        <w:numPr>
          <w:ilvl w:val="0"/>
          <w:numId w:val="0"/>
        </w:numPr>
        <w:ind w:left="360"/>
      </w:pPr>
    </w:p>
    <w:p w:rsidR="00AA04A3" w:rsidRDefault="00AA52C0" w:rsidP="00AA04A3">
      <w:pPr>
        <w:pStyle w:val="Nadpis2"/>
      </w:pPr>
      <w:r>
        <w:t>Krátkodobý finančný majetok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krátkodobý finančný majetok.</w:t>
      </w:r>
    </w:p>
    <w:p w:rsidR="00AA04A3" w:rsidRDefault="00AA04A3">
      <w:pPr>
        <w:pStyle w:val="Zkladntext"/>
        <w:rPr>
          <w:sz w:val="6"/>
          <w:szCs w:val="6"/>
        </w:rPr>
      </w:pPr>
    </w:p>
    <w:p w:rsidR="00AA04A3" w:rsidRDefault="00AA04A3" w:rsidP="00C12ED1">
      <w:pPr>
        <w:pStyle w:val="Nadpis2"/>
        <w:numPr>
          <w:ilvl w:val="0"/>
          <w:numId w:val="0"/>
        </w:numPr>
        <w:ind w:left="360"/>
      </w:pPr>
    </w:p>
    <w:p w:rsidR="00AA04A3" w:rsidRDefault="00AA52C0" w:rsidP="00AA04A3">
      <w:pPr>
        <w:pStyle w:val="Nadpis2"/>
      </w:pPr>
      <w:r>
        <w:t>Vlastné akcie</w:t>
      </w:r>
    </w:p>
    <w:p w:rsidR="00AA04A3" w:rsidRDefault="00AA04A3">
      <w:pPr>
        <w:rPr>
          <w:sz w:val="18"/>
          <w:szCs w:val="18"/>
        </w:rPr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12" w:name="_Toc530739906"/>
      <w:r>
        <w:rPr>
          <w:szCs w:val="18"/>
        </w:rPr>
        <w:t>Č</w:t>
      </w:r>
      <w:r>
        <w:t>asové rozlíšenie</w:t>
      </w:r>
      <w:bookmarkEnd w:id="12"/>
      <w:r>
        <w:t xml:space="preserve"> na strane aktív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účtoch aktívneho časového rozlíšenia.</w:t>
      </w:r>
    </w:p>
    <w:p w:rsidR="00AA04A3" w:rsidRDefault="00AA04A3">
      <w:pPr>
        <w:pStyle w:val="Zkladntext"/>
        <w:rPr>
          <w:sz w:val="6"/>
          <w:szCs w:val="6"/>
        </w:rPr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G.    Informácie o údajoch na strane pasív súvahy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7"/>
        </w:numPr>
      </w:pPr>
      <w:bookmarkStart w:id="13" w:name="_Toc530739908"/>
      <w:r>
        <w:t>Vlastné imanie</w:t>
      </w:r>
    </w:p>
    <w:p w:rsidR="00AA04A3" w:rsidRDefault="00AA04A3"/>
    <w:p w:rsidR="00AA04A3" w:rsidRDefault="00AA52C0">
      <w:pPr>
        <w:pStyle w:val="Zkladntext"/>
      </w:pPr>
      <w:r>
        <w:t>Informácie o vlastnom imaní sú uvedené v časti P.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8"/>
        </w:numPr>
      </w:pPr>
      <w:bookmarkStart w:id="14" w:name="_Toc530739909"/>
      <w:bookmarkEnd w:id="13"/>
      <w:r>
        <w:t>Rezervy</w:t>
      </w:r>
    </w:p>
    <w:p w:rsidR="00AA04A3" w:rsidRDefault="00AA04A3">
      <w:pPr>
        <w:pStyle w:val="Zkladntext"/>
        <w:rPr>
          <w:b/>
        </w:rPr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účtoch rezerv.</w:t>
      </w:r>
    </w:p>
    <w:p w:rsidR="00AA04A3" w:rsidRDefault="00AA04A3" w:rsidP="00C12ED1">
      <w:pPr>
        <w:pStyle w:val="Nadpis2"/>
        <w:numPr>
          <w:ilvl w:val="0"/>
          <w:numId w:val="0"/>
        </w:numPr>
        <w:ind w:left="360"/>
      </w:pPr>
    </w:p>
    <w:p w:rsidR="00AA04A3" w:rsidRDefault="00AA52C0" w:rsidP="00AA04A3">
      <w:pPr>
        <w:pStyle w:val="Nadpis2"/>
      </w:pPr>
      <w:bookmarkStart w:id="15" w:name="_Toc530739911"/>
      <w:bookmarkEnd w:id="14"/>
      <w:r>
        <w:t>Záväzky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Štruktúra záväzkov (okrem bankových úverov) podľa zostatkovej doby splatnosti je uvedená v nasledujúcom prehľade:</w:t>
      </w:r>
    </w:p>
    <w:p w:rsidR="00AA04A3" w:rsidRDefault="00AA04A3">
      <w:pPr>
        <w:pStyle w:val="Zkladntext"/>
      </w:pPr>
    </w:p>
    <w:bookmarkStart w:id="16" w:name="_MON_1552481287"/>
    <w:bookmarkEnd w:id="16"/>
    <w:p w:rsidR="00AA04A3" w:rsidRDefault="00C12ED1">
      <w:pPr>
        <w:pStyle w:val="Zkladntext"/>
        <w:ind w:left="0"/>
      </w:pPr>
      <w:r w:rsidRPr="00AA04A3">
        <w:object w:dxaOrig="8505" w:dyaOrig="3210">
          <v:shape id="_x0000_i1031" type="#_x0000_t75" style="width:480.75pt;height:155.25pt" o:ole="">
            <v:imagedata r:id="rId19" o:title=""/>
          </v:shape>
          <o:OLEObject Type="Embed" ProgID="Excel.Sheet.12" ShapeID="_x0000_i1031" DrawAspect="Content" ObjectID="_1552490065" r:id="rId20"/>
        </w:objec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nemala záväzky kryté záložným právom alebo inou formou zabezpečenia.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má záväzok z úveru na osobný automobil. Výška budúcich platieb rozdelená na istinu a finančný náklad podľa doby splatnosti je uvedená v nasledujúcom prehľade:</w:t>
      </w:r>
    </w:p>
    <w:p w:rsidR="00AA04A3" w:rsidRDefault="00AA04A3">
      <w:pPr>
        <w:pStyle w:val="Zkladntext"/>
      </w:pPr>
    </w:p>
    <w:bookmarkStart w:id="17" w:name="_MON_1552481438"/>
    <w:bookmarkEnd w:id="17"/>
    <w:p w:rsidR="00AA04A3" w:rsidRDefault="00E43588">
      <w:pPr>
        <w:pStyle w:val="Zkladntext"/>
        <w:ind w:left="0"/>
      </w:pPr>
      <w:r w:rsidRPr="00AA04A3">
        <w:object w:dxaOrig="8250" w:dyaOrig="2955">
          <v:shape id="_x0000_i1032" type="#_x0000_t75" style="width:483.75pt;height:150pt" o:ole="">
            <v:imagedata r:id="rId21" o:title=""/>
          </v:shape>
          <o:OLEObject Type="Embed" ProgID="Excel.Sheet.12" ShapeID="_x0000_i1032" DrawAspect="Content" ObjectID="_1552490066" r:id="rId22"/>
        </w:object>
      </w:r>
    </w:p>
    <w:p w:rsidR="00AA04A3" w:rsidRDefault="00AA04A3" w:rsidP="009E75B0">
      <w:pPr>
        <w:pStyle w:val="Nadpis2"/>
        <w:numPr>
          <w:ilvl w:val="0"/>
          <w:numId w:val="0"/>
        </w:numPr>
        <w:ind w:left="360"/>
      </w:pPr>
    </w:p>
    <w:p w:rsidR="009E75B0" w:rsidRDefault="009E75B0" w:rsidP="009E75B0"/>
    <w:p w:rsidR="009E75B0" w:rsidRPr="009E75B0" w:rsidRDefault="009E75B0" w:rsidP="009E75B0"/>
    <w:p w:rsidR="00AA04A3" w:rsidRDefault="00AA04A3">
      <w:pPr>
        <w:pStyle w:val="Zkladntext"/>
        <w:ind w:left="0"/>
      </w:pPr>
    </w:p>
    <w:p w:rsidR="00AA04A3" w:rsidRDefault="00AA52C0" w:rsidP="00AA04A3">
      <w:pPr>
        <w:pStyle w:val="Nadpis2"/>
      </w:pPr>
      <w:bookmarkStart w:id="18" w:name="_Toc530739910"/>
      <w:r>
        <w:lastRenderedPageBreak/>
        <w:t>Odložený daňový záväzok</w:t>
      </w:r>
      <w:bookmarkEnd w:id="18"/>
      <w:r>
        <w:t xml:space="preserve"> /pohľadávka</w:t>
      </w:r>
    </w:p>
    <w:p w:rsidR="00AA04A3" w:rsidRDefault="00AA04A3"/>
    <w:p w:rsidR="00AA04A3" w:rsidRDefault="00AA52C0">
      <w:pPr>
        <w:pStyle w:val="Zkladntext"/>
      </w:pPr>
      <w:r>
        <w:t>Spoločnosť v bežnom účtovnom období, ani v bezprostredne predchádzajúcom účtovnom období nemala povinnosť overenia účtovnej závierky audítorom, neúčtuje o odloženej dani.</w:t>
      </w:r>
    </w:p>
    <w:p w:rsidR="00AA04A3" w:rsidRDefault="00AA04A3" w:rsidP="009E75B0">
      <w:pPr>
        <w:pStyle w:val="Nadpis2"/>
        <w:numPr>
          <w:ilvl w:val="0"/>
          <w:numId w:val="0"/>
        </w:numPr>
        <w:ind w:left="360"/>
      </w:pPr>
    </w:p>
    <w:p w:rsidR="00AA04A3" w:rsidRDefault="00AA52C0" w:rsidP="00AA04A3">
      <w:pPr>
        <w:pStyle w:val="Nadpis2"/>
      </w:pPr>
      <w:r>
        <w:t>Sociálny fond</w:t>
      </w:r>
      <w:bookmarkEnd w:id="15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účtoch sociálneho fondu.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19" w:name="_Toc530739912"/>
      <w:r>
        <w:t>Vydané dlhopisy</w:t>
      </w:r>
    </w:p>
    <w:p w:rsidR="00AA04A3" w:rsidRDefault="00AA04A3">
      <w:pPr>
        <w:rPr>
          <w:szCs w:val="18"/>
        </w:rPr>
      </w:pPr>
    </w:p>
    <w:p w:rsidR="00AA04A3" w:rsidRDefault="00AA52C0" w:rsidP="00AA04A3">
      <w:pPr>
        <w:pStyle w:val="Nadpis2"/>
      </w:pPr>
      <w:r>
        <w:t>Bankové úvery</w:t>
      </w:r>
      <w:bookmarkEnd w:id="19"/>
      <w:r>
        <w:t>, pôžičky a krátkodobé finančné výpomoci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bookmarkStart w:id="20" w:name="_Toc530739913"/>
      <w:r>
        <w:t>Spoločnosť v bežnom účtovnom období, ani v bezprostredne predchádzajúcom účtovnom období nečerpala bankové úvery, pôžičky, finančné výpomoci.</w:t>
      </w:r>
    </w:p>
    <w:p w:rsidR="00AA04A3" w:rsidRDefault="00AA04A3">
      <w:pPr>
        <w:pStyle w:val="Zkladntext"/>
      </w:pPr>
      <w:bookmarkStart w:id="21" w:name="_MON_1390765615"/>
      <w:bookmarkStart w:id="22" w:name="_MON_1390766233"/>
      <w:bookmarkStart w:id="23" w:name="_MON_1390766622"/>
      <w:bookmarkStart w:id="24" w:name="_MON_1390766868"/>
      <w:bookmarkEnd w:id="21"/>
      <w:bookmarkEnd w:id="22"/>
      <w:bookmarkEnd w:id="23"/>
      <w:bookmarkEnd w:id="24"/>
    </w:p>
    <w:p w:rsidR="00AA04A3" w:rsidRDefault="00AA52C0" w:rsidP="00AA04A3">
      <w:pPr>
        <w:pStyle w:val="Nadpis2"/>
      </w:pPr>
      <w:r>
        <w:t>Časové rozlíšenie</w:t>
      </w:r>
      <w:bookmarkEnd w:id="20"/>
      <w:r>
        <w:t xml:space="preserve"> na strane pasív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účtoch pasívneho časového rozlíšenia.</w:t>
      </w: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Deriváty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 derivátoch.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H.     informácie o výnosoch</w:t>
      </w:r>
    </w:p>
    <w:p w:rsidR="00AA04A3" w:rsidRDefault="00AA04A3" w:rsidP="009E75B0">
      <w:pPr>
        <w:pStyle w:val="Nadpis2"/>
        <w:numPr>
          <w:ilvl w:val="0"/>
          <w:numId w:val="0"/>
        </w:numPr>
        <w:ind w:left="360"/>
      </w:pPr>
      <w:bookmarkStart w:id="25" w:name="_Toc530739914"/>
    </w:p>
    <w:p w:rsidR="00AA04A3" w:rsidRDefault="00AA52C0" w:rsidP="00AA04A3">
      <w:pPr>
        <w:pStyle w:val="Nadpis2"/>
        <w:numPr>
          <w:ilvl w:val="1"/>
          <w:numId w:val="9"/>
        </w:numPr>
      </w:pPr>
      <w:r>
        <w:t>Tržby za vlastné výkony a tovar</w:t>
      </w:r>
      <w:bookmarkEnd w:id="25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AA04A3" w:rsidRDefault="00AA04A3">
      <w:pPr>
        <w:pStyle w:val="Zkladntext"/>
      </w:pPr>
    </w:p>
    <w:bookmarkStart w:id="26" w:name="_MON_1552481951"/>
    <w:bookmarkEnd w:id="26"/>
    <w:p w:rsidR="00AA04A3" w:rsidRDefault="009E75B0">
      <w:pPr>
        <w:pStyle w:val="Zkladntext"/>
        <w:ind w:left="0"/>
      </w:pPr>
      <w:r w:rsidRPr="00AA04A3">
        <w:object w:dxaOrig="8655" w:dyaOrig="3480">
          <v:shape id="_x0000_i1033" type="#_x0000_t75" style="width:479.25pt;height:177pt" o:ole="">
            <v:imagedata r:id="rId23" o:title=""/>
          </v:shape>
          <o:OLEObject Type="Embed" ProgID="Excel.Sheet.12" ShapeID="_x0000_i1033" DrawAspect="Content" ObjectID="_1552490067" r:id="rId24"/>
        </w:object>
      </w:r>
    </w:p>
    <w:p w:rsidR="00AA04A3" w:rsidRDefault="00AA04A3" w:rsidP="009E75B0">
      <w:pPr>
        <w:pStyle w:val="Nadpis2"/>
        <w:numPr>
          <w:ilvl w:val="0"/>
          <w:numId w:val="0"/>
        </w:numPr>
        <w:ind w:left="360"/>
      </w:pPr>
      <w:bookmarkStart w:id="27" w:name="_Toc530739915"/>
    </w:p>
    <w:p w:rsidR="00AA04A3" w:rsidRDefault="00AA52C0" w:rsidP="00AA04A3">
      <w:pPr>
        <w:pStyle w:val="Nadpis2"/>
      </w:pPr>
      <w:r>
        <w:t>Zmena stavu zásob vlastnej výroby</w:t>
      </w:r>
      <w:bookmarkEnd w:id="27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 zmene stavu zásob vlastnej výroby.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28" w:name="_MON_1390771176"/>
      <w:bookmarkStart w:id="29" w:name="_MON_1390770537"/>
      <w:bookmarkStart w:id="30" w:name="_Toc530739916"/>
      <w:bookmarkEnd w:id="28"/>
      <w:bookmarkEnd w:id="29"/>
      <w:r>
        <w:t>Aktivácia</w:t>
      </w:r>
      <w:bookmarkEnd w:id="30"/>
      <w:r>
        <w:t xml:space="preserve"> nákladov, výnosy z hospodárskej činnosti, finančnej činnosti a mimoriadnej činnosti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 aktivácii nákladov a na iných účtoch výnosov.</w:t>
      </w:r>
    </w:p>
    <w:p w:rsidR="00AA04A3" w:rsidRDefault="00AA04A3">
      <w:bookmarkStart w:id="31" w:name="_MON_1390772543"/>
      <w:bookmarkStart w:id="32" w:name="_MON_1390771465"/>
      <w:bookmarkStart w:id="33" w:name="_MON_1390772040"/>
      <w:bookmarkStart w:id="34" w:name="_MON_1390772396"/>
      <w:bookmarkStart w:id="35" w:name="_MON_1390772417"/>
      <w:bookmarkEnd w:id="31"/>
      <w:bookmarkEnd w:id="32"/>
      <w:bookmarkEnd w:id="33"/>
      <w:bookmarkEnd w:id="34"/>
      <w:bookmarkEnd w:id="35"/>
    </w:p>
    <w:p w:rsidR="009E75B0" w:rsidRDefault="009E75B0"/>
    <w:p w:rsidR="009E75B0" w:rsidRDefault="009E75B0"/>
    <w:p w:rsidR="009E75B0" w:rsidRDefault="009E75B0"/>
    <w:p w:rsidR="009E75B0" w:rsidRDefault="009E75B0"/>
    <w:p w:rsidR="00AA04A3" w:rsidRDefault="00AA52C0" w:rsidP="00AA04A3">
      <w:pPr>
        <w:pStyle w:val="Nadpis2"/>
      </w:pPr>
      <w:r>
        <w:lastRenderedPageBreak/>
        <w:t xml:space="preserve">Čistý obrat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Čistý obrat Spoločnosti na účely zistenia povinnosti overenia individuálnej účtovnej závierky audítorom [§ 19 ods. 1 písm. a) zákona o účtovníctve] je uvedený v nasledujúcom prehľade:</w:t>
      </w:r>
    </w:p>
    <w:p w:rsidR="00AA04A3" w:rsidRDefault="00AA04A3">
      <w:pPr>
        <w:pStyle w:val="Zkladntext"/>
      </w:pPr>
    </w:p>
    <w:bookmarkStart w:id="36" w:name="_MON_1390772783"/>
    <w:bookmarkStart w:id="37" w:name="_MON_1390772535"/>
    <w:bookmarkStart w:id="38" w:name="_MON_1390772556"/>
    <w:bookmarkEnd w:id="36"/>
    <w:bookmarkEnd w:id="37"/>
    <w:bookmarkEnd w:id="38"/>
    <w:bookmarkStart w:id="39" w:name="_MON_1390772731"/>
    <w:bookmarkEnd w:id="39"/>
    <w:p w:rsidR="00AA04A3" w:rsidRDefault="009E75B0">
      <w:pPr>
        <w:pStyle w:val="Zkladntext"/>
        <w:ind w:left="0"/>
      </w:pPr>
      <w:r w:rsidRPr="00AA04A3">
        <w:object w:dxaOrig="7905" w:dyaOrig="2595">
          <v:shape id="_x0000_i1034" type="#_x0000_t75" style="width:480.75pt;height:147pt" o:ole="">
            <v:imagedata r:id="rId25" o:title=""/>
          </v:shape>
          <o:OLEObject Type="Embed" ProgID="Excel.Sheet.12" ShapeID="_x0000_i1034" DrawAspect="Content" ObjectID="_1552490068" r:id="rId26"/>
        </w:object>
      </w: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I.      Informácie o nákladoch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10"/>
        </w:numPr>
      </w:pPr>
      <w:r>
        <w:t xml:space="preserve">Náklady na poskytnuté služby, ostatné náklady na hospodársku činnosť, finančné a mimoriadne náklady </w:t>
      </w:r>
    </w:p>
    <w:p w:rsidR="00AA04A3" w:rsidRDefault="00AA04A3"/>
    <w:p w:rsidR="00AA04A3" w:rsidRDefault="00AA52C0">
      <w:pPr>
        <w:pStyle w:val="Zkladntext"/>
      </w:pPr>
      <w:r>
        <w:t>Spoločnosť neúčtovala významné náklady na poskytnuté služby, ostatných nákladoch na hospodársku činnosť, finančných a mimoriadnych nákladoch.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J.      Informácie o daniach z príjmov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Prevod od teoretickej dane z príjmov k vykázanej dani z príjmov je uvedený v nasledujúcom prehľade:</w:t>
      </w:r>
    </w:p>
    <w:p w:rsidR="00AA04A3" w:rsidRDefault="00AA04A3">
      <w:pPr>
        <w:pStyle w:val="Zkladntext"/>
      </w:pPr>
    </w:p>
    <w:bookmarkStart w:id="40" w:name="_MON_1390773672"/>
    <w:bookmarkStart w:id="41" w:name="_MON_1390773250"/>
    <w:bookmarkStart w:id="42" w:name="_MON_1390773607"/>
    <w:bookmarkEnd w:id="40"/>
    <w:bookmarkEnd w:id="41"/>
    <w:bookmarkEnd w:id="42"/>
    <w:bookmarkStart w:id="43" w:name="_MON_1390773647"/>
    <w:bookmarkEnd w:id="43"/>
    <w:p w:rsidR="00AA04A3" w:rsidRDefault="00AF527B">
      <w:pPr>
        <w:pStyle w:val="Zkladntext"/>
        <w:ind w:left="0"/>
      </w:pPr>
      <w:r w:rsidRPr="00AA04A3">
        <w:object w:dxaOrig="8640" w:dyaOrig="3960">
          <v:shape id="_x0000_i1035" type="#_x0000_t75" style="width:489.75pt;height:214.5pt" o:ole="">
            <v:imagedata r:id="rId27" o:title=""/>
          </v:shape>
          <o:OLEObject Type="Embed" ProgID="Excel.Sheet.12" ShapeID="_x0000_i1035" DrawAspect="Content" ObjectID="_1552490069" r:id="rId28"/>
        </w:object>
      </w:r>
    </w:p>
    <w:p w:rsidR="00AA04A3" w:rsidRDefault="00AA52C0" w:rsidP="00AA04A3">
      <w:pPr>
        <w:pStyle w:val="Nadpis1"/>
      </w:pPr>
      <w:r>
        <w:t>Informácie o údajoch na podsúvahových  účtoch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11"/>
        </w:numPr>
      </w:pPr>
      <w:bookmarkStart w:id="44" w:name="_Toc530739920"/>
      <w:r>
        <w:t>Najatý majetok</w:t>
      </w:r>
      <w:bookmarkEnd w:id="44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podsúvahových účtoch.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Prenajatý majetok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podsúvahových účtoch.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lastRenderedPageBreak/>
        <w:t>Prehľad o podsúvahových položkách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bookmarkStart w:id="45" w:name="_MON_1390774425"/>
      <w:bookmarkEnd w:id="45"/>
      <w:r>
        <w:t>Spoločnosť v bežnom účtovnom období, ani v bezprostredne predchádzajúcom účtovnom období neúčtovala na podsúvahových účtoch.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Informácie o iných aktívach a iných pasívach</w:t>
      </w:r>
    </w:p>
    <w:p w:rsidR="00AA04A3" w:rsidRDefault="00AA04A3">
      <w:pPr>
        <w:pStyle w:val="Zkladntext"/>
        <w:ind w:left="0"/>
      </w:pPr>
    </w:p>
    <w:p w:rsidR="00AA04A3" w:rsidRDefault="00AA52C0" w:rsidP="00AA04A3">
      <w:pPr>
        <w:pStyle w:val="Nadpis2"/>
        <w:numPr>
          <w:ilvl w:val="1"/>
          <w:numId w:val="12"/>
        </w:numPr>
      </w:pPr>
      <w:bookmarkStart w:id="46" w:name="_Toc530739921"/>
      <w:r>
        <w:t>Podmienené záväzky</w:t>
      </w:r>
      <w:bookmarkEnd w:id="46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neevidovala podmienené záväzky.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47" w:name="_Toc530739922"/>
      <w:r>
        <w:t>Ostatné finančné povinnosti</w:t>
      </w:r>
      <w:bookmarkEnd w:id="47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neevidovala iné finančné povinnosti.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Podmienený majetok</w:t>
      </w:r>
    </w:p>
    <w:p w:rsidR="00AA04A3" w:rsidRDefault="00AA04A3"/>
    <w:p w:rsidR="00AA04A3" w:rsidRDefault="00AA52C0">
      <w:pPr>
        <w:pStyle w:val="Zkladntext"/>
      </w:pPr>
      <w:r>
        <w:t>Spoločnosť v bežnom účtovnom období, ani v bezprostredne predchádzajúcom účtovnom období neevidovala podmienený majetok.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bookmarkStart w:id="48" w:name="_Toc530739923"/>
      <w:r>
        <w:t>Informácie o príjmoch a výhodách členov štatutárnych orgánov, dozorných orgánov</w:t>
      </w:r>
      <w:bookmarkEnd w:id="48"/>
      <w:r>
        <w:t xml:space="preserve"> a iných orgánov účtovnej jednotky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nevyplatila členom štatutárnych orgánov za ich činnosť žiadne prostriedky.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bookmarkStart w:id="49" w:name="_Toc530739924"/>
      <w:r>
        <w:t>Informácie o ekonomických vzťahoch účtovnej jednotky a spriaznených osôb</w:t>
      </w:r>
      <w:bookmarkEnd w:id="49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neevidovala.</w:t>
      </w:r>
    </w:p>
    <w:p w:rsidR="00AA04A3" w:rsidRDefault="00AA04A3">
      <w:pPr>
        <w:pStyle w:val="Zkladntext"/>
        <w:ind w:left="0" w:firstLine="426"/>
        <w:rPr>
          <w:sz w:val="6"/>
          <w:szCs w:val="6"/>
        </w:rPr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AA04A3" w:rsidRDefault="00AA04A3">
      <w:pPr>
        <w:pStyle w:val="Zkladntext"/>
      </w:pPr>
    </w:p>
    <w:p w:rsidR="00AA04A3" w:rsidRDefault="00350ECC">
      <w:pPr>
        <w:pStyle w:val="Zkladntext"/>
      </w:pPr>
      <w:r>
        <w:t>Po 31. decembri 2016</w:t>
      </w:r>
      <w:r w:rsidR="00AA52C0">
        <w:t xml:space="preserve"> nenastali žiadne udalosti majúce významný vplyv na verné zobrazenie skutočností, ktoré sú predmetom účtovníctva.</w:t>
      </w:r>
      <w:bookmarkStart w:id="51" w:name="_Toc530739907"/>
    </w:p>
    <w:p w:rsidR="00AA04A3" w:rsidRDefault="00AA04A3">
      <w:pPr>
        <w:pStyle w:val="Zkladntext"/>
        <w:rPr>
          <w:b/>
          <w:caps/>
        </w:rPr>
      </w:pPr>
    </w:p>
    <w:p w:rsidR="00AA04A3" w:rsidRDefault="00AA52C0" w:rsidP="00AA04A3">
      <w:pPr>
        <w:pStyle w:val="Nadpis1"/>
      </w:pPr>
      <w:r>
        <w:t>Informácie o Vlastnom imaní</w:t>
      </w:r>
      <w:bookmarkEnd w:id="51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Prehľad o pohybe vlastného imania v priebehu účtovného obdobia je uvedený v nasledujúcej tabuľke:</w:t>
      </w:r>
    </w:p>
    <w:p w:rsidR="00AA04A3" w:rsidRDefault="00AA04A3">
      <w:pPr>
        <w:pStyle w:val="Zkladntext"/>
        <w:ind w:left="0"/>
      </w:pPr>
    </w:p>
    <w:bookmarkStart w:id="52" w:name="_MON_1552482440"/>
    <w:bookmarkEnd w:id="52"/>
    <w:p w:rsidR="00AA04A3" w:rsidRDefault="00261E33">
      <w:pPr>
        <w:pStyle w:val="Zkladntext"/>
        <w:ind w:left="0"/>
      </w:pPr>
      <w:r w:rsidRPr="00AA04A3">
        <w:object w:dxaOrig="8713" w:dyaOrig="7451">
          <v:shape id="_x0000_i1036" type="#_x0000_t75" style="width:460.5pt;height:399pt" o:ole="">
            <v:imagedata r:id="rId29" o:title=""/>
          </v:shape>
          <o:OLEObject Type="Embed" ProgID="Excel.Sheet.12" ShapeID="_x0000_i1036" DrawAspect="Content" ObjectID="_1552490070" r:id="rId30"/>
        </w:object>
      </w:r>
    </w:p>
    <w:p w:rsidR="00AA04A3" w:rsidRDefault="00AA04A3">
      <w:pPr>
        <w:autoSpaceDE w:val="0"/>
        <w:ind w:left="426"/>
        <w:jc w:val="both"/>
        <w:rPr>
          <w:szCs w:val="18"/>
        </w:rPr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lastRenderedPageBreak/>
        <w:t>Prehľad o pohybe vlastného imania za predchádzajúce účtovné obdobie je uvedený v nasledujúcej tabuľke:</w:t>
      </w:r>
    </w:p>
    <w:p w:rsidR="00AA04A3" w:rsidRDefault="00261E33">
      <w:pPr>
        <w:pStyle w:val="Zkladntext"/>
        <w:ind w:left="0"/>
      </w:pPr>
      <w:r w:rsidRPr="00F47A95">
        <w:object w:dxaOrig="9419" w:dyaOrig="7451">
          <v:shape id="_x0000_i1037" type="#_x0000_t75" style="width:459pt;height:381pt" o:ole="">
            <v:imagedata r:id="rId31" o:title=""/>
          </v:shape>
          <o:OLEObject Type="Embed" ProgID="Excel.Sheet.12" ShapeID="_x0000_i1037" DrawAspect="Content" ObjectID="_1552490071" r:id="rId32"/>
        </w:object>
      </w:r>
    </w:p>
    <w:p w:rsidR="00AA04A3" w:rsidRDefault="00AA04A3">
      <w:pPr>
        <w:rPr>
          <w:sz w:val="18"/>
          <w:szCs w:val="18"/>
        </w:rPr>
      </w:pPr>
    </w:p>
    <w:p w:rsidR="00AA04A3" w:rsidRDefault="00AA52C0">
      <w:pPr>
        <w:rPr>
          <w:sz w:val="18"/>
          <w:szCs w:val="18"/>
        </w:rPr>
      </w:pPr>
      <w:r>
        <w:rPr>
          <w:sz w:val="18"/>
          <w:szCs w:val="18"/>
        </w:rPr>
        <w:t>Rozdelenie výsledku hospodárenia za bezprostredne predchádzajúce účtovné obdobie je uvedené v nasledujúcom prehľade:</w:t>
      </w:r>
    </w:p>
    <w:p w:rsidR="00AA04A3" w:rsidRDefault="00AA04A3">
      <w:pPr>
        <w:rPr>
          <w:sz w:val="12"/>
          <w:szCs w:val="12"/>
        </w:rPr>
      </w:pPr>
    </w:p>
    <w:bookmarkStart w:id="53" w:name="_MON_1552488912"/>
    <w:bookmarkEnd w:id="53"/>
    <w:p w:rsidR="00AA04A3" w:rsidRDefault="00261E33">
      <w:pPr>
        <w:spacing w:after="200" w:line="276" w:lineRule="auto"/>
      </w:pPr>
      <w:r>
        <w:object w:dxaOrig="9102" w:dyaOrig="4103">
          <v:shape id="_x0000_i1038" type="#_x0000_t75" style="width:459pt;height:207.75pt" o:ole="">
            <v:imagedata r:id="rId33" o:title=""/>
          </v:shape>
          <o:OLEObject Type="Embed" ProgID="Excel.Sheet.12" ShapeID="_x0000_i1038" DrawAspect="Content" ObjectID="_1552490072" r:id="rId34"/>
        </w:object>
      </w:r>
    </w:p>
    <w:p w:rsidR="00AA04A3" w:rsidRDefault="00AA04A3">
      <w:pPr>
        <w:pStyle w:val="Zkladntext"/>
        <w:rPr>
          <w:sz w:val="12"/>
          <w:szCs w:val="12"/>
        </w:rPr>
      </w:pPr>
    </w:p>
    <w:p w:rsidR="00AA04A3" w:rsidRDefault="00AA04A3">
      <w:pPr>
        <w:pStyle w:val="Zkladntext"/>
        <w:ind w:left="0"/>
        <w:rPr>
          <w:szCs w:val="18"/>
        </w:rPr>
      </w:pPr>
    </w:p>
    <w:p w:rsidR="00AA04A3" w:rsidRDefault="00AA04A3">
      <w:pPr>
        <w:pStyle w:val="Zkladntext"/>
      </w:pPr>
    </w:p>
    <w:sectPr w:rsidR="00AA04A3" w:rsidSect="00AA04A3">
      <w:headerReference w:type="default" r:id="rId35"/>
      <w:headerReference w:type="first" r:id="rId36"/>
      <w:footerReference w:type="first" r:id="rId37"/>
      <w:pgSz w:w="11906" w:h="16838"/>
      <w:pgMar w:top="1244" w:right="1021" w:bottom="1134" w:left="1673" w:header="675" w:footer="4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2A4" w:rsidRDefault="000E52A4" w:rsidP="00AA04A3">
      <w:r>
        <w:separator/>
      </w:r>
    </w:p>
  </w:endnote>
  <w:endnote w:type="continuationSeparator" w:id="0">
    <w:p w:rsidR="000E52A4" w:rsidRDefault="000E52A4" w:rsidP="00AA04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4A3" w:rsidRDefault="00AA04A3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A04A3" w:rsidRDefault="00AA04A3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2A4" w:rsidRDefault="000E52A4" w:rsidP="00AA04A3">
      <w:r w:rsidRPr="00AA04A3">
        <w:rPr>
          <w:color w:val="000000"/>
        </w:rPr>
        <w:separator/>
      </w:r>
    </w:p>
  </w:footnote>
  <w:footnote w:type="continuationSeparator" w:id="0">
    <w:p w:rsidR="000E52A4" w:rsidRDefault="000E52A4" w:rsidP="00AA04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72" w:type="dxa"/>
      <w:tblInd w:w="70" w:type="dxa"/>
      <w:tblLayout w:type="fixed"/>
      <w:tblCellMar>
        <w:left w:w="10" w:type="dxa"/>
        <w:right w:w="10" w:type="dxa"/>
      </w:tblCellMar>
      <w:tblLook w:val="04A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AA04A3" w:rsidTr="000E52A4">
      <w:trPr>
        <w:trHeight w:val="299"/>
      </w:trPr>
      <w:tc>
        <w:tcPr>
          <w:tcW w:w="20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</w:pPr>
          <w:r>
            <w:rPr>
              <w:rFonts w:cs="Arial"/>
              <w:sz w:val="18"/>
              <w:szCs w:val="18"/>
              <w:lang w:eastAsia="sk-SK"/>
            </w:rPr>
            <w:t>Poznámky Úč POD 3 - 01</w:t>
          </w:r>
        </w:p>
      </w:tc>
      <w:tc>
        <w:tcPr>
          <w:tcW w:w="950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</w:pPr>
          <w:r>
            <w:rPr>
              <w:sz w:val="24"/>
              <w:szCs w:val="24"/>
            </w:rPr>
            <w:t>IČO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6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>
            <w:rPr>
              <w:sz w:val="24"/>
              <w:szCs w:val="24"/>
            </w:rPr>
            <w:t>DIČ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:rsidR="00AA04A3" w:rsidRDefault="00AA04A3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72" w:type="dxa"/>
      <w:tblInd w:w="70" w:type="dxa"/>
      <w:tblLayout w:type="fixed"/>
      <w:tblCellMar>
        <w:left w:w="10" w:type="dxa"/>
        <w:right w:w="10" w:type="dxa"/>
      </w:tblCellMar>
      <w:tblLook w:val="04A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AA04A3" w:rsidTr="000E52A4">
      <w:trPr>
        <w:trHeight w:val="299"/>
      </w:trPr>
      <w:tc>
        <w:tcPr>
          <w:tcW w:w="20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</w:pPr>
          <w:r>
            <w:rPr>
              <w:rFonts w:cs="Arial"/>
              <w:sz w:val="18"/>
              <w:szCs w:val="18"/>
              <w:lang w:eastAsia="sk-SK"/>
            </w:rPr>
            <w:t>Poznámky Úč POD 3 - 01</w:t>
          </w:r>
        </w:p>
      </w:tc>
      <w:tc>
        <w:tcPr>
          <w:tcW w:w="950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</w:pPr>
          <w:r>
            <w:rPr>
              <w:sz w:val="24"/>
              <w:szCs w:val="24"/>
            </w:rPr>
            <w:t>IČO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6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>
            <w:rPr>
              <w:sz w:val="24"/>
              <w:szCs w:val="24"/>
            </w:rPr>
            <w:t>DIČ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:rsidR="00AA04A3" w:rsidRDefault="00AA04A3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F022B"/>
    <w:multiLevelType w:val="multilevel"/>
    <w:tmpl w:val="A9862308"/>
    <w:styleLink w:val="WWOutlineListStyle"/>
    <w:lvl w:ilvl="0">
      <w:start w:val="17"/>
      <w:numFmt w:val="upperLetter"/>
      <w:pStyle w:val="Nadpis1"/>
      <w:lvlText w:val="%1."/>
      <w:lvlJc w:val="left"/>
      <w:pPr>
        <w:ind w:left="502" w:hanging="360"/>
      </w:pPr>
      <w:rPr>
        <w:rFonts w:cs="Times New Roman"/>
      </w:rPr>
    </w:lvl>
    <w:lvl w:ilvl="1">
      <w:start w:val="1"/>
      <w:numFmt w:val="decimal"/>
      <w:pStyle w:val="Nadpis2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%9"/>
      <w:lvlJc w:val="left"/>
    </w:lvl>
  </w:abstractNum>
  <w:abstractNum w:abstractNumId="1">
    <w:nsid w:val="25DE61A2"/>
    <w:multiLevelType w:val="multilevel"/>
    <w:tmpl w:val="9A424330"/>
    <w:styleLink w:val="LFO7"/>
    <w:lvl w:ilvl="0">
      <w:start w:val="1"/>
      <w:numFmt w:val="lowerLetter"/>
      <w:pStyle w:val="Pismenka"/>
      <w:lvlText w:val="(%1)"/>
      <w:lvlJc w:val="left"/>
      <w:pPr>
        <w:ind w:left="360" w:hanging="360"/>
      </w:pPr>
      <w:rPr>
        <w:rFonts w:cs="Times New Roman"/>
      </w:r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2">
    <w:nsid w:val="471A7C3B"/>
    <w:multiLevelType w:val="multilevel"/>
    <w:tmpl w:val="6B948E34"/>
    <w:lvl w:ilvl="0">
      <w:start w:val="1"/>
      <w:numFmt w:val="lowerLetter"/>
      <w:lvlText w:val="%1)"/>
      <w:lvlJc w:val="left"/>
      <w:pPr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952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</w:num>
  <w:num w:numId="5">
    <w:abstractNumId w:val="0"/>
    <w:lvlOverride w:ilvl="0">
      <w:startOverride w:val="1"/>
    </w:lvlOverride>
    <w:lvlOverride w:ilvl="1">
      <w:startOverride w:val="4"/>
    </w:lvlOverride>
  </w:num>
  <w:num w:numId="6">
    <w:abstractNumId w:val="0"/>
    <w:lvlOverride w:ilvl="0">
      <w:startOverride w:val="1"/>
    </w:lvlOverride>
    <w:lvlOverride w:ilvl="1">
      <w:startOverride w:val="4"/>
    </w:lvlOverride>
  </w:num>
  <w:num w:numId="7">
    <w:abstractNumId w:val="0"/>
    <w:lvlOverride w:ilvl="0">
      <w:startOverride w:val="1"/>
    </w:lvlOverride>
    <w:lvlOverride w:ilvl="1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A04A3"/>
    <w:rsid w:val="000E52A4"/>
    <w:rsid w:val="00141A55"/>
    <w:rsid w:val="00261E33"/>
    <w:rsid w:val="00350ECC"/>
    <w:rsid w:val="0043341C"/>
    <w:rsid w:val="004461CE"/>
    <w:rsid w:val="0051756A"/>
    <w:rsid w:val="00587098"/>
    <w:rsid w:val="00700BF1"/>
    <w:rsid w:val="00881FD8"/>
    <w:rsid w:val="009E75B0"/>
    <w:rsid w:val="00AA04A3"/>
    <w:rsid w:val="00AA52C0"/>
    <w:rsid w:val="00AF527B"/>
    <w:rsid w:val="00BA0F75"/>
    <w:rsid w:val="00C12ED1"/>
    <w:rsid w:val="00E435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04A3"/>
    <w:pPr>
      <w:suppressAutoHyphens/>
      <w:autoSpaceDN w:val="0"/>
      <w:textAlignment w:val="baseline"/>
    </w:pPr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rsid w:val="00AA04A3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rsid w:val="00AA04A3"/>
    <w:pPr>
      <w:keepNext/>
      <w:numPr>
        <w:ilvl w:val="1"/>
        <w:numId w:val="1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rsid w:val="00AA04A3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rsid w:val="00AA04A3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rsid w:val="00AA04A3"/>
    <w:pPr>
      <w:numPr>
        <w:numId w:val="1"/>
      </w:numPr>
    </w:pPr>
  </w:style>
  <w:style w:type="paragraph" w:styleId="Hlavika">
    <w:name w:val="header"/>
    <w:basedOn w:val="Normlny"/>
    <w:rsid w:val="00AA04A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AA04A3"/>
  </w:style>
  <w:style w:type="paragraph" w:styleId="Pta">
    <w:name w:val="footer"/>
    <w:basedOn w:val="Normlny"/>
    <w:rsid w:val="00AA04A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AA04A3"/>
  </w:style>
  <w:style w:type="character" w:styleId="slostrany">
    <w:name w:val="page number"/>
    <w:rsid w:val="00AA04A3"/>
    <w:rPr>
      <w:rFonts w:cs="Times New Roman"/>
    </w:rPr>
  </w:style>
  <w:style w:type="character" w:customStyle="1" w:styleId="Nadpis1Char">
    <w:name w:val="Nadpis 1 Char"/>
    <w:rsid w:val="00AA04A3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rsid w:val="00AA04A3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rsid w:val="00AA04A3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rsid w:val="00AA04A3"/>
    <w:pPr>
      <w:ind w:left="426"/>
      <w:jc w:val="both"/>
    </w:pPr>
    <w:rPr>
      <w:sz w:val="18"/>
    </w:rPr>
  </w:style>
  <w:style w:type="character" w:customStyle="1" w:styleId="ZkladntextChar">
    <w:name w:val="Základný text Char"/>
    <w:rsid w:val="00AA04A3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AA04A3"/>
    <w:pPr>
      <w:ind w:left="284" w:hanging="284"/>
      <w:jc w:val="both"/>
    </w:pPr>
    <w:rPr>
      <w:sz w:val="22"/>
    </w:rPr>
  </w:style>
  <w:style w:type="character" w:styleId="Odkaznapoznmkupodiarou">
    <w:name w:val="footnote reference"/>
    <w:rsid w:val="00AA04A3"/>
    <w:rPr>
      <w:rFonts w:cs="Times New Roman"/>
      <w:position w:val="6"/>
      <w:sz w:val="16"/>
      <w:szCs w:val="16"/>
      <w:vertAlign w:val="baseline"/>
    </w:rPr>
  </w:style>
  <w:style w:type="paragraph" w:customStyle="1" w:styleId="lita">
    <w:name w:val="lit_a"/>
    <w:basedOn w:val="Normlny"/>
    <w:rsid w:val="00AA04A3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rsid w:val="00AA04A3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rsid w:val="00AA04A3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rsid w:val="00AA04A3"/>
    <w:pPr>
      <w:ind w:left="708"/>
    </w:pPr>
  </w:style>
  <w:style w:type="paragraph" w:customStyle="1" w:styleId="Tabulka">
    <w:name w:val="Tabulka"/>
    <w:basedOn w:val="Normlny"/>
    <w:rsid w:val="00AA04A3"/>
    <w:rPr>
      <w:color w:val="000000"/>
      <w:sz w:val="18"/>
    </w:rPr>
  </w:style>
  <w:style w:type="paragraph" w:customStyle="1" w:styleId="Pismenka">
    <w:name w:val="Pismenka"/>
    <w:basedOn w:val="Zkladntext"/>
    <w:rsid w:val="00AA04A3"/>
    <w:pPr>
      <w:numPr>
        <w:numId w:val="2"/>
      </w:numPr>
      <w:tabs>
        <w:tab w:val="left" w:pos="492"/>
      </w:tabs>
    </w:pPr>
    <w:rPr>
      <w:b/>
    </w:rPr>
  </w:style>
  <w:style w:type="character" w:customStyle="1" w:styleId="Nadpis9Char">
    <w:name w:val="Nadpis 9 Char"/>
    <w:rsid w:val="00AA04A3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rsid w:val="00AA04A3"/>
    <w:rPr>
      <w:rFonts w:ascii="Tahoma" w:hAnsi="Tahoma"/>
      <w:sz w:val="16"/>
      <w:szCs w:val="16"/>
    </w:rPr>
  </w:style>
  <w:style w:type="character" w:customStyle="1" w:styleId="TextbublinyChar">
    <w:name w:val="Text bubliny Char"/>
    <w:rsid w:val="00AA04A3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rsid w:val="00AA04A3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rsid w:val="00AA04A3"/>
    <w:pPr>
      <w:jc w:val="right"/>
    </w:pPr>
    <w:rPr>
      <w:rFonts w:ascii="Arial Narrow" w:hAnsi="Arial Narrow"/>
    </w:rPr>
  </w:style>
  <w:style w:type="character" w:customStyle="1" w:styleId="ValueChar">
    <w:name w:val="Value Char"/>
    <w:rsid w:val="00AA04A3"/>
    <w:rPr>
      <w:rFonts w:ascii="Arial Narrow" w:eastAsia="Times New Roman" w:hAnsi="Arial Narrow" w:cs="Arial Narrow"/>
    </w:rPr>
  </w:style>
  <w:style w:type="numbering" w:customStyle="1" w:styleId="LFO7">
    <w:name w:val="LFO7"/>
    <w:basedOn w:val="Bezzoznamu"/>
    <w:rsid w:val="00AA04A3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6.xlsx"/><Relationship Id="rId26" Type="http://schemas.openxmlformats.org/officeDocument/2006/relationships/package" Target="embeddings/Pracovn__h_rok_programu_Microsoft_Office_Excel10.xlsx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4.xlsx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package" Target="embeddings/Pracovn__h_rok_programu_Microsoft_Office_Excel7.xlsx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9.xlsx"/><Relationship Id="rId32" Type="http://schemas.openxmlformats.org/officeDocument/2006/relationships/package" Target="embeddings/Pracovn__h_rok_programu_Microsoft_Office_Excel13.xlsx"/><Relationship Id="rId37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Pracovn__h_rok_programu_Microsoft_Office_Excel11.xlsx"/><Relationship Id="rId36" Type="http://schemas.openxmlformats.org/officeDocument/2006/relationships/header" Target="header2.xml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Relationship Id="rId22" Type="http://schemas.openxmlformats.org/officeDocument/2006/relationships/package" Target="embeddings/Pracovn__h_rok_programu_Microsoft_Office_Excel8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2.xlsx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3191</Words>
  <Characters>18192</Characters>
  <Application>Microsoft Office Word</Application>
  <DocSecurity>4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ADP Audit sro</dc:creator>
  <cp:keywords/>
  <cp:lastModifiedBy>Vyskocova</cp:lastModifiedBy>
  <cp:revision>2</cp:revision>
  <cp:lastPrinted>2016-03-14T19:43:00Z</cp:lastPrinted>
  <dcterms:created xsi:type="dcterms:W3CDTF">2017-03-31T16:28:00Z</dcterms:created>
  <dcterms:modified xsi:type="dcterms:W3CDTF">2017-03-31T16:28:00Z</dcterms:modified>
</cp:coreProperties>
</file>