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7EF4" w:rsidRDefault="00377EF4" w:rsidP="005B3F07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</w:p>
    <w:p w:rsidR="000A1F72" w:rsidRPr="00A21BB3" w:rsidRDefault="000A1F72" w:rsidP="005B3F07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VŠEOBECNÉ INFORMÁCIE</w:t>
      </w:r>
    </w:p>
    <w:p w:rsidR="000A1F72" w:rsidRPr="00A21BB3" w:rsidRDefault="000A1F72" w:rsidP="005B3F07">
      <w:pPr>
        <w:pStyle w:val="Odstavecseseznamem"/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0A1F72" w:rsidRPr="00A21BB3" w:rsidRDefault="000A1F72" w:rsidP="005B3F07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Obchodné meno a sídlo spoločnosti:</w:t>
      </w:r>
    </w:p>
    <w:p w:rsidR="000A1F72" w:rsidRPr="00A21BB3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</w:p>
    <w:p w:rsidR="000A1F72" w:rsidRPr="00A21BB3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 xml:space="preserve">Steelage Slovakia s.r.o. </w:t>
      </w:r>
    </w:p>
    <w:p w:rsidR="000A1F72" w:rsidRPr="00A21BB3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Röntgenova 28</w:t>
      </w:r>
    </w:p>
    <w:p w:rsidR="000A1F72" w:rsidRPr="00A21BB3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851 01  Bratislava</w:t>
      </w:r>
    </w:p>
    <w:p w:rsidR="000A1F72" w:rsidRPr="00A21BB3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</w:p>
    <w:p w:rsidR="000A1F72" w:rsidRPr="00A21BB3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Spoločnosť Steelage Slovakia s.r.o. (ďalej len Spoločnosť), bola založená 10. marca 2010 a do obchodného registra bola zapísaná 10. marca 2010 (Obchodný register Okresného súdu Bratislava I. v Bratislave, oddiel Sro, vložka č. 63718/B).</w:t>
      </w:r>
    </w:p>
    <w:p w:rsidR="000A1F72" w:rsidRPr="00A21BB3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</w:p>
    <w:p w:rsidR="000A1F72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Hlavnými činnoťami Spoločnosti sú:</w:t>
      </w:r>
    </w:p>
    <w:p w:rsidR="000A1F72" w:rsidRPr="003E1B6A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</w:p>
    <w:p w:rsidR="000A1F72" w:rsidRPr="00A21BB3" w:rsidRDefault="000A1F72" w:rsidP="005B3F07">
      <w:pPr>
        <w:pStyle w:val="Odstavecseseznamem"/>
        <w:numPr>
          <w:ilvl w:val="0"/>
          <w:numId w:val="3"/>
        </w:numPr>
        <w:spacing w:after="0" w:line="240" w:lineRule="auto"/>
        <w:ind w:firstLine="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Sprostredkovateľská činnosť v oblasti obchodu</w:t>
      </w:r>
    </w:p>
    <w:p w:rsidR="000A1F72" w:rsidRPr="00A21BB3" w:rsidRDefault="000A1F72" w:rsidP="005B3F07">
      <w:pPr>
        <w:pStyle w:val="Odstavecseseznamem"/>
        <w:numPr>
          <w:ilvl w:val="0"/>
          <w:numId w:val="3"/>
        </w:numPr>
        <w:spacing w:after="0" w:line="240" w:lineRule="auto"/>
        <w:ind w:firstLine="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Sprostredkovateľská činnosť v oblasti výroby</w:t>
      </w:r>
    </w:p>
    <w:p w:rsidR="000A1F72" w:rsidRPr="00A21BB3" w:rsidRDefault="000A1F72" w:rsidP="005B3F07">
      <w:pPr>
        <w:pStyle w:val="Odstavecseseznamem"/>
        <w:numPr>
          <w:ilvl w:val="0"/>
          <w:numId w:val="3"/>
        </w:numPr>
        <w:spacing w:after="0" w:line="240" w:lineRule="auto"/>
        <w:ind w:firstLine="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Nákladná cestná doprava vykonávaná vozidlami s celkovou hmotnosťou do 3,5 t vrátane prípojného vozidla</w:t>
      </w:r>
    </w:p>
    <w:p w:rsidR="000A1F72" w:rsidRPr="00A21BB3" w:rsidRDefault="000A1F72" w:rsidP="005B3F07">
      <w:pPr>
        <w:pStyle w:val="Odstavecseseznamem"/>
        <w:numPr>
          <w:ilvl w:val="0"/>
          <w:numId w:val="3"/>
        </w:numPr>
        <w:spacing w:after="0" w:line="240" w:lineRule="auto"/>
        <w:ind w:firstLine="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Podnikanie v oblasti nakladania s nebezpečným odpadom</w:t>
      </w:r>
    </w:p>
    <w:p w:rsidR="000A1F72" w:rsidRPr="00A21BB3" w:rsidRDefault="000A1F72" w:rsidP="005B3F07">
      <w:pPr>
        <w:pStyle w:val="Odstavecseseznamem"/>
        <w:spacing w:after="0" w:line="240" w:lineRule="auto"/>
        <w:ind w:left="1440"/>
        <w:rPr>
          <w:rFonts w:ascii="Times New Roman" w:hAnsi="Times New Roman" w:cs="Times New Roman"/>
          <w:sz w:val="18"/>
          <w:szCs w:val="18"/>
        </w:rPr>
      </w:pPr>
    </w:p>
    <w:p w:rsidR="000A1F72" w:rsidRPr="00A21BB3" w:rsidRDefault="000A1F72" w:rsidP="005B3F07">
      <w:pPr>
        <w:pStyle w:val="Odstavecseseznamem"/>
        <w:numPr>
          <w:ilvl w:val="0"/>
          <w:numId w:val="2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Dátum schválenia účtovnej závierky za predchádzajúce účtovné obdobie</w:t>
      </w:r>
    </w:p>
    <w:p w:rsidR="000A1F72" w:rsidRPr="00A21BB3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0A1F72" w:rsidRPr="00A21BB3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Účtovná závierka Spoločnosti k 31. decembru 201</w:t>
      </w:r>
      <w:r w:rsidR="001F2F6A">
        <w:rPr>
          <w:rFonts w:ascii="Times New Roman" w:hAnsi="Times New Roman" w:cs="Times New Roman"/>
          <w:sz w:val="18"/>
          <w:szCs w:val="18"/>
        </w:rPr>
        <w:t>5</w:t>
      </w:r>
      <w:r w:rsidRPr="00A21BB3">
        <w:rPr>
          <w:rFonts w:ascii="Times New Roman" w:hAnsi="Times New Roman" w:cs="Times New Roman"/>
          <w:sz w:val="18"/>
          <w:szCs w:val="18"/>
        </w:rPr>
        <w:t>, za predchádzajúce účtovné obdobie, bola schválená valným zhromaždením Spoločnosti</w:t>
      </w:r>
      <w:r>
        <w:rPr>
          <w:rFonts w:ascii="Times New Roman" w:hAnsi="Times New Roman" w:cs="Times New Roman"/>
          <w:sz w:val="18"/>
          <w:szCs w:val="18"/>
        </w:rPr>
        <w:t xml:space="preserve"> 15.07.2016.</w:t>
      </w:r>
    </w:p>
    <w:p w:rsidR="000A1F72" w:rsidRPr="005B3F07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</w:p>
    <w:p w:rsidR="005B3F07" w:rsidRPr="005B3F07" w:rsidRDefault="000A1F72" w:rsidP="005B3F07">
      <w:pPr>
        <w:pStyle w:val="Odstavecseseznamem"/>
        <w:numPr>
          <w:ilvl w:val="0"/>
          <w:numId w:val="2"/>
        </w:numPr>
        <w:spacing w:after="0" w:line="240" w:lineRule="auto"/>
        <w:ind w:left="1077" w:firstLine="0"/>
        <w:rPr>
          <w:rFonts w:ascii="Times New Roman" w:hAnsi="Times New Roman" w:cs="Times New Roman"/>
          <w:b/>
          <w:sz w:val="18"/>
          <w:szCs w:val="18"/>
        </w:rPr>
      </w:pPr>
      <w:r w:rsidRPr="005B3F07">
        <w:rPr>
          <w:rFonts w:ascii="Times New Roman" w:hAnsi="Times New Roman" w:cs="Times New Roman"/>
          <w:b/>
          <w:sz w:val="18"/>
          <w:szCs w:val="18"/>
        </w:rPr>
        <w:t>Právny dôvod na zostavenie účtovnej závierky</w:t>
      </w:r>
      <w:r w:rsidR="005B3F07" w:rsidRPr="005B3F07"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p w:rsidR="005B3F07" w:rsidRPr="005B3F07" w:rsidRDefault="005B3F07" w:rsidP="005B3F07">
      <w:pPr>
        <w:pStyle w:val="Odstavecseseznamem"/>
        <w:spacing w:after="0" w:line="240" w:lineRule="auto"/>
        <w:ind w:left="1077"/>
        <w:rPr>
          <w:rFonts w:ascii="Times New Roman" w:hAnsi="Times New Roman" w:cs="Times New Roman"/>
          <w:sz w:val="18"/>
          <w:szCs w:val="18"/>
        </w:rPr>
      </w:pPr>
    </w:p>
    <w:p w:rsidR="000A1F72" w:rsidRPr="005B3F07" w:rsidRDefault="000A1F72" w:rsidP="005B3F07">
      <w:pPr>
        <w:spacing w:after="0" w:line="240" w:lineRule="auto"/>
        <w:ind w:left="1077"/>
        <w:contextualSpacing/>
        <w:rPr>
          <w:rFonts w:ascii="Times New Roman" w:hAnsi="Times New Roman" w:cs="Times New Roman"/>
          <w:sz w:val="18"/>
          <w:szCs w:val="18"/>
        </w:rPr>
      </w:pPr>
      <w:r w:rsidRPr="005B3F07">
        <w:rPr>
          <w:rFonts w:ascii="Times New Roman" w:hAnsi="Times New Roman" w:cs="Times New Roman"/>
          <w:sz w:val="18"/>
          <w:szCs w:val="18"/>
        </w:rPr>
        <w:t>Účtovná závierka Spoločnosti k 31. decembru 2016 je zostavená ako riadna účtovná závierka podľa § 17 ods. 6 zákona NR SR č. 431/2002 Z. z. o účtovníctve (ďalej „zákon o účtovníctve“) za účtovné obdobie od 1. januára 2016 do 31. decembra 2016.</w:t>
      </w:r>
    </w:p>
    <w:p w:rsidR="000A1F72" w:rsidRPr="005B3F07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</w:p>
    <w:p w:rsidR="000A1F72" w:rsidRPr="00A21BB3" w:rsidRDefault="000A1F72" w:rsidP="005B3F07">
      <w:pPr>
        <w:pStyle w:val="Zkladntext"/>
        <w:ind w:left="1080"/>
        <w:contextualSpacing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  <w:r w:rsidRPr="00A21BB3">
        <w:rPr>
          <w:szCs w:val="18"/>
        </w:rPr>
        <w:t xml:space="preserve"> </w:t>
      </w:r>
    </w:p>
    <w:p w:rsidR="000A1F72" w:rsidRPr="00A21BB3" w:rsidRDefault="000A1F72" w:rsidP="005B3F07">
      <w:pPr>
        <w:pStyle w:val="Zkladntext"/>
        <w:ind w:left="1080"/>
        <w:contextualSpacing/>
        <w:rPr>
          <w:b/>
          <w:szCs w:val="18"/>
        </w:rPr>
      </w:pPr>
    </w:p>
    <w:p w:rsidR="000A1F72" w:rsidRPr="00A21BB3" w:rsidRDefault="000A1F72" w:rsidP="005B3F07">
      <w:pPr>
        <w:pStyle w:val="Zkladntext"/>
        <w:numPr>
          <w:ilvl w:val="0"/>
          <w:numId w:val="2"/>
        </w:numPr>
        <w:ind w:firstLine="0"/>
        <w:contextualSpacing/>
        <w:rPr>
          <w:b/>
          <w:szCs w:val="18"/>
        </w:rPr>
      </w:pPr>
      <w:r w:rsidRPr="00A21BB3">
        <w:rPr>
          <w:b/>
          <w:szCs w:val="18"/>
        </w:rPr>
        <w:t>Informácie o skupine</w:t>
      </w:r>
    </w:p>
    <w:p w:rsidR="000A1F72" w:rsidRPr="00A21BB3" w:rsidRDefault="000A1F72" w:rsidP="005B3F07">
      <w:pPr>
        <w:pStyle w:val="Zkladntext"/>
        <w:tabs>
          <w:tab w:val="left" w:pos="1134"/>
        </w:tabs>
        <w:contextualSpacing/>
        <w:rPr>
          <w:b/>
          <w:szCs w:val="18"/>
        </w:rPr>
      </w:pPr>
    </w:p>
    <w:p w:rsidR="000A1F72" w:rsidRDefault="000A1F72" w:rsidP="00061B07">
      <w:pPr>
        <w:pStyle w:val="Zkladntext"/>
        <w:ind w:left="708"/>
        <w:contextualSpacing/>
        <w:rPr>
          <w:szCs w:val="18"/>
        </w:rPr>
      </w:pPr>
      <w:r w:rsidRPr="00A21BB3">
        <w:rPr>
          <w:szCs w:val="18"/>
        </w:rPr>
        <w:t xml:space="preserve">Spoločnosť sa zahrňuje do konsolidovanej účtovnej závierky spoločnosti TSR Recycling Holding GmbH, Hafenstrasse 98, Bottrop 462 42, Nemecko, ktorá je súčasťou konsolidovanej účtovnej závierky najvyššej skupiny RETHMANN AG &amp; Co. KG. Konsolidovanú účtovnú závierku skupiny zostavuje spoločnosť RETHMANN AG &amp; Co. KG, Werner Strasse 95, Selm 593 79, Nemecko. Tieto konsolidované účtovné závierky možno dostať priamo v sídle uvedených spoločností. </w:t>
      </w:r>
    </w:p>
    <w:p w:rsidR="000A1F72" w:rsidRPr="00A21BB3" w:rsidRDefault="000A1F72" w:rsidP="005B3F07">
      <w:pPr>
        <w:pStyle w:val="Zkladntext"/>
        <w:ind w:left="1134"/>
        <w:contextualSpacing/>
        <w:rPr>
          <w:szCs w:val="18"/>
        </w:rPr>
      </w:pPr>
    </w:p>
    <w:p w:rsidR="000A1F72" w:rsidRPr="00A21BB3" w:rsidRDefault="000A1F72" w:rsidP="005B3F07">
      <w:pPr>
        <w:pStyle w:val="Zkladntext"/>
        <w:numPr>
          <w:ilvl w:val="0"/>
          <w:numId w:val="2"/>
        </w:numPr>
        <w:ind w:firstLine="0"/>
        <w:contextualSpacing/>
        <w:rPr>
          <w:b/>
          <w:szCs w:val="18"/>
        </w:rPr>
      </w:pPr>
      <w:r w:rsidRPr="00A21BB3">
        <w:rPr>
          <w:b/>
          <w:szCs w:val="18"/>
        </w:rPr>
        <w:t>Priemerný prepočítaný počet zamestnancov</w:t>
      </w:r>
    </w:p>
    <w:p w:rsidR="000A1F72" w:rsidRPr="00A21BB3" w:rsidRDefault="000A1F72" w:rsidP="005B3F07">
      <w:pPr>
        <w:pStyle w:val="Zkladntext"/>
        <w:ind w:left="1080"/>
        <w:contextualSpacing/>
        <w:rPr>
          <w:szCs w:val="18"/>
        </w:rPr>
      </w:pPr>
    </w:p>
    <w:p w:rsidR="000A1F72" w:rsidRPr="00A21BB3" w:rsidRDefault="000A1F72" w:rsidP="005B3F07">
      <w:pPr>
        <w:pStyle w:val="Zkladntext"/>
        <w:ind w:left="1080"/>
        <w:contextualSpacing/>
        <w:rPr>
          <w:szCs w:val="18"/>
        </w:rPr>
      </w:pPr>
      <w:r w:rsidRPr="00A21BB3">
        <w:rPr>
          <w:szCs w:val="18"/>
        </w:rPr>
        <w:t>Priemerný prepočítaný počet zamestnancov Spoločnosti v účtovnom období 201</w:t>
      </w:r>
      <w:r w:rsidR="00EC229E">
        <w:rPr>
          <w:szCs w:val="18"/>
        </w:rPr>
        <w:t>6</w:t>
      </w:r>
      <w:r w:rsidRPr="00A21BB3">
        <w:rPr>
          <w:szCs w:val="18"/>
        </w:rPr>
        <w:t xml:space="preserve"> bol </w:t>
      </w:r>
      <w:r w:rsidR="00EC229E">
        <w:rPr>
          <w:szCs w:val="18"/>
        </w:rPr>
        <w:t>10.</w:t>
      </w:r>
      <w:r>
        <w:rPr>
          <w:szCs w:val="18"/>
        </w:rPr>
        <w:t xml:space="preserve"> V predchádzajúcom účtovnom období bol priemerný prepočítaný počet zamestnancov </w:t>
      </w:r>
      <w:r w:rsidR="00EC229E">
        <w:rPr>
          <w:szCs w:val="18"/>
        </w:rPr>
        <w:t>7</w:t>
      </w:r>
      <w:r>
        <w:rPr>
          <w:szCs w:val="18"/>
        </w:rPr>
        <w:t>.</w:t>
      </w:r>
    </w:p>
    <w:p w:rsidR="000A1F72" w:rsidRDefault="000A1F72" w:rsidP="005B3F07">
      <w:pPr>
        <w:pStyle w:val="Zkladntext"/>
        <w:ind w:left="1080"/>
        <w:contextualSpacing/>
        <w:rPr>
          <w:szCs w:val="18"/>
        </w:rPr>
      </w:pPr>
    </w:p>
    <w:p w:rsidR="00A510E8" w:rsidRDefault="00A510E8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A510E8" w:rsidRPr="00A21BB3" w:rsidRDefault="00A510E8" w:rsidP="005B3F07">
      <w:pPr>
        <w:pStyle w:val="Odstavecseseznamem"/>
        <w:numPr>
          <w:ilvl w:val="0"/>
          <w:numId w:val="1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INFORMÁCIE O ORGÁNOCH ÚČTOVNEJ JEDNOTKY</w:t>
      </w:r>
    </w:p>
    <w:p w:rsidR="00A510E8" w:rsidRDefault="00A510E8" w:rsidP="005B3F07">
      <w:pPr>
        <w:spacing w:after="0" w:line="240" w:lineRule="auto"/>
        <w:ind w:left="12"/>
        <w:contextualSpacing/>
        <w:jc w:val="both"/>
        <w:rPr>
          <w:rFonts w:ascii="Times New Roman" w:hAnsi="Times New Roman" w:cs="Times New Roman"/>
          <w:sz w:val="18"/>
          <w:szCs w:val="18"/>
        </w:rPr>
      </w:pPr>
    </w:p>
    <w:p w:rsidR="00A510E8" w:rsidRPr="00A21BB3" w:rsidRDefault="00A510E8" w:rsidP="005B3F07">
      <w:pPr>
        <w:pStyle w:val="Zkladntext"/>
        <w:ind w:left="1080"/>
        <w:contextualSpacing/>
        <w:rPr>
          <w:szCs w:val="18"/>
        </w:rPr>
      </w:pPr>
      <w:r>
        <w:rPr>
          <w:szCs w:val="18"/>
        </w:rPr>
        <w:t xml:space="preserve"> Konatelia</w:t>
      </w:r>
      <w:r>
        <w:rPr>
          <w:szCs w:val="18"/>
        </w:rPr>
        <w:tab/>
      </w:r>
      <w:r>
        <w:rPr>
          <w:szCs w:val="18"/>
        </w:rPr>
        <w:tab/>
      </w:r>
      <w:r w:rsidRPr="00A21BB3">
        <w:rPr>
          <w:szCs w:val="18"/>
        </w:rPr>
        <w:t>Jörgen Johannes Jozeph Sassen</w:t>
      </w:r>
    </w:p>
    <w:p w:rsidR="00A510E8" w:rsidRPr="00A21BB3" w:rsidRDefault="00A510E8" w:rsidP="005B3F07">
      <w:pPr>
        <w:pStyle w:val="Zkladntext"/>
        <w:ind w:left="1080"/>
        <w:contextualSpacing/>
        <w:rPr>
          <w:szCs w:val="18"/>
        </w:rPr>
      </w:pPr>
      <w:r w:rsidRPr="003B14D2">
        <w:rPr>
          <w:szCs w:val="18"/>
        </w:rPr>
        <w:tab/>
      </w:r>
      <w:r w:rsidRPr="003B14D2">
        <w:rPr>
          <w:szCs w:val="18"/>
        </w:rPr>
        <w:tab/>
      </w:r>
      <w:r w:rsidRPr="00A21BB3">
        <w:rPr>
          <w:szCs w:val="18"/>
        </w:rPr>
        <w:tab/>
        <w:t>Dip</w:t>
      </w:r>
      <w:r>
        <w:rPr>
          <w:szCs w:val="18"/>
        </w:rPr>
        <w:t>l</w:t>
      </w:r>
      <w:r w:rsidRPr="00A21BB3">
        <w:rPr>
          <w:szCs w:val="18"/>
        </w:rPr>
        <w:t>.-Kfm</w:t>
      </w:r>
      <w:r w:rsidRPr="003B14D2">
        <w:rPr>
          <w:szCs w:val="18"/>
        </w:rPr>
        <w:t xml:space="preserve">. </w:t>
      </w:r>
      <w:r w:rsidRPr="00A21BB3">
        <w:rPr>
          <w:szCs w:val="18"/>
        </w:rPr>
        <w:t>Ján Ilavský</w:t>
      </w:r>
    </w:p>
    <w:p w:rsidR="00A510E8" w:rsidRDefault="00A510E8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</w:p>
    <w:p w:rsidR="0009542C" w:rsidRDefault="0009542C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</w:p>
    <w:p w:rsidR="00A510E8" w:rsidRDefault="00A510E8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Členom štatutárneho orgánu neboli v roku 201</w:t>
      </w:r>
      <w:r>
        <w:rPr>
          <w:rFonts w:ascii="Times New Roman" w:hAnsi="Times New Roman" w:cs="Times New Roman"/>
          <w:sz w:val="18"/>
          <w:szCs w:val="18"/>
        </w:rPr>
        <w:t>6</w:t>
      </w:r>
      <w:r w:rsidRPr="00A21BB3">
        <w:rPr>
          <w:rFonts w:ascii="Times New Roman" w:hAnsi="Times New Roman" w:cs="Times New Roman"/>
          <w:sz w:val="18"/>
          <w:szCs w:val="18"/>
        </w:rPr>
        <w:t xml:space="preserve"> poskytnuté žiadne pôžičky, záruky alebo iné formy zabezpečenia, ani finančné prostriedky alebo iné plnenia na súkromné účely členov, ktoré sa vyúčtovávajú.</w:t>
      </w:r>
    </w:p>
    <w:p w:rsidR="00A510E8" w:rsidRDefault="00A510E8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</w:p>
    <w:p w:rsidR="00377EF4" w:rsidRDefault="00377EF4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</w:p>
    <w:p w:rsidR="00377EF4" w:rsidRDefault="00377EF4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seseznamem"/>
        <w:numPr>
          <w:ilvl w:val="0"/>
          <w:numId w:val="1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INFORMÁCIE O SPOLOČNÍKOCH ÚČTOVNEJ JEDNOTKY</w:t>
      </w:r>
    </w:p>
    <w:p w:rsidR="00377EF4" w:rsidRDefault="00377EF4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Default="004D4221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Štruktúra spoločníkov Spoločnosti k 31.12.201</w:t>
      </w:r>
      <w:r w:rsidR="0056200B">
        <w:rPr>
          <w:rFonts w:ascii="Times New Roman" w:hAnsi="Times New Roman" w:cs="Times New Roman"/>
          <w:sz w:val="18"/>
          <w:szCs w:val="18"/>
        </w:rPr>
        <w:t>6</w:t>
      </w:r>
      <w:r w:rsidRPr="00A21BB3">
        <w:rPr>
          <w:rFonts w:ascii="Times New Roman" w:hAnsi="Times New Roman" w:cs="Times New Roman"/>
          <w:sz w:val="18"/>
          <w:szCs w:val="18"/>
        </w:rPr>
        <w:t>:</w:t>
      </w:r>
    </w:p>
    <w:p w:rsidR="000328C4" w:rsidRDefault="000328C4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</w:p>
    <w:tbl>
      <w:tblPr>
        <w:tblW w:w="8449" w:type="dxa"/>
        <w:tblInd w:w="70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306"/>
        <w:gridCol w:w="1101"/>
        <w:gridCol w:w="1574"/>
        <w:gridCol w:w="1259"/>
        <w:gridCol w:w="1209"/>
      </w:tblGrid>
      <w:tr w:rsidR="004D4221" w:rsidRPr="00A21BB3" w:rsidTr="000328C4">
        <w:trPr>
          <w:trHeight w:val="231"/>
        </w:trPr>
        <w:tc>
          <w:tcPr>
            <w:tcW w:w="330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Spoločník</w:t>
            </w:r>
          </w:p>
        </w:tc>
        <w:tc>
          <w:tcPr>
            <w:tcW w:w="26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Výška podielu na základnom imaní</w:t>
            </w:r>
          </w:p>
        </w:tc>
        <w:tc>
          <w:tcPr>
            <w:tcW w:w="12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Podiel na hlasovacích právach v %</w:t>
            </w:r>
          </w:p>
        </w:tc>
        <w:tc>
          <w:tcPr>
            <w:tcW w:w="120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Iný podiel na ostatných položkách VI ako na ZI v %</w:t>
            </w:r>
          </w:p>
        </w:tc>
      </w:tr>
      <w:tr w:rsidR="004D4221" w:rsidRPr="00A21BB3" w:rsidTr="0056200B">
        <w:trPr>
          <w:trHeight w:val="231"/>
        </w:trPr>
        <w:tc>
          <w:tcPr>
            <w:tcW w:w="330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absolútne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ind w:right="457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2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D4221" w:rsidRPr="00A21BB3" w:rsidTr="0056200B">
        <w:trPr>
          <w:trHeight w:val="231"/>
        </w:trPr>
        <w:tc>
          <w:tcPr>
            <w:tcW w:w="3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e</w:t>
            </w:r>
          </w:p>
        </w:tc>
      </w:tr>
      <w:tr w:rsidR="004D4221" w:rsidRPr="00A21BB3" w:rsidTr="0056200B">
        <w:trPr>
          <w:trHeight w:val="231"/>
        </w:trPr>
        <w:tc>
          <w:tcPr>
            <w:tcW w:w="3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0328C4" w:rsidP="005B3F07">
            <w:pPr>
              <w:suppressAutoHyphens/>
              <w:spacing w:after="0" w:line="240" w:lineRule="auto"/>
              <w:ind w:left="134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Steelage Holding Eastern Europe, s.r.o.       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</w:tr>
      <w:tr w:rsidR="004D4221" w:rsidRPr="00A21BB3" w:rsidTr="0056200B">
        <w:trPr>
          <w:trHeight w:val="231"/>
        </w:trPr>
        <w:tc>
          <w:tcPr>
            <w:tcW w:w="3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ind w:left="-57"/>
              <w:contextualSpacing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</w:tbl>
    <w:p w:rsidR="004D4221" w:rsidRPr="00A21BB3" w:rsidRDefault="004D4221" w:rsidP="005B3F07">
      <w:pPr>
        <w:suppressAutoHyphens/>
        <w:spacing w:after="0" w:line="240" w:lineRule="auto"/>
        <w:ind w:left="505"/>
        <w:contextualSpacing/>
        <w:jc w:val="both"/>
        <w:rPr>
          <w:rFonts w:ascii="Times New Roman" w:eastAsia="Times New Roman" w:hAnsi="Times New Roman" w:cs="Times New Roman"/>
          <w:bCs/>
          <w:iCs/>
          <w:sz w:val="18"/>
          <w:szCs w:val="18"/>
          <w:lang w:eastAsia="sk-SK"/>
        </w:rPr>
      </w:pPr>
    </w:p>
    <w:p w:rsidR="00377EF4" w:rsidRDefault="00377EF4" w:rsidP="005B3F07">
      <w:pPr>
        <w:spacing w:after="0" w:line="240" w:lineRule="auto"/>
        <w:ind w:left="720"/>
        <w:contextualSpacing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spacing w:after="0" w:line="240" w:lineRule="auto"/>
        <w:ind w:left="720"/>
        <w:contextualSpacing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 xml:space="preserve">     </w:t>
      </w:r>
    </w:p>
    <w:p w:rsidR="004D4221" w:rsidRPr="00A21BB3" w:rsidRDefault="004D4221" w:rsidP="005B3F07">
      <w:pPr>
        <w:pStyle w:val="Odstavecseseznamem"/>
        <w:numPr>
          <w:ilvl w:val="0"/>
          <w:numId w:val="1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INFORMÁCIE O PRIJATÝCH POSTUPOCH</w:t>
      </w:r>
    </w:p>
    <w:p w:rsidR="004D4221" w:rsidRPr="00A21BB3" w:rsidRDefault="004D4221" w:rsidP="005B3F07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 xml:space="preserve">Východiská pre zostavenie účtovnej závierky 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D4221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Jeden z dvoch zákazníkov Spoločnosti sa dostal do konkurzu dňa 17.2.2015. Voči uvedenému zákazníkovi spoločnosť eviduje pohľadávku, ku ktorej bola vytvorená opravná položka v plnej výške. S druhým zákazníkom bola ukončená spolupráca v auguste 2015. Vedenie Spoločnosti aktívne pracuje na získaní nových zákaziek pre Spoločnosť a predpokladá do budúcnosti ďalšie zákazky v rámci súčasných aktivít Spoločnosti. </w:t>
      </w:r>
    </w:p>
    <w:p w:rsidR="004D4221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Peňažné údaje v účtovnej závierke sú uvedené v celých EUR, pokiaľ nie je určené inak.</w:t>
      </w: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Účtovné metódy a všeobecné účtovné zásady Spoločnosť aplikovala konzistentne s predchádzajúcim účtovným obdobím.</w:t>
      </w: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Použitie odhadov a</w:t>
      </w:r>
      <w:r w:rsidR="0009542C">
        <w:rPr>
          <w:rFonts w:ascii="Times New Roman" w:hAnsi="Times New Roman" w:cs="Times New Roman"/>
          <w:b/>
          <w:sz w:val="18"/>
          <w:szCs w:val="18"/>
        </w:rPr>
        <w:t> </w:t>
      </w:r>
      <w:r w:rsidRPr="00A21BB3">
        <w:rPr>
          <w:rFonts w:ascii="Times New Roman" w:hAnsi="Times New Roman" w:cs="Times New Roman"/>
          <w:b/>
          <w:sz w:val="18"/>
          <w:szCs w:val="18"/>
        </w:rPr>
        <w:t>úsudkov</w:t>
      </w:r>
    </w:p>
    <w:p w:rsidR="0009542C" w:rsidRDefault="0009542C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555300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555300">
        <w:rPr>
          <w:rFonts w:ascii="Times New Roman" w:hAnsi="Times New Roman" w:cs="Times New Roman"/>
          <w:sz w:val="18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4D4221" w:rsidRPr="00555300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555300">
        <w:rPr>
          <w:rFonts w:ascii="Times New Roman" w:hAnsi="Times New Roman" w:cs="Times New Roman"/>
          <w:sz w:val="18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4D4221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555300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b/>
          <w:sz w:val="18"/>
          <w:szCs w:val="18"/>
        </w:rPr>
      </w:pPr>
      <w:r w:rsidRPr="00555300">
        <w:rPr>
          <w:rFonts w:ascii="Times New Roman" w:hAnsi="Times New Roman" w:cs="Times New Roman"/>
          <w:b/>
          <w:sz w:val="18"/>
          <w:szCs w:val="18"/>
        </w:rPr>
        <w:t>Úsudky</w:t>
      </w:r>
    </w:p>
    <w:p w:rsidR="004D4221" w:rsidRPr="00B1210E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B1210E">
        <w:rPr>
          <w:rFonts w:ascii="Times New Roman" w:hAnsi="Times New Roman" w:cs="Times New Roman"/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:rsidR="004D4221" w:rsidRPr="00555300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B1210E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b/>
          <w:sz w:val="18"/>
          <w:szCs w:val="18"/>
        </w:rPr>
      </w:pPr>
      <w:r w:rsidRPr="00B1210E">
        <w:rPr>
          <w:rFonts w:ascii="Times New Roman" w:hAnsi="Times New Roman" w:cs="Times New Roman"/>
          <w:b/>
          <w:sz w:val="18"/>
          <w:szCs w:val="18"/>
        </w:rPr>
        <w:t>Neistoty v odhadoch a predpokladoch</w:t>
      </w:r>
    </w:p>
    <w:p w:rsidR="004D4221" w:rsidRPr="00555300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5A223C">
        <w:rPr>
          <w:rFonts w:ascii="Times New Roman" w:hAnsi="Times New Roman" w:cs="Times New Roman"/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:rsidR="004D4221" w:rsidRPr="00A21BB3" w:rsidRDefault="004D4221" w:rsidP="005B3F07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 xml:space="preserve">Dlhodobý nehmotný majetok a dlhodobý hmotný majetok </w:t>
      </w:r>
    </w:p>
    <w:p w:rsidR="004D4221" w:rsidRPr="00A21BB3" w:rsidRDefault="004D4221" w:rsidP="005B3F07">
      <w:pPr>
        <w:pStyle w:val="Zkladntext"/>
        <w:ind w:left="1080"/>
        <w:contextualSpacing/>
        <w:rPr>
          <w:szCs w:val="18"/>
        </w:rPr>
      </w:pPr>
    </w:p>
    <w:p w:rsidR="004D4221" w:rsidRPr="00A21BB3" w:rsidRDefault="004D4221" w:rsidP="005B3F07">
      <w:pPr>
        <w:pStyle w:val="Zkladntext"/>
        <w:ind w:left="1080"/>
        <w:contextualSpacing/>
        <w:rPr>
          <w:szCs w:val="18"/>
        </w:rPr>
      </w:pPr>
      <w:r w:rsidRPr="00A21BB3">
        <w:rPr>
          <w:szCs w:val="18"/>
        </w:rPr>
        <w:t xml:space="preserve">Dlhodobý majetok nakupovaný sa oceňuje obstarávacou cenou, ktorá zahŕňa cenu obstarania a náklady súvisiace s obstaraním (clo, prepravu, montáž, poistné a pod.), zníženú o dobropisy, skontá, rabaty, zľavy z ceny, bonusy a pod. </w:t>
      </w:r>
    </w:p>
    <w:p w:rsidR="004D4221" w:rsidRPr="00A21BB3" w:rsidRDefault="004D4221" w:rsidP="005B3F07">
      <w:pPr>
        <w:pStyle w:val="Zkladntext"/>
        <w:ind w:left="1080"/>
        <w:contextualSpacing/>
        <w:rPr>
          <w:szCs w:val="18"/>
        </w:rPr>
      </w:pPr>
    </w:p>
    <w:p w:rsidR="004D4221" w:rsidRDefault="004D4221" w:rsidP="005B3F07">
      <w:pPr>
        <w:spacing w:after="0" w:line="240" w:lineRule="auto"/>
        <w:ind w:left="1080"/>
        <w:contextualSpacing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A21BB3">
        <w:rPr>
          <w:rFonts w:ascii="Times New Roman" w:eastAsia="Times New Roman" w:hAnsi="Times New Roman" w:cs="Times New Roman"/>
          <w:sz w:val="18"/>
          <w:szCs w:val="18"/>
        </w:rPr>
        <w:t xml:space="preserve">Odpisy dlhodobého nehmotného majetku sú stanovené vychádzajúc z predpokladanej doby jeho používania a predpokladaného priebehu jeho opotrebenia. </w:t>
      </w:r>
    </w:p>
    <w:p w:rsidR="004D4221" w:rsidRDefault="004D4221" w:rsidP="005B3F07">
      <w:pPr>
        <w:spacing w:after="0" w:line="240" w:lineRule="auto"/>
        <w:ind w:left="1080"/>
        <w:contextualSpacing/>
        <w:jc w:val="both"/>
        <w:rPr>
          <w:rFonts w:ascii="Times New Roman" w:eastAsia="Times New Roman" w:hAnsi="Times New Roman" w:cs="Times New Roman"/>
          <w:sz w:val="18"/>
          <w:szCs w:val="18"/>
        </w:rPr>
      </w:pPr>
    </w:p>
    <w:p w:rsidR="004D4221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509DF">
        <w:rPr>
          <w:rFonts w:ascii="Times New Roman" w:hAnsi="Times New Roman" w:cs="Times New Roman"/>
          <w:sz w:val="18"/>
          <w:szCs w:val="18"/>
        </w:rPr>
        <w:t xml:space="preserve">Predpokladaná doba používania, metóda odpisovania a odpisová sadzba sú uvedené v nasledujúcej tabuľke: </w:t>
      </w:r>
    </w:p>
    <w:p w:rsidR="004D4221" w:rsidRPr="00A509DF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tbl>
      <w:tblPr>
        <w:tblW w:w="8068" w:type="dxa"/>
        <w:tblInd w:w="1088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23"/>
        <w:gridCol w:w="1082"/>
        <w:gridCol w:w="2243"/>
        <w:gridCol w:w="1720"/>
      </w:tblGrid>
      <w:tr w:rsidR="004D4221" w:rsidRPr="00A509DF" w:rsidTr="00534404">
        <w:trPr>
          <w:cantSplit/>
          <w:trHeight w:val="169"/>
        </w:trPr>
        <w:tc>
          <w:tcPr>
            <w:tcW w:w="3023" w:type="dxa"/>
            <w:tcBorders>
              <w:bottom w:val="single" w:sz="4" w:space="0" w:color="auto"/>
            </w:tcBorders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2" w:type="dxa"/>
            <w:tcBorders>
              <w:bottom w:val="single" w:sz="4" w:space="0" w:color="auto"/>
            </w:tcBorders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2243" w:type="dxa"/>
            <w:tcBorders>
              <w:bottom w:val="single" w:sz="4" w:space="0" w:color="auto"/>
            </w:tcBorders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Metóda </w:t>
            </w: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20" w:type="dxa"/>
            <w:tcBorders>
              <w:bottom w:val="single" w:sz="4" w:space="0" w:color="auto"/>
            </w:tcBorders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t>Ročná odpisová</w:t>
            </w:r>
          </w:p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t>sadzba v %</w:t>
            </w:r>
          </w:p>
        </w:tc>
      </w:tr>
      <w:tr w:rsidR="004D4221" w:rsidRPr="00A509DF" w:rsidTr="00534404">
        <w:trPr>
          <w:cantSplit/>
          <w:trHeight w:val="169"/>
        </w:trPr>
        <w:tc>
          <w:tcPr>
            <w:tcW w:w="3023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Softvér</w:t>
            </w:r>
          </w:p>
        </w:tc>
        <w:tc>
          <w:tcPr>
            <w:tcW w:w="1082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2243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Rovnomerná</w:t>
            </w:r>
          </w:p>
        </w:tc>
        <w:tc>
          <w:tcPr>
            <w:tcW w:w="172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</w:p>
        </w:tc>
      </w:tr>
    </w:tbl>
    <w:p w:rsidR="004D4221" w:rsidRPr="00A509DF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A509DF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509DF">
        <w:rPr>
          <w:rFonts w:ascii="Times New Roman" w:hAnsi="Times New Roman" w:cs="Times New Roman"/>
          <w:sz w:val="18"/>
          <w:szCs w:val="18"/>
        </w:rPr>
        <w:t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zaraďuje na účty dlhodobého majetku a je odpisovaný v tej istej skupine ako hmotný majetok v obstarávacej cene nad 1 700 EUR. Limit pre zaradenie takéhoto majetku je výška obstarávacej ceny 700 EUR.</w:t>
      </w:r>
    </w:p>
    <w:p w:rsidR="004D4221" w:rsidRPr="00A509DF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A509DF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509DF">
        <w:rPr>
          <w:rFonts w:ascii="Times New Roman" w:hAnsi="Times New Roman" w:cs="Times New Roman"/>
          <w:sz w:val="18"/>
          <w:szCs w:val="18"/>
        </w:rPr>
        <w:t>Predpokladaná doba používania, metóda odpisovania a odpisová sadzba sú uvedené v nasledujúcej tabuľke:</w:t>
      </w:r>
    </w:p>
    <w:p w:rsidR="004D4221" w:rsidRPr="00A509DF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tbl>
      <w:tblPr>
        <w:tblW w:w="8020" w:type="dxa"/>
        <w:tblInd w:w="1088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90"/>
        <w:gridCol w:w="1710"/>
        <w:gridCol w:w="1710"/>
        <w:gridCol w:w="1710"/>
      </w:tblGrid>
      <w:tr w:rsidR="004D4221" w:rsidRPr="00A509DF" w:rsidTr="00534404">
        <w:trPr>
          <w:cantSplit/>
          <w:trHeight w:val="764"/>
        </w:trPr>
        <w:tc>
          <w:tcPr>
            <w:tcW w:w="2890" w:type="dxa"/>
            <w:tcBorders>
              <w:bottom w:val="single" w:sz="4" w:space="0" w:color="auto"/>
            </w:tcBorders>
          </w:tcPr>
          <w:p w:rsidR="004D4221" w:rsidRPr="00A509DF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Predpokladaná doba </w:t>
            </w: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10" w:type="dxa"/>
            <w:tcBorders>
              <w:bottom w:val="single" w:sz="4" w:space="0" w:color="auto"/>
            </w:tcBorders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Metóda </w:t>
            </w: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10" w:type="dxa"/>
            <w:tcBorders>
              <w:bottom w:val="single" w:sz="4" w:space="0" w:color="auto"/>
            </w:tcBorders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t>Ročná odpisová</w:t>
            </w:r>
          </w:p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t>sadzba v %</w:t>
            </w:r>
          </w:p>
        </w:tc>
      </w:tr>
      <w:tr w:rsidR="004D4221" w:rsidRPr="00A509DF" w:rsidTr="00534404">
        <w:trPr>
          <w:cantSplit/>
          <w:trHeight w:val="388"/>
        </w:trPr>
        <w:tc>
          <w:tcPr>
            <w:tcW w:w="289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Stavby</w:t>
            </w:r>
          </w:p>
        </w:tc>
        <w:tc>
          <w:tcPr>
            <w:tcW w:w="171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171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Rovnomerná</w:t>
            </w:r>
          </w:p>
        </w:tc>
        <w:tc>
          <w:tcPr>
            <w:tcW w:w="171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4D4221" w:rsidRPr="00A509DF" w:rsidTr="00534404">
        <w:trPr>
          <w:cantSplit/>
          <w:trHeight w:val="388"/>
        </w:trPr>
        <w:tc>
          <w:tcPr>
            <w:tcW w:w="289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Samostatný hnuteľný majetok</w:t>
            </w:r>
          </w:p>
        </w:tc>
        <w:tc>
          <w:tcPr>
            <w:tcW w:w="171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4-12</w:t>
            </w:r>
          </w:p>
        </w:tc>
        <w:tc>
          <w:tcPr>
            <w:tcW w:w="171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Rovnomerná</w:t>
            </w:r>
          </w:p>
        </w:tc>
        <w:tc>
          <w:tcPr>
            <w:tcW w:w="171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8,33-25</w:t>
            </w:r>
          </w:p>
        </w:tc>
      </w:tr>
    </w:tbl>
    <w:p w:rsidR="004D4221" w:rsidRDefault="004D4221" w:rsidP="005B3F07">
      <w:pPr>
        <w:pStyle w:val="Zkladntext"/>
        <w:ind w:left="0"/>
        <w:contextualSpacing/>
        <w:rPr>
          <w:szCs w:val="18"/>
        </w:rPr>
      </w:pP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Pohľadávky</w:t>
      </w:r>
    </w:p>
    <w:p w:rsidR="00377EF4" w:rsidRPr="00A21BB3" w:rsidRDefault="00377EF4" w:rsidP="00377EF4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Pohľadávky sa pri ich vzniku oceňujú ich menovitou hodnotou. Opravná položka sa vytvára k pochybným a nedobytným pohľadávkam, kde existuje riziko nevymožiteľnosti pohľadávok.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Finančné účty</w:t>
      </w:r>
    </w:p>
    <w:p w:rsidR="00377EF4" w:rsidRPr="00A21BB3" w:rsidRDefault="00377EF4" w:rsidP="00377EF4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Finančné účty tvorí peňažná hotovosť a zostatky na bankových účtoch, pričom riziko zmeny hodnoty tohto majetku je zanedbateľne nízke.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Náklady budúcich období a príjmy budúcich období</w:t>
      </w:r>
    </w:p>
    <w:p w:rsidR="00377EF4" w:rsidRPr="00A21BB3" w:rsidRDefault="00377EF4" w:rsidP="00377EF4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Náklady budúcich období a príjmy budúcich období sú vykázané vo výške, ktorá je potrebná na dodržanie zásady vecnej a časovej súvislosti s účtovným obdobím.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Zníženie hodnoty majetku a opravné položky</w:t>
      </w:r>
    </w:p>
    <w:p w:rsidR="00377EF4" w:rsidRPr="00A21BB3" w:rsidRDefault="00377EF4" w:rsidP="00377EF4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Záväzky</w:t>
      </w:r>
    </w:p>
    <w:p w:rsidR="0009542C" w:rsidRPr="00A21BB3" w:rsidRDefault="0009542C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Rezervy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736771" w:rsidRDefault="004D4221" w:rsidP="005B3F07">
      <w:pPr>
        <w:pStyle w:val="Zkladntext"/>
        <w:ind w:left="1080"/>
        <w:contextualSpacing/>
        <w:rPr>
          <w:b/>
          <w:szCs w:val="18"/>
        </w:rPr>
      </w:pPr>
      <w:r w:rsidRPr="00A21BB3">
        <w:rPr>
          <w:szCs w:val="18"/>
        </w:rPr>
        <w:t xml:space="preserve">Rezerva je záväzok </w:t>
      </w:r>
      <w:r w:rsidRPr="00736771">
        <w:rPr>
          <w:szCs w:val="18"/>
        </w:rPr>
        <w:t>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4D4221" w:rsidRPr="00736771" w:rsidRDefault="004D4221" w:rsidP="005B3F07">
      <w:pPr>
        <w:pStyle w:val="Zkladntext"/>
        <w:ind w:left="1080"/>
        <w:contextualSpacing/>
        <w:rPr>
          <w:b/>
          <w:szCs w:val="18"/>
        </w:rPr>
      </w:pPr>
    </w:p>
    <w:p w:rsidR="004D4221" w:rsidRPr="00736771" w:rsidRDefault="004D4221" w:rsidP="005B3F07">
      <w:pPr>
        <w:pStyle w:val="Zkladntext"/>
        <w:ind w:left="1080"/>
        <w:contextualSpacing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4D4221" w:rsidRPr="00736771" w:rsidRDefault="004D4221" w:rsidP="005B3F07">
      <w:pPr>
        <w:pStyle w:val="Zkladntext"/>
        <w:ind w:left="1080"/>
        <w:contextualSpacing/>
        <w:rPr>
          <w:b/>
          <w:szCs w:val="18"/>
        </w:rPr>
      </w:pPr>
    </w:p>
    <w:p w:rsidR="004D4221" w:rsidRDefault="004D4221" w:rsidP="005B3F07">
      <w:pPr>
        <w:pStyle w:val="Zkladntext"/>
        <w:ind w:left="1080"/>
        <w:contextualSpacing/>
        <w:rPr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4D4221" w:rsidRPr="00A21BB3" w:rsidRDefault="004D4221" w:rsidP="005B3F07">
      <w:pPr>
        <w:pStyle w:val="odstavec"/>
        <w:ind w:left="1734"/>
        <w:contextualSpacing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Zamestnanecké požitky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seseznamem"/>
        <w:spacing w:after="0" w:line="240" w:lineRule="auto"/>
        <w:ind w:left="1080"/>
        <w:jc w:val="both"/>
        <w:rPr>
          <w:rFonts w:ascii="Times New Roman" w:hAnsi="Times New Roman" w:cs="Times New Roman"/>
          <w:bCs/>
          <w:iCs/>
          <w:sz w:val="18"/>
          <w:szCs w:val="18"/>
          <w:lang w:eastAsia="sk-SK"/>
        </w:rPr>
      </w:pPr>
      <w:r w:rsidRPr="00A21BB3">
        <w:rPr>
          <w:rFonts w:ascii="Times New Roman" w:hAnsi="Times New Roman" w:cs="Times New Roman"/>
          <w:sz w:val="18"/>
          <w:szCs w:val="18"/>
        </w:rPr>
        <w:t>Platy, mzdy, príspevky do štátnych dôchodkových a poistných fondov, platená ročná dovolenka a platená zdravotná dovolenka, bonusy a ostatné nepeňažné požitky (napr. zdr</w:t>
      </w:r>
      <w:r>
        <w:rPr>
          <w:rFonts w:ascii="Times New Roman" w:hAnsi="Times New Roman" w:cs="Times New Roman"/>
          <w:sz w:val="18"/>
          <w:szCs w:val="18"/>
        </w:rPr>
        <w:t xml:space="preserve">avotná starostlivosť) sa účtujú </w:t>
      </w:r>
      <w:r w:rsidRPr="00A21BB3">
        <w:rPr>
          <w:rFonts w:ascii="Times New Roman" w:hAnsi="Times New Roman" w:cs="Times New Roman"/>
          <w:sz w:val="18"/>
          <w:szCs w:val="18"/>
        </w:rPr>
        <w:t xml:space="preserve">v účtovnom období, </w:t>
      </w:r>
      <w:r w:rsidRPr="00A21BB3">
        <w:rPr>
          <w:rFonts w:ascii="Times New Roman" w:hAnsi="Times New Roman" w:cs="Times New Roman"/>
          <w:bCs/>
          <w:iCs/>
          <w:sz w:val="18"/>
          <w:szCs w:val="18"/>
          <w:lang w:eastAsia="sk-SK"/>
        </w:rPr>
        <w:t>v ktorom ich zamestnanci Spoločnosti využili.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Odložené dane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Odložená daň z príjmu vyplýva z: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a)</w:t>
      </w:r>
      <w:r w:rsidRPr="00A21BB3">
        <w:rPr>
          <w:rFonts w:ascii="Times New Roman" w:hAnsi="Times New Roman" w:cs="Times New Roman"/>
          <w:sz w:val="18"/>
          <w:szCs w:val="18"/>
        </w:rPr>
        <w:tab/>
        <w:t xml:space="preserve">rozdielov medzi účtovnou hodnotou majetku a účtovnou hodnotou záväzkov vykázanou v súvahe </w:t>
      </w:r>
      <w:r w:rsidRPr="00A21BB3">
        <w:rPr>
          <w:rFonts w:ascii="Times New Roman" w:hAnsi="Times New Roman" w:cs="Times New Roman"/>
          <w:sz w:val="18"/>
          <w:szCs w:val="18"/>
        </w:rPr>
        <w:tab/>
        <w:t>a ich daňovou základňou,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b)</w:t>
      </w:r>
      <w:r w:rsidRPr="00A21BB3">
        <w:rPr>
          <w:rFonts w:ascii="Times New Roman" w:hAnsi="Times New Roman" w:cs="Times New Roman"/>
          <w:sz w:val="18"/>
          <w:szCs w:val="18"/>
        </w:rPr>
        <w:tab/>
        <w:t xml:space="preserve">možnosti umorovať daňovú stratu v budúcnosti, pod ktorou sa rozumie možnosť odpočítať daňovú </w:t>
      </w:r>
      <w:r w:rsidRPr="00A21BB3">
        <w:rPr>
          <w:rFonts w:ascii="Times New Roman" w:hAnsi="Times New Roman" w:cs="Times New Roman"/>
          <w:sz w:val="18"/>
          <w:szCs w:val="18"/>
        </w:rPr>
        <w:tab/>
        <w:t>stratu od základu dane v budúcnosti,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c)</w:t>
      </w:r>
      <w:r w:rsidRPr="00A21BB3">
        <w:rPr>
          <w:rFonts w:ascii="Times New Roman" w:hAnsi="Times New Roman" w:cs="Times New Roman"/>
          <w:sz w:val="18"/>
          <w:szCs w:val="18"/>
        </w:rPr>
        <w:tab/>
        <w:t>možnosti previesť nevyužité daňové odpočty a iné daňové nároky do budúcich období.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jc w:val="both"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seseznamem"/>
        <w:spacing w:after="0" w:line="240" w:lineRule="auto"/>
        <w:ind w:left="1080"/>
        <w:jc w:val="both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Odložená daňová pohľadávka sa účtuje iba do takej výšky, do akej je pravdepodobné, že bude možné dočasné rozdiely vyrovnať voči budúcemu základu dane.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jc w:val="both"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seseznamem"/>
        <w:spacing w:after="0" w:line="240" w:lineRule="auto"/>
        <w:ind w:left="1080"/>
        <w:jc w:val="both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Pri výpočte odloženej dane sa použije sadzba dane z príjmov, o ktorej sa predpokladá, že bude platiť v čase vyrovnania odloženej dane.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jc w:val="both"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seseznamem"/>
        <w:spacing w:after="0" w:line="240" w:lineRule="auto"/>
        <w:ind w:left="1080"/>
        <w:jc w:val="both"/>
        <w:rPr>
          <w:rFonts w:ascii="Times New Roman" w:hAnsi="Times New Roman" w:cs="Times New Roman"/>
          <w:sz w:val="18"/>
          <w:szCs w:val="18"/>
        </w:rPr>
      </w:pPr>
      <w:r w:rsidRPr="00A93562">
        <w:rPr>
          <w:rFonts w:ascii="Times New Roman" w:hAnsi="Times New Roman" w:cs="Times New Roman"/>
          <w:sz w:val="18"/>
          <w:szCs w:val="18"/>
        </w:rPr>
        <w:t>Spoločnosť sa rozhodla nevykázať odloženú daňovú pohľadávku z dôvodu, že nie je pravdepodobné, že si bude môcť uplatniť dočasné rozdiely v budúcnosti.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Výdavky budúcich období a výnosy budúcich období</w:t>
      </w:r>
    </w:p>
    <w:p w:rsidR="00714B19" w:rsidRPr="00A21BB3" w:rsidRDefault="00714B19" w:rsidP="00714B19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Výdavky budúcich období a výnosy budúcich období sú vykázané vo výške, ktorá je potrebná na dodržanie zásady vecnej a časovej súvislosti s účtovným obdobím.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Prenájom</w:t>
      </w:r>
    </w:p>
    <w:p w:rsidR="00714B19" w:rsidRPr="00A21BB3" w:rsidRDefault="00714B19" w:rsidP="00714B19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 xml:space="preserve">Operatívny leasing. </w:t>
      </w:r>
      <w:r w:rsidRPr="00A21BB3">
        <w:rPr>
          <w:rFonts w:ascii="Times New Roman" w:hAnsi="Times New Roman" w:cs="Times New Roman"/>
          <w:sz w:val="18"/>
          <w:szCs w:val="18"/>
        </w:rPr>
        <w:t>Prenájom majetku formou operatívneho leasingu sa účtuje do nákladov priebežne počas doby trvania leasingovej zmluvy.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Cudzia mena</w:t>
      </w:r>
    </w:p>
    <w:p w:rsidR="00714B19" w:rsidRPr="00A21BB3" w:rsidRDefault="00714B19" w:rsidP="00714B19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 xml:space="preserve">Majetok a záväzky vyjadrené v cudzej mene (okrem preddavkov prijatých a poskytnutých) sa prepočítavajú na eurá referenčným výmenným kurzom určeným a vyhláseným Európskou centrálnou bankou alebo Národnou bankou Slovenska v deň predchádzajúci dňu uskutočnenia účtovného prípadu alebo v deň, ku ktorému sa zostavuje účtovná závierka. Vzniknuté kurzové rozdiely sa účtujú s vplyvom na výsledok hospodárenia. </w:t>
      </w:r>
    </w:p>
    <w:p w:rsidR="004D4221" w:rsidRPr="00714B19" w:rsidRDefault="004D4221" w:rsidP="00714B19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Výnosy</w:t>
      </w:r>
    </w:p>
    <w:p w:rsidR="00714B19" w:rsidRPr="00A21BB3" w:rsidRDefault="00714B19" w:rsidP="00714B19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 xml:space="preserve">Výnosy sa vykazujú po odpočítaní dane z pridanej hodnoty, zliav a zrážok (rabaty, bonusy, skontá, dobropisy a pod.). Výnosové úroky sa účtujú rovnomerne v účtovných obdobiach, ktorých sa vecne a časovo týkajú. </w:t>
      </w: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 xml:space="preserve">Výnosy Spoločnosti tvoria najmä tržby  v oblasti nakladania so šrotom a odpadom pre priemyselné podniky. </w:t>
      </w:r>
    </w:p>
    <w:p w:rsidR="004D4221" w:rsidRDefault="004D4221" w:rsidP="005B3F07">
      <w:pPr>
        <w:pStyle w:val="Zkladntext"/>
        <w:ind w:left="0"/>
        <w:contextualSpacing/>
        <w:rPr>
          <w:b/>
          <w:i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5D1617">
        <w:rPr>
          <w:rFonts w:ascii="Times New Roman" w:hAnsi="Times New Roman" w:cs="Times New Roman"/>
          <w:b/>
          <w:sz w:val="18"/>
          <w:szCs w:val="18"/>
        </w:rPr>
        <w:t>Porovnateľné údaje</w:t>
      </w:r>
    </w:p>
    <w:p w:rsidR="00714B19" w:rsidRPr="005D1617" w:rsidRDefault="00714B19" w:rsidP="00714B19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5D1617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5D1617">
        <w:rPr>
          <w:rFonts w:ascii="Times New Roman" w:hAnsi="Times New Roman" w:cs="Times New Roman"/>
          <w:sz w:val="18"/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4D4221" w:rsidRPr="005D1617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28408E" w:rsidRDefault="004D4221" w:rsidP="005B3F07">
      <w:pPr>
        <w:pStyle w:val="odstavec"/>
        <w:ind w:left="1080"/>
        <w:contextualSpacing/>
        <w:rPr>
          <w:b/>
          <w:color w:val="0070C0"/>
          <w:szCs w:val="18"/>
        </w:rPr>
      </w:pPr>
      <w:r w:rsidRPr="005D1617">
        <w:rPr>
          <w:rFonts w:ascii="Times New Roman" w:hAnsi="Times New Roman" w:cs="Times New Roman"/>
          <w:sz w:val="18"/>
          <w:szCs w:val="18"/>
        </w:rPr>
        <w:t>V dôsledku zmeny zákona o dani z príjmov je rezerva na overenie účtovnej závierky k 31. decembru 2015 vykázaná ako krátkodobá ostatná rezerva, k 31. decembru 2014 ako krátkodobá zákonná rezerva.</w:t>
      </w:r>
      <w:r w:rsidRPr="00DD66D0">
        <w:rPr>
          <w:color w:val="0070C0"/>
          <w:szCs w:val="18"/>
        </w:rPr>
        <w:t xml:space="preserve"> </w:t>
      </w:r>
    </w:p>
    <w:p w:rsidR="004D4221" w:rsidRDefault="004D4221" w:rsidP="005B3F07">
      <w:pPr>
        <w:pStyle w:val="odstavec"/>
        <w:contextualSpacing/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5D1617">
        <w:rPr>
          <w:rFonts w:ascii="Times New Roman" w:hAnsi="Times New Roman" w:cs="Times New Roman"/>
          <w:b/>
          <w:sz w:val="18"/>
          <w:szCs w:val="18"/>
        </w:rPr>
        <w:t>Oprava chýb minulých období</w:t>
      </w:r>
    </w:p>
    <w:p w:rsidR="00714B19" w:rsidRPr="005D1617" w:rsidRDefault="00714B19" w:rsidP="00714B19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5D1617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5D1617">
        <w:rPr>
          <w:rFonts w:ascii="Times New Roman" w:hAnsi="Times New Roman" w:cs="Times New Roman"/>
          <w:sz w:val="18"/>
          <w:szCs w:val="18"/>
        </w:rPr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 w:rsidR="004D4221" w:rsidRPr="005D1617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5D1617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5D1617">
        <w:rPr>
          <w:rFonts w:ascii="Times New Roman" w:hAnsi="Times New Roman" w:cs="Times New Roman"/>
          <w:sz w:val="18"/>
          <w:szCs w:val="18"/>
        </w:rPr>
        <w:t>V roku 201</w:t>
      </w:r>
      <w:r w:rsidR="00714B19">
        <w:rPr>
          <w:rFonts w:ascii="Times New Roman" w:hAnsi="Times New Roman" w:cs="Times New Roman"/>
          <w:sz w:val="18"/>
          <w:szCs w:val="18"/>
        </w:rPr>
        <w:t>6</w:t>
      </w:r>
      <w:r w:rsidRPr="005D1617">
        <w:rPr>
          <w:rFonts w:ascii="Times New Roman" w:hAnsi="Times New Roman" w:cs="Times New Roman"/>
          <w:sz w:val="18"/>
          <w:szCs w:val="18"/>
        </w:rPr>
        <w:t xml:space="preserve"> Spoločnosť neúčtovala o oprave významných chýb minulých období. </w:t>
      </w:r>
    </w:p>
    <w:p w:rsidR="004D4221" w:rsidRDefault="004D4221" w:rsidP="005B3F07">
      <w:pPr>
        <w:pStyle w:val="NormalLeft"/>
        <w:spacing w:after="0"/>
        <w:contextualSpacing/>
        <w:rPr>
          <w:sz w:val="18"/>
          <w:szCs w:val="18"/>
        </w:rPr>
      </w:pPr>
    </w:p>
    <w:p w:rsidR="00AC1F77" w:rsidRDefault="00AC1F77" w:rsidP="005B3F07">
      <w:pPr>
        <w:pStyle w:val="NormalLeft"/>
        <w:spacing w:after="0"/>
        <w:contextualSpacing/>
        <w:rPr>
          <w:sz w:val="18"/>
          <w:szCs w:val="18"/>
        </w:rPr>
      </w:pPr>
    </w:p>
    <w:p w:rsidR="004D4221" w:rsidRPr="00A21BB3" w:rsidRDefault="004D4221" w:rsidP="005B3F07">
      <w:pPr>
        <w:pStyle w:val="odstavec"/>
        <w:numPr>
          <w:ilvl w:val="0"/>
          <w:numId w:val="1"/>
        </w:numPr>
        <w:ind w:firstLine="0"/>
        <w:contextualSpacing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INFORMÁCIE K POLOŽKÁM SÚVAHY A VÝKAZU ZISKOV A STRÁT</w:t>
      </w:r>
    </w:p>
    <w:p w:rsidR="004D4221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seseznamem"/>
        <w:numPr>
          <w:ilvl w:val="0"/>
          <w:numId w:val="5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Záväzky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35489D">
        <w:rPr>
          <w:rFonts w:ascii="Times New Roman" w:hAnsi="Times New Roman" w:cs="Times New Roman"/>
          <w:sz w:val="18"/>
          <w:szCs w:val="18"/>
        </w:rPr>
        <w:t>Štruktúra záväzkov (okrem záväzkov zo sociálneho fondu a odloženého daňového záväzku) podľa zostatkovej doby splatnosti je uvedená v nasledujúcom prehľade:</w:t>
      </w: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 xml:space="preserve"> </w:t>
      </w:r>
    </w:p>
    <w:tbl>
      <w:tblPr>
        <w:tblW w:w="8284" w:type="dxa"/>
        <w:tblInd w:w="80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40"/>
        <w:gridCol w:w="2118"/>
        <w:gridCol w:w="2126"/>
      </w:tblGrid>
      <w:tr w:rsidR="004D4221" w:rsidRPr="00A21BB3" w:rsidTr="00534404">
        <w:trPr>
          <w:trHeight w:val="227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21BB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 k 31.12.201</w:t>
            </w:r>
            <w:r w:rsidR="00AC1F7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 k 31.12.201</w:t>
            </w:r>
            <w:r w:rsidR="00AC1F7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</w:t>
            </w:r>
          </w:p>
        </w:tc>
      </w:tr>
      <w:tr w:rsidR="004D4221" w:rsidRPr="00A21BB3" w:rsidTr="00534404">
        <w:trPr>
          <w:cantSplit/>
          <w:trHeight w:hRule="exact" w:val="284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D4221" w:rsidRPr="00A21BB3" w:rsidTr="00534404">
        <w:trPr>
          <w:cantSplit/>
          <w:trHeight w:hRule="exact" w:val="284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D4221" w:rsidRPr="00A21BB3" w:rsidTr="00534404">
        <w:trPr>
          <w:cantSplit/>
          <w:trHeight w:hRule="exact" w:val="284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21BB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4D4221" w:rsidRPr="00A21BB3" w:rsidTr="00534404">
        <w:trPr>
          <w:cantSplit/>
          <w:trHeight w:hRule="exact" w:val="284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2E0AF4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5 519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A21BB3">
              <w:rPr>
                <w:rFonts w:ascii="Times New Roman" w:hAnsi="Times New Roman" w:cs="Times New Roman"/>
                <w:sz w:val="18"/>
                <w:szCs w:val="18"/>
              </w:rPr>
              <w:t xml:space="preserve">12 </w:t>
            </w:r>
            <w:r w:rsidR="00AC1F77">
              <w:rPr>
                <w:rFonts w:ascii="Times New Roman" w:hAnsi="Times New Roman" w:cs="Times New Roman"/>
                <w:sz w:val="18"/>
                <w:szCs w:val="18"/>
              </w:rPr>
              <w:t>983</w:t>
            </w:r>
          </w:p>
        </w:tc>
      </w:tr>
      <w:tr w:rsidR="004D4221" w:rsidRPr="00A21BB3" w:rsidTr="00714B19">
        <w:trPr>
          <w:cantSplit/>
          <w:trHeight w:hRule="exact" w:val="512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2E0AF4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43 224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4221" w:rsidRPr="00A21BB3" w:rsidRDefault="00AC1F77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1 681</w:t>
            </w:r>
          </w:p>
        </w:tc>
      </w:tr>
      <w:tr w:rsidR="004D4221" w:rsidRPr="00A21BB3" w:rsidTr="00534404">
        <w:trPr>
          <w:cantSplit/>
          <w:trHeight w:hRule="exact" w:val="284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21BB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4221" w:rsidRPr="00A21BB3" w:rsidRDefault="002E0AF4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48 743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D4221" w:rsidRPr="00A21BB3" w:rsidRDefault="00AC1F77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14 664</w:t>
            </w:r>
          </w:p>
        </w:tc>
      </w:tr>
    </w:tbl>
    <w:p w:rsidR="004D4221" w:rsidRDefault="004D4221" w:rsidP="005B3F07">
      <w:pPr>
        <w:pStyle w:val="Odstavecseseznamem"/>
        <w:spacing w:after="0" w:line="240" w:lineRule="auto"/>
        <w:ind w:left="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spacing w:after="0" w:line="240" w:lineRule="auto"/>
        <w:ind w:left="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spacing w:after="0" w:line="240" w:lineRule="auto"/>
        <w:ind w:left="0"/>
        <w:rPr>
          <w:rFonts w:ascii="Times New Roman" w:hAnsi="Times New Roman" w:cs="Times New Roman"/>
          <w:b/>
          <w:sz w:val="18"/>
          <w:szCs w:val="18"/>
        </w:rPr>
      </w:pPr>
    </w:p>
    <w:p w:rsidR="004D4221" w:rsidRPr="004C2AFB" w:rsidRDefault="004D4221" w:rsidP="005B3F07">
      <w:pPr>
        <w:pStyle w:val="Odstavecseseznamem"/>
        <w:numPr>
          <w:ilvl w:val="0"/>
          <w:numId w:val="1"/>
        </w:numPr>
        <w:spacing w:after="0" w:line="240" w:lineRule="auto"/>
        <w:ind w:firstLine="0"/>
        <w:rPr>
          <w:rFonts w:ascii="Times New Roman Bold" w:hAnsi="Times New Roman Bold" w:cs="Times New Roman"/>
          <w:b/>
          <w:caps/>
          <w:sz w:val="18"/>
          <w:szCs w:val="18"/>
        </w:rPr>
      </w:pPr>
      <w:r w:rsidRPr="004C2AFB">
        <w:rPr>
          <w:rFonts w:ascii="Times New Roman Bold" w:hAnsi="Times New Roman Bold" w:cs="Times New Roman"/>
          <w:b/>
          <w:caps/>
          <w:sz w:val="18"/>
          <w:szCs w:val="18"/>
        </w:rPr>
        <w:t>Informácie o iných aktívach a iných pasívach</w:t>
      </w:r>
    </w:p>
    <w:p w:rsidR="004D4221" w:rsidRPr="00215E89" w:rsidRDefault="004D4221" w:rsidP="005B3F07">
      <w:pPr>
        <w:pStyle w:val="Odstavecseseznamem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tblInd w:w="672" w:type="dxa"/>
        <w:tblCellMar>
          <w:left w:w="70" w:type="dxa"/>
          <w:right w:w="70" w:type="dxa"/>
        </w:tblCellMar>
        <w:tblLook w:val="04A0"/>
      </w:tblPr>
      <w:tblGrid>
        <w:gridCol w:w="3020"/>
        <w:gridCol w:w="2456"/>
        <w:gridCol w:w="2268"/>
      </w:tblGrid>
      <w:tr w:rsidR="004D4221" w:rsidRPr="00215E89" w:rsidTr="00534404">
        <w:trPr>
          <w:trHeight w:val="102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D4221" w:rsidRPr="00215E89" w:rsidRDefault="00D92A52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4D4221" w:rsidRPr="00215E89" w:rsidRDefault="00D92A52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 k 31.12.2015</w:t>
            </w:r>
          </w:p>
        </w:tc>
      </w:tr>
      <w:tr w:rsidR="004D4221" w:rsidRPr="00215E89" w:rsidTr="00534404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Prenajatý majetok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215E89" w:rsidRDefault="00D92A52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4221" w:rsidRPr="00215E89" w:rsidRDefault="00D92A52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270 27</w:t>
            </w:r>
            <w:r w:rsidR="004D4221"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D4221" w:rsidRPr="00215E89" w:rsidTr="00534404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Majetok v nájme (operatívny prenájom)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215E89" w:rsidRDefault="00D92A52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4221" w:rsidRPr="00215E89" w:rsidRDefault="00D92A52" w:rsidP="00D92A52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270 270</w:t>
            </w:r>
          </w:p>
        </w:tc>
      </w:tr>
      <w:tr w:rsidR="004D4221" w:rsidRPr="00215E89" w:rsidTr="00534404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Majetok prijatý do úschovy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D4221" w:rsidRPr="00215E89" w:rsidTr="00534404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Pohľadávky z derivátov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D4221" w:rsidRPr="00215E89" w:rsidTr="00534404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Záväzky z opcií derivátov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D4221" w:rsidRPr="00215E89" w:rsidTr="00534404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Odpísané pohľadávky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D4221" w:rsidRPr="00215E89" w:rsidTr="00534404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Pohľadávky z leasingu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D4221" w:rsidRPr="00215E89" w:rsidTr="00534404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Záväzky z leasingu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D4221" w:rsidRPr="00215E89" w:rsidTr="00534404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Iné položky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4221" w:rsidRPr="00215E89" w:rsidRDefault="004D4221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4D4221" w:rsidRDefault="004D4221" w:rsidP="00055BD1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  <w:bookmarkStart w:id="0" w:name="_GoBack"/>
      <w:bookmarkEnd w:id="0"/>
    </w:p>
    <w:sectPr w:rsidR="004D4221" w:rsidSect="006D4C7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3A18" w:rsidRDefault="00263A18" w:rsidP="00105A05">
      <w:pPr>
        <w:spacing w:after="0" w:line="240" w:lineRule="auto"/>
      </w:pPr>
      <w:r>
        <w:separator/>
      </w:r>
    </w:p>
  </w:endnote>
  <w:endnote w:type="continuationSeparator" w:id="0">
    <w:p w:rsidR="00263A18" w:rsidRDefault="00263A18" w:rsidP="00105A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53DE" w:rsidRDefault="006D4C75">
    <w:pPr>
      <w:pStyle w:val="Zpat"/>
    </w:pPr>
    <w:sdt>
      <w:sdtPr>
        <w:id w:val="-638497681"/>
        <w:docPartObj>
          <w:docPartGallery w:val="Page Numbers (Bottom of Page)"/>
          <w:docPartUnique/>
        </w:docPartObj>
      </w:sdtPr>
      <w:sdtContent>
        <w:r>
          <w:fldChar w:fldCharType="begin"/>
        </w:r>
        <w:r w:rsidR="00B553DE">
          <w:instrText>PAGE   \* MERGEFORMAT</w:instrText>
        </w:r>
        <w:r>
          <w:fldChar w:fldCharType="separate"/>
        </w:r>
        <w:r w:rsidR="00061B07">
          <w:rPr>
            <w:noProof/>
          </w:rPr>
          <w:t>1</w:t>
        </w:r>
        <w:r>
          <w:fldChar w:fldCharType="end"/>
        </w:r>
      </w:sdtContent>
    </w:sdt>
  </w:p>
  <w:p w:rsidR="00105A05" w:rsidRDefault="00105A05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3A18" w:rsidRDefault="00263A18" w:rsidP="00105A05">
      <w:pPr>
        <w:spacing w:after="0" w:line="240" w:lineRule="auto"/>
      </w:pPr>
      <w:r>
        <w:separator/>
      </w:r>
    </w:p>
  </w:footnote>
  <w:footnote w:type="continuationSeparator" w:id="0">
    <w:p w:rsidR="00263A18" w:rsidRDefault="00263A18" w:rsidP="00105A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723D" w:rsidRPr="00C416FC" w:rsidRDefault="0072723D" w:rsidP="0072723D">
    <w:pPr>
      <w:pStyle w:val="Zhlav"/>
      <w:tabs>
        <w:tab w:val="clear" w:pos="9072"/>
        <w:tab w:val="center" w:pos="4820"/>
        <w:tab w:val="right" w:pos="9213"/>
        <w:tab w:val="right" w:pos="10206"/>
      </w:tabs>
      <w:jc w:val="right"/>
      <w:rPr>
        <w:rFonts w:ascii="Times New Roman" w:hAnsi="Times New Roman" w:cs="Times New Roman"/>
        <w:sz w:val="18"/>
        <w:szCs w:val="18"/>
      </w:rPr>
    </w:pPr>
    <w:r>
      <w:rPr>
        <w:noProof/>
        <w:lang w:val="sk-SK" w:eastAsia="sk-SK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-429122</wp:posOffset>
          </wp:positionH>
          <wp:positionV relativeFrom="paragraph">
            <wp:posOffset>-222250</wp:posOffset>
          </wp:positionV>
          <wp:extent cx="2406902" cy="666750"/>
          <wp:effectExtent l="0" t="0" r="0" b="0"/>
          <wp:wrapThrough wrapText="bothSides">
            <wp:wrapPolygon edited="0">
              <wp:start x="0" y="0"/>
              <wp:lineTo x="0" y="20983"/>
              <wp:lineTo x="21372" y="20983"/>
              <wp:lineTo x="21372" y="0"/>
              <wp:lineTo x="0" y="0"/>
            </wp:wrapPolygon>
          </wp:wrapThrough>
          <wp:docPr id="2" name="Obrázek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ek 1" descr="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06902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anchor>
      </w:drawing>
    </w:r>
    <w:r w:rsidRPr="00C416FC">
      <w:rPr>
        <w:rFonts w:ascii="Times New Roman" w:hAnsi="Times New Roman" w:cs="Times New Roman"/>
        <w:sz w:val="18"/>
        <w:szCs w:val="18"/>
      </w:rPr>
      <w:t>Účtovná závierka pre malé účtovné jednotky</w:t>
    </w:r>
  </w:p>
  <w:p w:rsidR="0072723D" w:rsidRPr="00C416FC" w:rsidRDefault="0072723D" w:rsidP="0072723D">
    <w:pPr>
      <w:pStyle w:val="Zhlav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rFonts w:ascii="Times New Roman" w:hAnsi="Times New Roman" w:cs="Times New Roman"/>
        <w:sz w:val="18"/>
        <w:szCs w:val="18"/>
      </w:rPr>
    </w:pPr>
    <w:r w:rsidRPr="00C416FC">
      <w:rPr>
        <w:rFonts w:ascii="Times New Roman" w:hAnsi="Times New Roman" w:cs="Times New Roman"/>
        <w:b/>
        <w:bCs/>
        <w:sz w:val="18"/>
        <w:szCs w:val="18"/>
      </w:rPr>
      <w:tab/>
    </w:r>
    <w:r w:rsidRPr="00C416FC">
      <w:rPr>
        <w:rFonts w:ascii="Times New Roman" w:hAnsi="Times New Roman" w:cs="Times New Roman"/>
        <w:b/>
        <w:bCs/>
        <w:sz w:val="18"/>
        <w:szCs w:val="18"/>
      </w:rPr>
      <w:tab/>
      <w:t xml:space="preserve"> </w:t>
    </w:r>
    <w:r w:rsidRPr="00C416FC">
      <w:rPr>
        <w:rFonts w:ascii="Times New Roman" w:hAnsi="Times New Roman" w:cs="Times New Roman"/>
        <w:sz w:val="18"/>
        <w:szCs w:val="18"/>
      </w:rPr>
      <w:t>k</w:t>
    </w:r>
    <w:r w:rsidRPr="00C416FC">
      <w:rPr>
        <w:rFonts w:ascii="Times New Roman" w:hAnsi="Times New Roman" w:cs="Times New Roman"/>
        <w:b/>
        <w:bCs/>
        <w:sz w:val="18"/>
        <w:szCs w:val="18"/>
      </w:rPr>
      <w:t xml:space="preserve"> </w:t>
    </w:r>
    <w:r>
      <w:rPr>
        <w:rFonts w:ascii="Times New Roman" w:hAnsi="Times New Roman" w:cs="Times New Roman"/>
        <w:sz w:val="18"/>
        <w:szCs w:val="18"/>
      </w:rPr>
      <w:t>31. decembru 2016</w:t>
    </w:r>
  </w:p>
  <w:p w:rsidR="0072723D" w:rsidRPr="00C416FC" w:rsidRDefault="0072723D" w:rsidP="0072723D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="Times New Roman" w:hAnsi="Times New Roman" w:cs="Times New Roman"/>
        <w:sz w:val="18"/>
        <w:szCs w:val="18"/>
      </w:rPr>
    </w:pPr>
    <w:r w:rsidRPr="00C416FC">
      <w:rPr>
        <w:rFonts w:ascii="Times New Roman" w:hAnsi="Times New Roman" w:cs="Times New Roman"/>
        <w:sz w:val="18"/>
        <w:szCs w:val="18"/>
      </w:rPr>
      <w:tab/>
    </w:r>
    <w:r w:rsidRPr="00C416FC">
      <w:rPr>
        <w:rFonts w:ascii="Times New Roman" w:hAnsi="Times New Roman" w:cs="Times New Roman"/>
        <w:sz w:val="18"/>
        <w:szCs w:val="18"/>
      </w:rPr>
      <w:tab/>
    </w:r>
    <w:r w:rsidRPr="00C416FC">
      <w:rPr>
        <w:rFonts w:ascii="Times New Roman" w:hAnsi="Times New Roman" w:cs="Times New Roman"/>
        <w:sz w:val="18"/>
        <w:szCs w:val="18"/>
      </w:rPr>
      <w:tab/>
    </w:r>
  </w:p>
  <w:tbl>
    <w:tblPr>
      <w:tblW w:w="916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1682"/>
      <w:gridCol w:w="4781"/>
      <w:gridCol w:w="253"/>
      <w:gridCol w:w="253"/>
      <w:gridCol w:w="275"/>
      <w:gridCol w:w="273"/>
      <w:gridCol w:w="275"/>
      <w:gridCol w:w="273"/>
      <w:gridCol w:w="275"/>
      <w:gridCol w:w="273"/>
      <w:gridCol w:w="275"/>
      <w:gridCol w:w="273"/>
    </w:tblGrid>
    <w:tr w:rsidR="0072723D" w:rsidRPr="00C416FC" w:rsidTr="0072723D">
      <w:trPr>
        <w:trHeight w:hRule="exact" w:val="303"/>
      </w:trPr>
      <w:tc>
        <w:tcPr>
          <w:tcW w:w="168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2723D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ind w:right="-276"/>
            <w:rPr>
              <w:rFonts w:ascii="Times New Roman" w:hAnsi="Times New Roman" w:cs="Times New Roman"/>
              <w:sz w:val="18"/>
              <w:szCs w:val="18"/>
            </w:rPr>
          </w:pPr>
        </w:p>
        <w:p w:rsidR="00377EF4" w:rsidRDefault="00377EF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ind w:right="-276"/>
            <w:rPr>
              <w:rFonts w:ascii="Times New Roman" w:hAnsi="Times New Roman" w:cs="Times New Roman"/>
              <w:sz w:val="18"/>
              <w:szCs w:val="18"/>
            </w:rPr>
          </w:pPr>
        </w:p>
        <w:p w:rsidR="00377EF4" w:rsidRDefault="00377EF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ind w:right="-276"/>
            <w:rPr>
              <w:rFonts w:ascii="Times New Roman" w:hAnsi="Times New Roman" w:cs="Times New Roman"/>
              <w:sz w:val="18"/>
              <w:szCs w:val="18"/>
            </w:rPr>
          </w:pPr>
        </w:p>
        <w:p w:rsidR="00377EF4" w:rsidRDefault="00377EF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ind w:right="-276"/>
            <w:rPr>
              <w:rFonts w:ascii="Times New Roman" w:hAnsi="Times New Roman" w:cs="Times New Roman"/>
              <w:sz w:val="18"/>
              <w:szCs w:val="18"/>
            </w:rPr>
          </w:pPr>
        </w:p>
        <w:p w:rsidR="00377EF4" w:rsidRPr="00C416FC" w:rsidRDefault="00377EF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ind w:right="-276"/>
            <w:rPr>
              <w:rFonts w:ascii="Times New Roman" w:hAnsi="Times New Roman" w:cs="Times New Roman"/>
              <w:sz w:val="18"/>
              <w:szCs w:val="18"/>
            </w:rPr>
          </w:pPr>
        </w:p>
      </w:tc>
      <w:tc>
        <w:tcPr>
          <w:tcW w:w="4781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494"/>
              <w:tab w:val="right" w:pos="10348"/>
              <w:tab w:val="right" w:pos="10490"/>
            </w:tabs>
            <w:spacing w:line="276" w:lineRule="auto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 xml:space="preserve">                                             </w:t>
          </w:r>
          <w:r>
            <w:rPr>
              <w:rFonts w:ascii="Times New Roman" w:hAnsi="Times New Roman" w:cs="Times New Roman"/>
              <w:sz w:val="18"/>
              <w:szCs w:val="18"/>
            </w:rPr>
            <w:t xml:space="preserve">                     </w:t>
          </w:r>
          <w:r w:rsidRPr="00C416FC">
            <w:rPr>
              <w:rFonts w:ascii="Times New Roman" w:hAnsi="Times New Roman" w:cs="Times New Roman"/>
              <w:sz w:val="18"/>
              <w:szCs w:val="18"/>
            </w:rPr>
            <w:t xml:space="preserve">          </w:t>
          </w:r>
          <w:r>
            <w:rPr>
              <w:rFonts w:ascii="Times New Roman" w:hAnsi="Times New Roman" w:cs="Times New Roman"/>
              <w:sz w:val="18"/>
              <w:szCs w:val="18"/>
            </w:rPr>
            <w:t xml:space="preserve">                 IČO             I</w:t>
          </w:r>
          <w:r w:rsidRPr="00C416FC">
            <w:rPr>
              <w:rFonts w:ascii="Times New Roman" w:hAnsi="Times New Roman" w:cs="Times New Roman"/>
              <w:sz w:val="18"/>
              <w:szCs w:val="18"/>
            </w:rPr>
            <w:t>O</w:t>
          </w:r>
        </w:p>
      </w:tc>
      <w:tc>
        <w:tcPr>
          <w:tcW w:w="253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 xml:space="preserve">   </w:t>
          </w:r>
        </w:p>
      </w:tc>
      <w:tc>
        <w:tcPr>
          <w:tcW w:w="253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</w:p>
      </w:tc>
      <w:tc>
        <w:tcPr>
          <w:tcW w:w="27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  <w:lang w:val="en-US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4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5</w:t>
          </w:r>
        </w:p>
      </w:tc>
      <w:tc>
        <w:tcPr>
          <w:tcW w:w="27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4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0</w:t>
          </w:r>
        </w:p>
      </w:tc>
      <w:tc>
        <w:tcPr>
          <w:tcW w:w="27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6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8</w:t>
          </w:r>
        </w:p>
      </w:tc>
      <w:tc>
        <w:tcPr>
          <w:tcW w:w="27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8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0</w:t>
          </w:r>
        </w:p>
      </w:tc>
    </w:tr>
  </w:tbl>
  <w:p w:rsidR="0072723D" w:rsidRPr="00C416FC" w:rsidRDefault="0072723D" w:rsidP="0072723D">
    <w:pPr>
      <w:pStyle w:val="Zhlav"/>
      <w:tabs>
        <w:tab w:val="clear" w:pos="9072"/>
        <w:tab w:val="center" w:pos="4962"/>
        <w:tab w:val="right" w:pos="10348"/>
        <w:tab w:val="right" w:pos="10490"/>
      </w:tabs>
      <w:ind w:right="-1"/>
      <w:jc w:val="right"/>
      <w:rPr>
        <w:rFonts w:ascii="Times New Roman" w:hAnsi="Times New Roman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2723D" w:rsidRPr="00C416FC" w:rsidTr="008D161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rPr>
              <w:rFonts w:ascii="Times New Roman" w:hAnsi="Times New Roman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>7</w:t>
          </w:r>
        </w:p>
      </w:tc>
    </w:tr>
  </w:tbl>
  <w:p w:rsidR="0072723D" w:rsidRPr="00A21BB3" w:rsidRDefault="0072723D" w:rsidP="0072723D">
    <w:pPr>
      <w:pStyle w:val="Zhlav"/>
      <w:rPr>
        <w:rFonts w:ascii="Times New Roman" w:hAnsi="Times New Roman" w:cs="Times New Roman"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DF0156"/>
    <w:multiLevelType w:val="hybridMultilevel"/>
    <w:tmpl w:val="4AF03D7E"/>
    <w:lvl w:ilvl="0" w:tplc="8F064E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99F2870"/>
    <w:multiLevelType w:val="hybridMultilevel"/>
    <w:tmpl w:val="4BB8228C"/>
    <w:lvl w:ilvl="0" w:tplc="B8E4B7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9326411"/>
    <w:multiLevelType w:val="hybridMultilevel"/>
    <w:tmpl w:val="AFA24D9E"/>
    <w:lvl w:ilvl="0" w:tplc="0F58159E">
      <w:start w:val="85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D20052D"/>
    <w:multiLevelType w:val="hybridMultilevel"/>
    <w:tmpl w:val="909AD0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2850ED2"/>
    <w:multiLevelType w:val="hybridMultilevel"/>
    <w:tmpl w:val="2AB853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03F017D"/>
    <w:multiLevelType w:val="hybridMultilevel"/>
    <w:tmpl w:val="E18449F2"/>
    <w:lvl w:ilvl="0" w:tplc="37DC800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105A05"/>
    <w:rsid w:val="000328C4"/>
    <w:rsid w:val="000450C4"/>
    <w:rsid w:val="00055BD1"/>
    <w:rsid w:val="00061B07"/>
    <w:rsid w:val="0009542C"/>
    <w:rsid w:val="000A1F72"/>
    <w:rsid w:val="00105A05"/>
    <w:rsid w:val="001F2F6A"/>
    <w:rsid w:val="00263A18"/>
    <w:rsid w:val="002E0AF4"/>
    <w:rsid w:val="00377EF4"/>
    <w:rsid w:val="0038711A"/>
    <w:rsid w:val="004D4221"/>
    <w:rsid w:val="0056200B"/>
    <w:rsid w:val="00597C57"/>
    <w:rsid w:val="005B3F07"/>
    <w:rsid w:val="00661C29"/>
    <w:rsid w:val="006D4C75"/>
    <w:rsid w:val="00714B19"/>
    <w:rsid w:val="0072723D"/>
    <w:rsid w:val="00794F15"/>
    <w:rsid w:val="008965BC"/>
    <w:rsid w:val="008D161B"/>
    <w:rsid w:val="00A510E8"/>
    <w:rsid w:val="00AC1F77"/>
    <w:rsid w:val="00B553DE"/>
    <w:rsid w:val="00BA74BF"/>
    <w:rsid w:val="00BF1BA1"/>
    <w:rsid w:val="00D615F0"/>
    <w:rsid w:val="00D92A52"/>
    <w:rsid w:val="00E36D11"/>
    <w:rsid w:val="00EC229E"/>
    <w:rsid w:val="00FD1E25"/>
    <w:rsid w:val="00FF37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D4C7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105A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105A05"/>
  </w:style>
  <w:style w:type="paragraph" w:styleId="Zpat">
    <w:name w:val="footer"/>
    <w:basedOn w:val="Normln"/>
    <w:link w:val="ZpatChar"/>
    <w:uiPriority w:val="99"/>
    <w:unhideWhenUsed/>
    <w:rsid w:val="00105A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05A05"/>
  </w:style>
  <w:style w:type="paragraph" w:styleId="Odstavecseseznamem">
    <w:name w:val="List Paragraph"/>
    <w:basedOn w:val="Normln"/>
    <w:uiPriority w:val="34"/>
    <w:qFormat/>
    <w:rsid w:val="000A1F72"/>
    <w:pPr>
      <w:ind w:left="720"/>
      <w:contextualSpacing/>
    </w:pPr>
    <w:rPr>
      <w:lang w:val="sk-SK"/>
    </w:rPr>
  </w:style>
  <w:style w:type="paragraph" w:styleId="Zkladntext">
    <w:name w:val="Body Text"/>
    <w:basedOn w:val="Normln"/>
    <w:link w:val="ZkladntextChar"/>
    <w:rsid w:val="000A1F72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sk-SK"/>
    </w:rPr>
  </w:style>
  <w:style w:type="character" w:customStyle="1" w:styleId="ZkladntextChar">
    <w:name w:val="Základní text Char"/>
    <w:basedOn w:val="Standardnpsmoodstavce"/>
    <w:link w:val="Zkladntext"/>
    <w:rsid w:val="000A1F72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odstavec">
    <w:name w:val="odstavec"/>
    <w:basedOn w:val="Normln"/>
    <w:link w:val="odstavecChar"/>
    <w:autoRedefine/>
    <w:rsid w:val="004D4221"/>
    <w:pPr>
      <w:suppressAutoHyphens/>
      <w:spacing w:after="0" w:line="240" w:lineRule="auto"/>
      <w:ind w:left="426" w:right="-79"/>
      <w:jc w:val="both"/>
    </w:pPr>
    <w:rPr>
      <w:rFonts w:ascii="Arial" w:eastAsia="Times New Roman" w:hAnsi="Arial" w:cs="Arial"/>
      <w:bCs/>
      <w:iCs/>
      <w:sz w:val="20"/>
      <w:szCs w:val="20"/>
      <w:lang w:val="sk-SK" w:eastAsia="sk-SK"/>
    </w:rPr>
  </w:style>
  <w:style w:type="character" w:customStyle="1" w:styleId="odstavecChar">
    <w:name w:val="odstavec Char"/>
    <w:basedOn w:val="Standardnpsmoodstavce"/>
    <w:link w:val="odstavec"/>
    <w:rsid w:val="004D4221"/>
    <w:rPr>
      <w:rFonts w:ascii="Arial" w:eastAsia="Times New Roman" w:hAnsi="Arial" w:cs="Arial"/>
      <w:bCs/>
      <w:iCs/>
      <w:sz w:val="20"/>
      <w:szCs w:val="20"/>
      <w:lang w:val="sk-SK" w:eastAsia="sk-SK"/>
    </w:rPr>
  </w:style>
  <w:style w:type="paragraph" w:customStyle="1" w:styleId="NormalLeft">
    <w:name w:val="Normal Left"/>
    <w:basedOn w:val="Normln"/>
    <w:link w:val="NormalLeftChar"/>
    <w:uiPriority w:val="99"/>
    <w:rsid w:val="004D4221"/>
    <w:pPr>
      <w:spacing w:after="120" w:line="240" w:lineRule="auto"/>
      <w:ind w:left="624"/>
      <w:jc w:val="both"/>
    </w:pPr>
    <w:rPr>
      <w:rFonts w:ascii="Times New Roman" w:eastAsia="Times New Roman" w:hAnsi="Times New Roman" w:cs="Times New Roman"/>
      <w:szCs w:val="20"/>
      <w:lang w:val="sk-SK"/>
    </w:rPr>
  </w:style>
  <w:style w:type="character" w:customStyle="1" w:styleId="NormalLeftChar">
    <w:name w:val="Normal Left Char"/>
    <w:link w:val="NormalLeft"/>
    <w:uiPriority w:val="99"/>
    <w:locked/>
    <w:rsid w:val="004D4221"/>
    <w:rPr>
      <w:rFonts w:ascii="Times New Roman" w:eastAsia="Times New Roman" w:hAnsi="Times New Roman" w:cs="Times New Roman"/>
      <w:szCs w:val="20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3599C5-6DC0-4586-B2EB-85C3D2883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5</Pages>
  <Words>2007</Words>
  <Characters>11444</Characters>
  <Application>Microsoft Office Word</Application>
  <DocSecurity>0</DocSecurity>
  <Lines>95</Lines>
  <Paragraphs>26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Šušoliaková, Zuzana</dc:creator>
  <cp:lastModifiedBy>mjanos</cp:lastModifiedBy>
  <cp:revision>2</cp:revision>
  <dcterms:created xsi:type="dcterms:W3CDTF">2017-03-31T10:59:00Z</dcterms:created>
  <dcterms:modified xsi:type="dcterms:W3CDTF">2017-03-31T10:59:00Z</dcterms:modified>
</cp:coreProperties>
</file>