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512" w:rsidRDefault="00F12512">
      <w:pPr>
        <w:sectPr w:rsidR="00F12512" w:rsidSect="005568B1">
          <w:headerReference w:type="default" r:id="rId8"/>
          <w:footerReference w:type="default" r:id="rId9"/>
          <w:pgSz w:w="11906" w:h="16838"/>
          <w:pgMar w:top="1134" w:right="1418" w:bottom="1418" w:left="1418" w:header="1701" w:footer="709" w:gutter="0"/>
          <w:cols w:space="708"/>
          <w:docGrid w:linePitch="360"/>
        </w:sectPr>
      </w:pPr>
    </w:p>
    <w:p w:rsidR="005568B1" w:rsidRPr="00C729F8" w:rsidRDefault="005568B1" w:rsidP="006A5F8C">
      <w:pPr>
        <w:pStyle w:val="nadpisybytterm"/>
        <w:rPr>
          <w:sz w:val="24"/>
          <w:szCs w:val="24"/>
        </w:rPr>
      </w:pPr>
      <w:r>
        <w:lastRenderedPageBreak/>
        <w:t>OBSAH</w:t>
      </w:r>
      <w:r w:rsidRPr="00C729F8">
        <w:br/>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Príhovor predsedu predstavenstva</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3</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Profil spoločnosti</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4</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Premet činnosti</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5</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 xml:space="preserve">Štatutárne orgány </w:t>
      </w:r>
      <w:r w:rsidR="00DD3BB7">
        <w:rPr>
          <w:rFonts w:ascii="Arial" w:hAnsi="Arial" w:cs="Arial"/>
          <w:color w:val="171717" w:themeColor="background2" w:themeShade="1A"/>
          <w:sz w:val="24"/>
          <w:szCs w:val="24"/>
        </w:rPr>
        <w:t>a manažment</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6</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 xml:space="preserve">Organizačná štruktúra </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7</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 xml:space="preserve">Tepelné hospodárstvo </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 xml:space="preserve"> </w:t>
      </w:r>
      <w:r w:rsidR="00DD3BB7">
        <w:rPr>
          <w:rFonts w:ascii="Arial" w:hAnsi="Arial" w:cs="Arial"/>
          <w:color w:val="171717" w:themeColor="background2" w:themeShade="1A"/>
          <w:sz w:val="24"/>
          <w:szCs w:val="24"/>
        </w:rPr>
        <w:t>9</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 xml:space="preserve">Správcovská činnosť </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00DD3BB7">
        <w:rPr>
          <w:rFonts w:ascii="Arial" w:hAnsi="Arial" w:cs="Arial"/>
          <w:color w:val="171717" w:themeColor="background2" w:themeShade="1A"/>
          <w:sz w:val="24"/>
          <w:szCs w:val="24"/>
        </w:rPr>
        <w:t>16</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 xml:space="preserve">Personálna politika </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00DD3BB7">
        <w:rPr>
          <w:rFonts w:ascii="Arial" w:hAnsi="Arial" w:cs="Arial"/>
          <w:color w:val="171717" w:themeColor="background2" w:themeShade="1A"/>
          <w:sz w:val="24"/>
          <w:szCs w:val="24"/>
        </w:rPr>
        <w:t>19</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Ochrana životného prostredia</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00DD3BB7">
        <w:rPr>
          <w:rFonts w:ascii="Arial" w:hAnsi="Arial" w:cs="Arial"/>
          <w:color w:val="171717" w:themeColor="background2" w:themeShade="1A"/>
          <w:sz w:val="24"/>
          <w:szCs w:val="24"/>
        </w:rPr>
        <w:t>23</w:t>
      </w:r>
    </w:p>
    <w:p w:rsidR="005568B1" w:rsidRPr="009E7067" w:rsidRDefault="005568B1" w:rsidP="005568B1">
      <w:pPr>
        <w:rPr>
          <w:rFonts w:ascii="Arial" w:hAnsi="Arial" w:cs="Arial"/>
          <w:color w:val="171717" w:themeColor="background2" w:themeShade="1A"/>
          <w:sz w:val="24"/>
          <w:szCs w:val="24"/>
        </w:rPr>
      </w:pPr>
      <w:r w:rsidRPr="009E7067">
        <w:rPr>
          <w:rFonts w:ascii="Arial" w:hAnsi="Arial" w:cs="Arial"/>
          <w:color w:val="171717" w:themeColor="background2" w:themeShade="1A"/>
          <w:sz w:val="24"/>
          <w:szCs w:val="24"/>
        </w:rPr>
        <w:t>Vybrané ekonomické informácie</w:t>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r>
      <w:r w:rsidRPr="009E7067">
        <w:rPr>
          <w:rFonts w:ascii="Arial" w:hAnsi="Arial" w:cs="Arial"/>
          <w:color w:val="171717" w:themeColor="background2" w:themeShade="1A"/>
          <w:sz w:val="24"/>
          <w:szCs w:val="24"/>
        </w:rPr>
        <w:tab/>
        <w:t>2</w:t>
      </w:r>
      <w:r w:rsidR="00DD3BB7">
        <w:rPr>
          <w:rFonts w:ascii="Arial" w:hAnsi="Arial" w:cs="Arial"/>
          <w:color w:val="171717" w:themeColor="background2" w:themeShade="1A"/>
          <w:sz w:val="24"/>
          <w:szCs w:val="24"/>
        </w:rPr>
        <w:t>4</w:t>
      </w:r>
      <w:r w:rsidRPr="009E7067">
        <w:rPr>
          <w:rFonts w:ascii="Arial" w:hAnsi="Arial" w:cs="Arial"/>
          <w:color w:val="171717" w:themeColor="background2" w:themeShade="1A"/>
          <w:sz w:val="24"/>
          <w:szCs w:val="24"/>
        </w:rPr>
        <w:t xml:space="preserve">  </w:t>
      </w:r>
    </w:p>
    <w:p w:rsidR="00D92749" w:rsidRPr="00DE0F7B" w:rsidRDefault="00DE0F7B">
      <w:pPr>
        <w:rPr>
          <w:rFonts w:ascii="Arial" w:hAnsi="Arial" w:cs="Arial"/>
          <w:color w:val="171717" w:themeColor="background2" w:themeShade="1A"/>
          <w:sz w:val="24"/>
          <w:szCs w:val="24"/>
        </w:rPr>
      </w:pPr>
      <w:r w:rsidRPr="00DE0F7B">
        <w:rPr>
          <w:rFonts w:ascii="Arial" w:hAnsi="Arial" w:cs="Arial"/>
          <w:sz w:val="24"/>
          <w:szCs w:val="24"/>
        </w:rPr>
        <w:t>Účtovná závierka k 31.12.2016, Správa aud</w:t>
      </w:r>
      <w:r w:rsidR="000D2CF7">
        <w:rPr>
          <w:rFonts w:ascii="Arial" w:hAnsi="Arial" w:cs="Arial"/>
          <w:sz w:val="24"/>
          <w:szCs w:val="24"/>
        </w:rPr>
        <w:t>í</w:t>
      </w:r>
      <w:r w:rsidRPr="00DE0F7B">
        <w:rPr>
          <w:rFonts w:ascii="Arial" w:hAnsi="Arial" w:cs="Arial"/>
          <w:sz w:val="24"/>
          <w:szCs w:val="24"/>
        </w:rPr>
        <w:t>tora</w:t>
      </w:r>
      <w:r>
        <w:rPr>
          <w:rFonts w:ascii="Arial" w:hAnsi="Arial" w:cs="Arial"/>
          <w:sz w:val="24"/>
          <w:szCs w:val="24"/>
        </w:rPr>
        <w:t xml:space="preserve">                                                  36</w:t>
      </w:r>
    </w:p>
    <w:p w:rsidR="00DD3BB7" w:rsidRDefault="00DD3BB7"/>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Default="005568B1"/>
    <w:p w:rsidR="005568B1" w:rsidRPr="006A5F8C" w:rsidRDefault="005258DD" w:rsidP="006A5F8C">
      <w:pPr>
        <w:pStyle w:val="nadpisybytterm"/>
      </w:pPr>
      <w:r w:rsidRPr="006A5F8C">
        <w:lastRenderedPageBreak/>
        <w:t>PRÍ</w:t>
      </w:r>
      <w:r w:rsidR="005568B1" w:rsidRPr="006A5F8C">
        <w:t xml:space="preserve">HOVOR </w:t>
      </w:r>
      <w:r w:rsidR="005568B1" w:rsidRPr="006A5F8C">
        <w:rPr>
          <w:rStyle w:val="nadpisybyttermChar"/>
          <w:b/>
        </w:rPr>
        <w:t>PREDSEDU PREDSTAVENSTVA</w:t>
      </w:r>
    </w:p>
    <w:p w:rsidR="005568B1" w:rsidRPr="009E7067" w:rsidRDefault="005568B1" w:rsidP="005568B1">
      <w:pPr>
        <w:jc w:val="both"/>
        <w:rPr>
          <w:rFonts w:ascii="Arial" w:hAnsi="Arial" w:cs="Arial"/>
          <w:sz w:val="24"/>
          <w:szCs w:val="24"/>
        </w:rPr>
      </w:pPr>
      <w:r w:rsidRPr="009E7067">
        <w:rPr>
          <w:rFonts w:ascii="Arial" w:hAnsi="Arial" w:cs="Arial"/>
          <w:color w:val="171717" w:themeColor="background2" w:themeShade="1A"/>
          <w:sz w:val="24"/>
          <w:szCs w:val="24"/>
        </w:rPr>
        <w:t xml:space="preserve"> </w:t>
      </w:r>
      <w:r w:rsidRPr="009E7067">
        <w:rPr>
          <w:rFonts w:ascii="Arial" w:hAnsi="Arial" w:cs="Arial"/>
          <w:sz w:val="24"/>
          <w:szCs w:val="24"/>
        </w:rPr>
        <w:t xml:space="preserve">Vážení akcionári,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 xml:space="preserve">začiatkom roku 2017 uzavrieme tretí rok funkčného obdobia terajšieho predstavenstva a dozornej rady.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 xml:space="preserve">Predchádzajúce roky boli neľahké. Boli poznačené poklesom dodávok tepla pre našich klientov, hlavne do bytových domov, nakoľko dochádzalo k masívnemu zatepľovaniu budov a vyregulovaniu tepelných sústav. To malo značný vplyv na zníženie nášho hospodárskeho výsledku. Vedenie spoločnosti sa rozhodlo daný problém riešiť hľadaním nových aktivít a skvalitnením služieb. Hľadali sa také racionalizačné opatrenia, ktoré by mali len minimálny vplyv na zamestnanosť.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V minulom roku sme sa zapojili do súťaží o dodávateľa prác na výmenu rozvodov v obytných domoch (</w:t>
      </w:r>
      <w:r>
        <w:rPr>
          <w:rFonts w:ascii="Arial" w:hAnsi="Arial" w:cs="Arial"/>
          <w:sz w:val="24"/>
          <w:szCs w:val="24"/>
        </w:rPr>
        <w:t xml:space="preserve"> </w:t>
      </w:r>
      <w:r w:rsidRPr="009E7067">
        <w:rPr>
          <w:rFonts w:ascii="Arial" w:hAnsi="Arial" w:cs="Arial"/>
          <w:sz w:val="24"/>
          <w:szCs w:val="24"/>
        </w:rPr>
        <w:t>voda, elektrina, vzduchotechnika, plyn, kanalizácia</w:t>
      </w:r>
      <w:r>
        <w:rPr>
          <w:rFonts w:ascii="Arial" w:hAnsi="Arial" w:cs="Arial"/>
          <w:sz w:val="24"/>
          <w:szCs w:val="24"/>
        </w:rPr>
        <w:t xml:space="preserve"> </w:t>
      </w:r>
      <w:r w:rsidRPr="009E7067">
        <w:rPr>
          <w:rFonts w:ascii="Arial" w:hAnsi="Arial" w:cs="Arial"/>
          <w:sz w:val="24"/>
          <w:szCs w:val="24"/>
        </w:rPr>
        <w:t xml:space="preserve">). Napriek veľkej náročnosti na takúto činnosť sa Výrobná divízia chopila príležitosti a prejavilo sa to zlepšením hospodárskych výsledkov za celú akciovú spoločnosť, napriek poklesu výkonov a tržieb v Tepelnej divízií.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 xml:space="preserve">V predošlom roku sme ukončili prestavbu klientskeho centra v prízemí našej administratívnej budovy. Novo zrekonštruované centrum prinieslo našim klientom podstatne vylepšené podmienky pri vybavovaní si svojich záležitostí. Je opodstatnené predpokladať, že aj zo strany divízie Správy majetku dôjde v budúcom období k zvýšeniu výkonov a tržieb. Majú už na to vytvorené všetky predpoklady.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Z nedoriešených problémov máme spor o určenie vlastníctva pozemku pod administratívnou budovou. Spor je stále na Najvyššom súde.</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Taktiež došlo len k malému  posunu v hľadaní riešenia, ako zabezpečiť financovanie prestavby našich výmenníkových staníc z dôvodu, že Žilinská teplárenská prechádza z parného vykurovacieho média na horúco-vodné. Na vyriešenie tohto problému sme boli nútení požiadať o spoluprácu renomovanú právnickú firmu.</w:t>
      </w:r>
      <w:r>
        <w:rPr>
          <w:rFonts w:ascii="Arial" w:hAnsi="Arial" w:cs="Arial"/>
          <w:sz w:val="24"/>
          <w:szCs w:val="24"/>
        </w:rPr>
        <w:t xml:space="preserve"> </w:t>
      </w:r>
      <w:r w:rsidRPr="009E7067">
        <w:rPr>
          <w:rFonts w:ascii="Arial" w:hAnsi="Arial" w:cs="Arial"/>
          <w:sz w:val="24"/>
          <w:szCs w:val="24"/>
        </w:rPr>
        <w:t xml:space="preserve">Pevne verím, že spoločným úsilím sa nám podarí problém vyriešiť. Tvoríme totiž so Žilinskou teplárenskou jeden prepojený technologický celok v systéme centrálneho zásobovania teplom. Tento spôsob ako najefektívnejší, konečne začala podporovať aj naša národná ako aj miestna legislatíva. </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 xml:space="preserve">Na záver sa musím zmieniť aj o veľmi dobrých výsledkoch, ktoré dosahuje Tepelná divízia pri zásobovaní teplom vo veľkých blokových plynových kotolniach na sídlisku Hájik. Dosahujeme tam hodnoty faktoru primárnej energie na päte domu  </w:t>
      </w:r>
      <w:r>
        <w:rPr>
          <w:rFonts w:ascii="Arial" w:hAnsi="Arial" w:cs="Arial"/>
          <w:sz w:val="24"/>
          <w:szCs w:val="24"/>
        </w:rPr>
        <w:t xml:space="preserve">            </w:t>
      </w:r>
      <w:r w:rsidRPr="009E7067">
        <w:rPr>
          <w:rFonts w:ascii="Arial" w:hAnsi="Arial" w:cs="Arial"/>
          <w:sz w:val="24"/>
          <w:szCs w:val="24"/>
        </w:rPr>
        <w:t>( nový legislatívny ukazovateľ ) lepšie ako sa dosahujú hodnoty pri zásobovaní teplom z centrálneho zdroja. To nám poskytuje určitý stupeň ochrany pred pokusmi o odtrhnutie od nášho zásobovania teplom a taktiež usmerňuje úvahy o tom ako v prípade ďalšej výstavby na Hájiku pokračovať.</w:t>
      </w:r>
    </w:p>
    <w:p w:rsidR="005568B1" w:rsidRPr="009E7067" w:rsidRDefault="005568B1" w:rsidP="005568B1">
      <w:pPr>
        <w:ind w:firstLine="708"/>
        <w:jc w:val="both"/>
        <w:rPr>
          <w:rFonts w:ascii="Arial" w:hAnsi="Arial" w:cs="Arial"/>
          <w:sz w:val="24"/>
          <w:szCs w:val="24"/>
        </w:rPr>
      </w:pPr>
      <w:r w:rsidRPr="009E7067">
        <w:rPr>
          <w:rFonts w:ascii="Arial" w:hAnsi="Arial" w:cs="Arial"/>
          <w:sz w:val="24"/>
          <w:szCs w:val="24"/>
        </w:rPr>
        <w:t xml:space="preserve">Predpoklady na ďalší rozvoj našej spoločnosti sú vytvorené. Bude záležať len od vedenia a.s. ako budú v budúcich rokoch využité. </w:t>
      </w:r>
    </w:p>
    <w:p w:rsidR="005568B1" w:rsidRPr="000F34A8" w:rsidRDefault="005568B1" w:rsidP="005568B1">
      <w:pPr>
        <w:jc w:val="both"/>
        <w:rPr>
          <w:rFonts w:ascii="Times New Roman" w:hAnsi="Times New Roman" w:cs="Times New Roman"/>
          <w:i/>
          <w:sz w:val="26"/>
          <w:szCs w:val="26"/>
        </w:rPr>
      </w:pPr>
      <w:r w:rsidRPr="000F34A8">
        <w:rPr>
          <w:rFonts w:ascii="Times New Roman" w:hAnsi="Times New Roman" w:cs="Times New Roman"/>
          <w:i/>
          <w:sz w:val="26"/>
          <w:szCs w:val="26"/>
        </w:rPr>
        <w:t>Ing. Milan Kováč, predseda predstavenstva</w:t>
      </w:r>
    </w:p>
    <w:p w:rsidR="005568B1" w:rsidRPr="00FE449F" w:rsidRDefault="005568B1" w:rsidP="005258DD">
      <w:pPr>
        <w:pStyle w:val="nadpisybytterm"/>
      </w:pPr>
      <w:r w:rsidRPr="00FE449F">
        <w:lastRenderedPageBreak/>
        <w:t>PROFIL SPOLOČNOSTI</w:t>
      </w:r>
    </w:p>
    <w:p w:rsidR="005568B1" w:rsidRDefault="005568B1" w:rsidP="005568B1"/>
    <w:p w:rsidR="005568B1" w:rsidRPr="002D13A0" w:rsidRDefault="005568B1" w:rsidP="005568B1">
      <w:pPr>
        <w:jc w:val="both"/>
        <w:rPr>
          <w:rFonts w:ascii="Arial" w:hAnsi="Arial" w:cs="Arial"/>
          <w:sz w:val="24"/>
          <w:szCs w:val="24"/>
        </w:rPr>
      </w:pPr>
      <w:r w:rsidRPr="002D13A0">
        <w:rPr>
          <w:rFonts w:ascii="Arial" w:hAnsi="Arial" w:cs="Arial"/>
          <w:sz w:val="24"/>
          <w:szCs w:val="24"/>
        </w:rPr>
        <w:t>Spoločnosť BYTTERM, a.s. vznikla privatizáciou Podniku bytového hospodárstva, š.p. a mestského podniku Obnova Žilina – prevádzka Drevovýroba.</w:t>
      </w:r>
    </w:p>
    <w:p w:rsidR="005568B1" w:rsidRDefault="005568B1" w:rsidP="005568B1">
      <w:pPr>
        <w:rPr>
          <w:rFonts w:ascii="Times New Roman" w:hAnsi="Times New Roman" w:cs="Times New Roman"/>
        </w:rPr>
      </w:pPr>
    </w:p>
    <w:p w:rsidR="005568B1" w:rsidRPr="0052549A" w:rsidRDefault="005568B1" w:rsidP="005568B1">
      <w:pPr>
        <w:pBdr>
          <w:bottom w:val="single" w:sz="4" w:space="1" w:color="auto"/>
          <w:between w:val="single" w:sz="4" w:space="1" w:color="auto"/>
        </w:pBdr>
      </w:pPr>
      <w:r w:rsidRPr="00D327D4">
        <w:rPr>
          <w:rFonts w:ascii="Times New Roman" w:hAnsi="Times New Roman" w:cs="Times New Roman"/>
          <w:b/>
          <w:color w:val="538135" w:themeColor="accent6" w:themeShade="BF"/>
        </w:rPr>
        <w:t>Obchodné meno:</w:t>
      </w:r>
      <w:r w:rsidRPr="00D327D4">
        <w:rPr>
          <w:color w:val="538135" w:themeColor="accent6" w:themeShade="BF"/>
        </w:rPr>
        <w:t xml:space="preserve"> </w:t>
      </w:r>
      <w:r w:rsidRPr="00D327D4">
        <w:rPr>
          <w:color w:val="538135" w:themeColor="accent6" w:themeShade="BF"/>
        </w:rPr>
        <w:tab/>
      </w:r>
      <w:r w:rsidRPr="00D327D4">
        <w:rPr>
          <w:color w:val="538135" w:themeColor="accent6" w:themeShade="BF"/>
        </w:rPr>
        <w:tab/>
      </w:r>
      <w:r w:rsidRPr="00D327D4">
        <w:rPr>
          <w:color w:val="538135" w:themeColor="accent6" w:themeShade="BF"/>
        </w:rPr>
        <w:tab/>
      </w:r>
      <w:r w:rsidRPr="00D327D4">
        <w:rPr>
          <w:color w:val="538135" w:themeColor="accent6" w:themeShade="BF"/>
        </w:rPr>
        <w:tab/>
      </w:r>
      <w:r w:rsidRPr="00D327D4">
        <w:rPr>
          <w:rFonts w:ascii="Times New Roman" w:hAnsi="Times New Roman" w:cs="Times New Roman"/>
        </w:rPr>
        <w:t>BYTTERM, a.s.</w:t>
      </w:r>
      <w:r w:rsidRPr="0052549A">
        <w:t xml:space="preserve"> </w:t>
      </w:r>
    </w:p>
    <w:p w:rsidR="005568B1" w:rsidRDefault="005568B1" w:rsidP="005568B1">
      <w:pPr>
        <w:pBdr>
          <w:bottom w:val="single" w:sz="4" w:space="1" w:color="auto"/>
          <w:between w:val="single" w:sz="4" w:space="1" w:color="auto"/>
        </w:pBdr>
      </w:pPr>
      <w:r w:rsidRPr="002E767E">
        <w:rPr>
          <w:rFonts w:ascii="Times New Roman" w:hAnsi="Times New Roman" w:cs="Times New Roman"/>
          <w:b/>
          <w:color w:val="538135" w:themeColor="accent6" w:themeShade="BF"/>
        </w:rPr>
        <w:t>Sídlo:</w:t>
      </w:r>
      <w:r>
        <w:t xml:space="preserve"> </w:t>
      </w:r>
      <w:r>
        <w:tab/>
      </w:r>
      <w:r w:rsidRPr="00E636A2">
        <w:rPr>
          <w:color w:val="538135" w:themeColor="accent6" w:themeShade="BF"/>
        </w:rPr>
        <w:tab/>
      </w:r>
      <w:r>
        <w:tab/>
      </w:r>
      <w:r>
        <w:tab/>
      </w:r>
      <w:r>
        <w:tab/>
      </w:r>
      <w:r>
        <w:tab/>
      </w:r>
      <w:r w:rsidRPr="002E767E">
        <w:rPr>
          <w:rFonts w:ascii="Times New Roman" w:hAnsi="Times New Roman" w:cs="Times New Roman"/>
        </w:rPr>
        <w:t>Saleziánska 4, 010 77 Žilina</w:t>
      </w:r>
      <w:r>
        <w:t xml:space="preserve"> </w:t>
      </w:r>
    </w:p>
    <w:p w:rsidR="005568B1" w:rsidRDefault="005568B1" w:rsidP="005568B1">
      <w:pPr>
        <w:pBdr>
          <w:bottom w:val="single" w:sz="4" w:space="1" w:color="auto"/>
          <w:between w:val="single" w:sz="4" w:space="1" w:color="auto"/>
        </w:pBdr>
      </w:pPr>
      <w:r w:rsidRPr="002E767E">
        <w:rPr>
          <w:rFonts w:ascii="Times New Roman" w:hAnsi="Times New Roman" w:cs="Times New Roman"/>
          <w:b/>
          <w:color w:val="538135" w:themeColor="accent6" w:themeShade="BF"/>
        </w:rPr>
        <w:t>IČO:</w:t>
      </w:r>
      <w:r>
        <w:t xml:space="preserve"> </w:t>
      </w:r>
      <w:r>
        <w:tab/>
      </w:r>
      <w:r>
        <w:tab/>
      </w:r>
      <w:r>
        <w:tab/>
      </w:r>
      <w:r>
        <w:tab/>
      </w:r>
      <w:r>
        <w:tab/>
      </w:r>
      <w:r>
        <w:tab/>
      </w:r>
      <w:r w:rsidRPr="002E767E">
        <w:rPr>
          <w:rFonts w:ascii="Times New Roman" w:hAnsi="Times New Roman" w:cs="Times New Roman"/>
        </w:rPr>
        <w:t>31 584 705</w:t>
      </w:r>
      <w:r>
        <w:t xml:space="preserve"> </w:t>
      </w:r>
    </w:p>
    <w:p w:rsidR="005568B1" w:rsidRPr="002E767E" w:rsidRDefault="005568B1" w:rsidP="005568B1">
      <w:pPr>
        <w:pBdr>
          <w:bottom w:val="single" w:sz="4" w:space="1" w:color="auto"/>
          <w:between w:val="single" w:sz="4" w:space="1" w:color="auto"/>
        </w:pBdr>
        <w:rPr>
          <w:rFonts w:ascii="Times New Roman" w:hAnsi="Times New Roman" w:cs="Times New Roman"/>
        </w:rPr>
      </w:pPr>
      <w:r w:rsidRPr="002E767E">
        <w:rPr>
          <w:rFonts w:ascii="Times New Roman" w:hAnsi="Times New Roman" w:cs="Times New Roman"/>
          <w:b/>
          <w:color w:val="538135" w:themeColor="accent6" w:themeShade="BF"/>
        </w:rPr>
        <w:t>Deň zápisu do Obchodného registra:</w:t>
      </w:r>
      <w:r w:rsidRPr="002E767E">
        <w:rPr>
          <w:color w:val="538135" w:themeColor="accent6" w:themeShade="BF"/>
        </w:rPr>
        <w:t xml:space="preserve"> </w:t>
      </w:r>
      <w:r>
        <w:rPr>
          <w:color w:val="538135" w:themeColor="accent6" w:themeShade="BF"/>
        </w:rPr>
        <w:tab/>
      </w:r>
      <w:r>
        <w:rPr>
          <w:color w:val="538135" w:themeColor="accent6" w:themeShade="BF"/>
        </w:rPr>
        <w:tab/>
      </w:r>
      <w:r w:rsidRPr="002E767E">
        <w:rPr>
          <w:rFonts w:ascii="Times New Roman" w:hAnsi="Times New Roman" w:cs="Times New Roman"/>
        </w:rPr>
        <w:t xml:space="preserve">01.04.1993 </w:t>
      </w:r>
    </w:p>
    <w:p w:rsidR="005568B1" w:rsidRDefault="005568B1" w:rsidP="005568B1">
      <w:pPr>
        <w:pBdr>
          <w:bottom w:val="single" w:sz="4" w:space="1" w:color="auto"/>
          <w:between w:val="single" w:sz="4" w:space="1" w:color="auto"/>
        </w:pBdr>
      </w:pPr>
      <w:r w:rsidRPr="002E767E">
        <w:rPr>
          <w:rFonts w:ascii="Times New Roman" w:hAnsi="Times New Roman" w:cs="Times New Roman"/>
          <w:b/>
          <w:color w:val="538135" w:themeColor="accent6" w:themeShade="BF"/>
        </w:rPr>
        <w:t>Právna forma:</w:t>
      </w:r>
      <w:r>
        <w:t xml:space="preserve"> </w:t>
      </w:r>
      <w:r>
        <w:tab/>
      </w:r>
      <w:r>
        <w:tab/>
      </w:r>
      <w:r>
        <w:tab/>
      </w:r>
      <w:r>
        <w:tab/>
      </w:r>
      <w:r w:rsidRPr="002E767E">
        <w:rPr>
          <w:rFonts w:ascii="Times New Roman" w:hAnsi="Times New Roman" w:cs="Times New Roman"/>
        </w:rPr>
        <w:t>akciová spoločnosť</w:t>
      </w:r>
      <w:r>
        <w:t xml:space="preserve"> </w:t>
      </w:r>
    </w:p>
    <w:p w:rsidR="005568B1" w:rsidRDefault="005568B1" w:rsidP="005568B1">
      <w:pPr>
        <w:pBdr>
          <w:bottom w:val="single" w:sz="4" w:space="1" w:color="auto"/>
          <w:between w:val="single" w:sz="4" w:space="1" w:color="auto"/>
        </w:pBdr>
      </w:pPr>
      <w:r w:rsidRPr="002E767E">
        <w:rPr>
          <w:rFonts w:ascii="Times New Roman" w:hAnsi="Times New Roman" w:cs="Times New Roman"/>
          <w:b/>
          <w:color w:val="538135" w:themeColor="accent6" w:themeShade="BF"/>
        </w:rPr>
        <w:t>Zapísaná v:</w:t>
      </w:r>
      <w:r>
        <w:t xml:space="preserve"> </w:t>
      </w:r>
      <w:r>
        <w:tab/>
      </w:r>
      <w:r>
        <w:tab/>
      </w:r>
      <w:r>
        <w:tab/>
      </w:r>
      <w:r>
        <w:tab/>
      </w:r>
      <w:r>
        <w:tab/>
      </w:r>
      <w:r w:rsidRPr="002E767E">
        <w:rPr>
          <w:rFonts w:ascii="Times New Roman" w:hAnsi="Times New Roman" w:cs="Times New Roman"/>
        </w:rPr>
        <w:t xml:space="preserve">Obchodnom registri </w:t>
      </w:r>
      <w:r>
        <w:rPr>
          <w:rFonts w:ascii="Times New Roman" w:hAnsi="Times New Roman" w:cs="Times New Roman"/>
        </w:rPr>
        <w:t>OS</w:t>
      </w:r>
      <w:r w:rsidRPr="002E767E">
        <w:rPr>
          <w:rFonts w:ascii="Times New Roman" w:hAnsi="Times New Roman" w:cs="Times New Roman"/>
        </w:rPr>
        <w:t xml:space="preserve"> Žilina, v odd.: Sa, vl</w:t>
      </w:r>
      <w:r>
        <w:rPr>
          <w:rFonts w:ascii="Times New Roman" w:hAnsi="Times New Roman" w:cs="Times New Roman"/>
        </w:rPr>
        <w:t>.</w:t>
      </w:r>
      <w:r w:rsidRPr="002E767E">
        <w:rPr>
          <w:rFonts w:ascii="Times New Roman" w:hAnsi="Times New Roman" w:cs="Times New Roman"/>
        </w:rPr>
        <w:t xml:space="preserve"> č.:156/L</w:t>
      </w:r>
      <w:r>
        <w:t xml:space="preserve"> </w:t>
      </w:r>
    </w:p>
    <w:p w:rsidR="005568B1" w:rsidRDefault="005568B1"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color w:val="538135" w:themeColor="accent6" w:themeShade="BF"/>
        </w:rPr>
        <w:t>Základné imanie</w:t>
      </w:r>
      <w:r w:rsidRPr="002E767E">
        <w:rPr>
          <w:rFonts w:ascii="Times New Roman" w:hAnsi="Times New Roman" w:cs="Times New Roman"/>
          <w:b/>
          <w:color w:val="538135" w:themeColor="accent6" w:themeShade="BF"/>
        </w:rPr>
        <w:t>:</w:t>
      </w:r>
      <w:r>
        <w:t xml:space="preserve"> </w:t>
      </w:r>
      <w:r>
        <w:tab/>
      </w:r>
      <w:r>
        <w:tab/>
      </w:r>
      <w:r>
        <w:tab/>
      </w:r>
      <w:r>
        <w:tab/>
      </w:r>
      <w:r>
        <w:rPr>
          <w:rFonts w:ascii="Times New Roman" w:hAnsi="Times New Roman" w:cs="Times New Roman"/>
        </w:rPr>
        <w:t>225 760</w:t>
      </w:r>
      <w:r w:rsidRPr="002E767E">
        <w:rPr>
          <w:rFonts w:ascii="Times New Roman" w:hAnsi="Times New Roman" w:cs="Times New Roman"/>
        </w:rPr>
        <w:t xml:space="preserve"> €</w:t>
      </w:r>
    </w:p>
    <w:p w:rsidR="005568B1" w:rsidRPr="00FE449F" w:rsidRDefault="005568B1" w:rsidP="005568B1">
      <w:pPr>
        <w:rPr>
          <w:rFonts w:ascii="Arial" w:hAnsi="Arial" w:cs="Arial"/>
          <w:color w:val="538135" w:themeColor="accent6" w:themeShade="BF"/>
        </w:rPr>
      </w:pPr>
    </w:p>
    <w:p w:rsidR="005568B1" w:rsidRPr="00FE449F" w:rsidRDefault="005568B1" w:rsidP="005568B1">
      <w:pPr>
        <w:rPr>
          <w:rFonts w:ascii="Arial" w:hAnsi="Arial" w:cs="Arial"/>
          <w:smallCaps/>
          <w:color w:val="538135" w:themeColor="accent6" w:themeShade="BF"/>
          <w:sz w:val="36"/>
          <w:szCs w:val="36"/>
        </w:rPr>
      </w:pPr>
      <w:r w:rsidRPr="00FE449F">
        <w:rPr>
          <w:rFonts w:ascii="Arial" w:hAnsi="Arial" w:cs="Arial"/>
          <w:smallCaps/>
          <w:color w:val="538135" w:themeColor="accent6" w:themeShade="BF"/>
          <w:sz w:val="36"/>
          <w:szCs w:val="36"/>
        </w:rPr>
        <w:t>vlastnícka štruktúra</w:t>
      </w:r>
    </w:p>
    <w:p w:rsidR="005568B1" w:rsidRPr="002D13A0" w:rsidRDefault="005568B1" w:rsidP="005568B1">
      <w:pPr>
        <w:jc w:val="both"/>
        <w:rPr>
          <w:rFonts w:ascii="Arial" w:hAnsi="Arial" w:cs="Arial"/>
          <w:color w:val="000000" w:themeColor="text1"/>
          <w:sz w:val="24"/>
          <w:szCs w:val="24"/>
        </w:rPr>
      </w:pPr>
      <w:r w:rsidRPr="002D13A0">
        <w:rPr>
          <w:rFonts w:ascii="Arial" w:hAnsi="Arial" w:cs="Arial"/>
          <w:color w:val="000000" w:themeColor="text1"/>
          <w:sz w:val="24"/>
          <w:szCs w:val="24"/>
        </w:rPr>
        <w:t xml:space="preserve">Akcionármi spoločnosti sú jej súčasní a bývalí zamestnanci alebo ich najbližší rodinní príslušníci, ktorí akcie získali dedením alebo prevodom. K 31.12.2016 vlastnia akcionári spolu 680 ks akcií v nominálnej hodnote 332 </w:t>
      </w:r>
      <w:r w:rsidRPr="002D13A0">
        <w:rPr>
          <w:rFonts w:ascii="Arial" w:hAnsi="Arial" w:cs="Arial"/>
          <w:sz w:val="24"/>
          <w:szCs w:val="24"/>
        </w:rPr>
        <w:t>€</w:t>
      </w:r>
      <w:r w:rsidRPr="002D13A0">
        <w:rPr>
          <w:rFonts w:ascii="Arial" w:hAnsi="Arial" w:cs="Arial"/>
          <w:color w:val="000000" w:themeColor="text1"/>
          <w:sz w:val="24"/>
          <w:szCs w:val="24"/>
        </w:rPr>
        <w:t>, z toho spoločnosť BYTTERM, a.s. vlastní 1 ks akcií (vlastné akcie) a ostatní akcionári 679 ks akcií. Ide o listinné cenné papiere na meno, ktoré nie sú verejne obchodovateľné.</w:t>
      </w:r>
    </w:p>
    <w:p w:rsidR="005568B1" w:rsidRDefault="005568B1" w:rsidP="005568B1">
      <w:pPr>
        <w:jc w:val="both"/>
        <w:rPr>
          <w:rFonts w:ascii="Times New Roman" w:hAnsi="Times New Roman" w:cs="Times New Roman"/>
          <w:color w:val="000000" w:themeColor="text1"/>
          <w:sz w:val="24"/>
          <w:szCs w:val="24"/>
        </w:rPr>
      </w:pPr>
    </w:p>
    <w:p w:rsidR="005568B1" w:rsidRPr="00103C8C" w:rsidRDefault="005568B1" w:rsidP="005568B1">
      <w:pPr>
        <w:pStyle w:val="Import38"/>
        <w:tabs>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s>
        <w:jc w:val="both"/>
        <w:rPr>
          <w:rFonts w:ascii="Arial" w:hAnsi="Arial"/>
          <w:smallCaps/>
          <w:sz w:val="20"/>
          <w:lang w:val="sk-SK"/>
          <w14:shadow w14:blurRad="50800" w14:dist="38100" w14:dir="2700000" w14:sx="100000" w14:sy="100000" w14:kx="0" w14:ky="0" w14:algn="tl">
            <w14:srgbClr w14:val="000000">
              <w14:alpha w14:val="60000"/>
            </w14:srgbClr>
          </w14:shadow>
        </w:rPr>
      </w:pPr>
      <w:r w:rsidRPr="00103C8C">
        <w:rPr>
          <w:rFonts w:ascii="Arial" w:hAnsi="Arial"/>
          <w:smallCaps/>
          <w:sz w:val="20"/>
          <w:lang w:val="sk-SK"/>
          <w14:shadow w14:blurRad="50800" w14:dist="38100" w14:dir="2700000" w14:sx="100000" w14:sy="100000" w14:kx="0" w14:ky="0" w14:algn="tl">
            <w14:srgbClr w14:val="000000">
              <w14:alpha w14:val="60000"/>
            </w14:srgbClr>
          </w14:shadow>
        </w:rPr>
        <w:t xml:space="preserve">Rozdelenie akcií </w:t>
      </w:r>
    </w:p>
    <w:tbl>
      <w:tblPr>
        <w:tblW w:w="0" w:type="auto"/>
        <w:tblLayout w:type="fixed"/>
        <w:tblCellMar>
          <w:left w:w="30" w:type="dxa"/>
          <w:right w:w="30" w:type="dxa"/>
        </w:tblCellMar>
        <w:tblLook w:val="0000" w:firstRow="0" w:lastRow="0" w:firstColumn="0" w:lastColumn="0" w:noHBand="0" w:noVBand="0"/>
      </w:tblPr>
      <w:tblGrid>
        <w:gridCol w:w="648"/>
        <w:gridCol w:w="1281"/>
        <w:gridCol w:w="709"/>
        <w:gridCol w:w="1275"/>
        <w:gridCol w:w="709"/>
        <w:gridCol w:w="1276"/>
        <w:gridCol w:w="709"/>
        <w:gridCol w:w="1376"/>
      </w:tblGrid>
      <w:tr w:rsidR="005568B1" w:rsidRPr="00D7176D" w:rsidTr="005568B1">
        <w:trPr>
          <w:trHeight w:val="221"/>
        </w:trPr>
        <w:tc>
          <w:tcPr>
            <w:tcW w:w="648" w:type="dxa"/>
            <w:tcBorders>
              <w:top w:val="single" w:sz="6" w:space="0" w:color="auto"/>
              <w:left w:val="single" w:sz="6" w:space="0" w:color="auto"/>
              <w:right w:val="single" w:sz="6" w:space="0" w:color="auto"/>
            </w:tcBorders>
            <w:shd w:val="solid" w:color="C0C0C0" w:fill="auto"/>
          </w:tcPr>
          <w:p w:rsidR="005568B1" w:rsidRPr="009B096F" w:rsidRDefault="005568B1" w:rsidP="005568B1">
            <w:pPr>
              <w:jc w:val="center"/>
              <w:rPr>
                <w:rFonts w:ascii="Book Antiqua" w:hAnsi="Book Antiqua"/>
                <w:snapToGrid w:val="0"/>
              </w:rPr>
            </w:pPr>
            <w:r w:rsidRPr="009B096F">
              <w:rPr>
                <w:rFonts w:ascii="Book Antiqua" w:hAnsi="Book Antiqua"/>
                <w:snapToGrid w:val="0"/>
              </w:rPr>
              <w:t>Počet</w:t>
            </w:r>
          </w:p>
        </w:tc>
        <w:tc>
          <w:tcPr>
            <w:tcW w:w="1281" w:type="dxa"/>
            <w:tcBorders>
              <w:top w:val="single" w:sz="6" w:space="0" w:color="auto"/>
              <w:left w:val="sing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1275" w:type="dxa"/>
            <w:tcBorders>
              <w:top w:val="single" w:sz="6" w:space="0" w:color="auto"/>
              <w:left w:val="sing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1276" w:type="dxa"/>
            <w:tcBorders>
              <w:top w:val="single" w:sz="6" w:space="0" w:color="auto"/>
              <w:left w:val="sing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709" w:type="dxa"/>
            <w:tcBorders>
              <w:top w:val="single" w:sz="6" w:space="0" w:color="auto"/>
              <w:left w:val="sing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c>
          <w:tcPr>
            <w:tcW w:w="1376" w:type="dxa"/>
            <w:tcBorders>
              <w:top w:val="single" w:sz="6" w:space="0" w:color="auto"/>
              <w:left w:val="sing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Počet</w:t>
            </w:r>
          </w:p>
        </w:tc>
      </w:tr>
      <w:tr w:rsidR="005568B1" w:rsidRPr="00D7176D" w:rsidTr="005568B1">
        <w:trPr>
          <w:trHeight w:val="235"/>
        </w:trPr>
        <w:tc>
          <w:tcPr>
            <w:tcW w:w="648" w:type="dxa"/>
            <w:tcBorders>
              <w:left w:val="single" w:sz="6" w:space="0" w:color="auto"/>
              <w:bottom w:val="double" w:sz="6" w:space="0" w:color="auto"/>
              <w:right w:val="single" w:sz="6" w:space="0" w:color="auto"/>
            </w:tcBorders>
            <w:shd w:val="solid" w:color="C0C0C0" w:fill="auto"/>
          </w:tcPr>
          <w:p w:rsidR="005568B1" w:rsidRPr="009B096F" w:rsidRDefault="005568B1" w:rsidP="005568B1">
            <w:pPr>
              <w:jc w:val="center"/>
              <w:rPr>
                <w:rFonts w:ascii="Book Antiqua" w:hAnsi="Book Antiqua"/>
                <w:snapToGrid w:val="0"/>
              </w:rPr>
            </w:pPr>
            <w:r w:rsidRPr="009B096F">
              <w:rPr>
                <w:rFonts w:ascii="Book Antiqua" w:hAnsi="Book Antiqua"/>
                <w:snapToGrid w:val="0"/>
              </w:rPr>
              <w:t>akcií</w:t>
            </w:r>
          </w:p>
        </w:tc>
        <w:tc>
          <w:tcPr>
            <w:tcW w:w="1281" w:type="dxa"/>
            <w:tcBorders>
              <w:left w:val="single" w:sz="6" w:space="0" w:color="auto"/>
              <w:bottom w:val="doub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akcií</w:t>
            </w:r>
          </w:p>
        </w:tc>
        <w:tc>
          <w:tcPr>
            <w:tcW w:w="1275" w:type="dxa"/>
            <w:tcBorders>
              <w:left w:val="single" w:sz="6" w:space="0" w:color="auto"/>
              <w:bottom w:val="doub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akcií</w:t>
            </w:r>
          </w:p>
        </w:tc>
        <w:tc>
          <w:tcPr>
            <w:tcW w:w="1276" w:type="dxa"/>
            <w:tcBorders>
              <w:left w:val="single" w:sz="6" w:space="0" w:color="auto"/>
              <w:bottom w:val="doub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akcionárov</w:t>
            </w:r>
          </w:p>
        </w:tc>
        <w:tc>
          <w:tcPr>
            <w:tcW w:w="709" w:type="dxa"/>
            <w:tcBorders>
              <w:left w:val="single" w:sz="6" w:space="0" w:color="auto"/>
              <w:bottom w:val="double" w:sz="6" w:space="0" w:color="auto"/>
              <w:right w:val="single" w:sz="6" w:space="0" w:color="auto"/>
            </w:tcBorders>
            <w:shd w:val="solid" w:color="C0C0C0" w:fill="auto"/>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akcií</w:t>
            </w:r>
          </w:p>
        </w:tc>
        <w:tc>
          <w:tcPr>
            <w:tcW w:w="1376" w:type="dxa"/>
            <w:tcBorders>
              <w:left w:val="single" w:sz="6" w:space="0" w:color="auto"/>
              <w:bottom w:val="double" w:sz="6" w:space="0" w:color="auto"/>
              <w:right w:val="single" w:sz="6" w:space="0" w:color="auto"/>
            </w:tcBorders>
          </w:tcPr>
          <w:p w:rsidR="005568B1" w:rsidRPr="00F4577D" w:rsidRDefault="005568B1" w:rsidP="005568B1">
            <w:pPr>
              <w:jc w:val="center"/>
              <w:rPr>
                <w:rFonts w:ascii="Book Antiqua" w:hAnsi="Book Antiqua"/>
                <w:snapToGrid w:val="0"/>
                <w:color w:val="000000"/>
              </w:rPr>
            </w:pPr>
            <w:r w:rsidRPr="00F4577D">
              <w:rPr>
                <w:rFonts w:ascii="Book Antiqua" w:hAnsi="Book Antiqua"/>
                <w:snapToGrid w:val="0"/>
                <w:color w:val="000000"/>
              </w:rPr>
              <w:t>akcionárov</w:t>
            </w:r>
          </w:p>
        </w:tc>
      </w:tr>
      <w:tr w:rsidR="005568B1" w:rsidRPr="00D7176D" w:rsidTr="005568B1">
        <w:trPr>
          <w:trHeight w:val="235"/>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rPr>
            </w:pPr>
            <w:r w:rsidRPr="00D7176D">
              <w:rPr>
                <w:rFonts w:ascii="Book Antiqua" w:hAnsi="Book Antiqua"/>
                <w:snapToGrid w:val="0"/>
              </w:rPr>
              <w:t>181</w:t>
            </w:r>
          </w:p>
        </w:tc>
        <w:tc>
          <w:tcPr>
            <w:tcW w:w="1281"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1</w:t>
            </w:r>
          </w:p>
        </w:tc>
        <w:tc>
          <w:tcPr>
            <w:tcW w:w="709" w:type="dxa"/>
            <w:tcBorders>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25</w:t>
            </w:r>
          </w:p>
        </w:tc>
        <w:tc>
          <w:tcPr>
            <w:tcW w:w="1275" w:type="dxa"/>
            <w:tcBorders>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13</w:t>
            </w:r>
          </w:p>
        </w:tc>
        <w:tc>
          <w:tcPr>
            <w:tcW w:w="1276" w:type="dxa"/>
            <w:tcBorders>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left w:val="single" w:sz="6" w:space="0" w:color="auto"/>
              <w:bottom w:val="single" w:sz="4"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4</w:t>
            </w:r>
          </w:p>
        </w:tc>
        <w:tc>
          <w:tcPr>
            <w:tcW w:w="1376" w:type="dxa"/>
            <w:tcBorders>
              <w:left w:val="single" w:sz="6" w:space="0" w:color="auto"/>
              <w:bottom w:val="single" w:sz="4"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4</w:t>
            </w:r>
          </w:p>
        </w:tc>
      </w:tr>
      <w:tr w:rsidR="005568B1" w:rsidRPr="00D7176D" w:rsidTr="005568B1">
        <w:trPr>
          <w:trHeight w:val="221"/>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rPr>
            </w:pPr>
            <w:r w:rsidRPr="00D7176D">
              <w:rPr>
                <w:rFonts w:ascii="Book Antiqua" w:hAnsi="Book Antiqua"/>
                <w:snapToGrid w:val="0"/>
              </w:rPr>
              <w:t>96</w:t>
            </w:r>
          </w:p>
        </w:tc>
        <w:tc>
          <w:tcPr>
            <w:tcW w:w="1281"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23</w:t>
            </w:r>
          </w:p>
        </w:tc>
        <w:tc>
          <w:tcPr>
            <w:tcW w:w="1275"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10</w:t>
            </w:r>
          </w:p>
        </w:tc>
        <w:tc>
          <w:tcPr>
            <w:tcW w:w="1276"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4" w:space="0" w:color="auto"/>
              <w:left w:val="single" w:sz="6" w:space="0" w:color="auto"/>
              <w:bottom w:val="single" w:sz="4" w:space="0" w:color="auto"/>
              <w:right w:val="single" w:sz="4"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3</w:t>
            </w:r>
          </w:p>
        </w:tc>
        <w:tc>
          <w:tcPr>
            <w:tcW w:w="1376" w:type="dxa"/>
            <w:tcBorders>
              <w:top w:val="single" w:sz="4" w:space="0" w:color="auto"/>
              <w:left w:val="single" w:sz="4" w:space="0" w:color="auto"/>
              <w:bottom w:val="single" w:sz="4"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7</w:t>
            </w:r>
          </w:p>
        </w:tc>
      </w:tr>
      <w:tr w:rsidR="005568B1" w:rsidRPr="00D7176D" w:rsidTr="005568B1">
        <w:trPr>
          <w:trHeight w:val="221"/>
        </w:trPr>
        <w:tc>
          <w:tcPr>
            <w:tcW w:w="648"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rPr>
            </w:pPr>
            <w:r w:rsidRPr="00D7176D">
              <w:rPr>
                <w:rFonts w:ascii="Book Antiqua" w:hAnsi="Book Antiqua"/>
                <w:snapToGrid w:val="0"/>
                <w:color w:val="000000"/>
              </w:rPr>
              <w:t>45</w:t>
            </w:r>
          </w:p>
        </w:tc>
        <w:tc>
          <w:tcPr>
            <w:tcW w:w="1281"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22</w:t>
            </w:r>
          </w:p>
        </w:tc>
        <w:tc>
          <w:tcPr>
            <w:tcW w:w="1275"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9</w:t>
            </w:r>
          </w:p>
        </w:tc>
        <w:tc>
          <w:tcPr>
            <w:tcW w:w="1276"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4" w:space="0" w:color="auto"/>
              <w:left w:val="single" w:sz="6" w:space="0" w:color="auto"/>
              <w:bottom w:val="single" w:sz="6" w:space="0" w:color="auto"/>
              <w:right w:val="single" w:sz="4" w:space="0" w:color="auto"/>
            </w:tcBorders>
            <w:shd w:val="solid" w:color="C0C0C0" w:fill="auto"/>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2</w:t>
            </w:r>
          </w:p>
        </w:tc>
        <w:tc>
          <w:tcPr>
            <w:tcW w:w="1376" w:type="dxa"/>
            <w:tcBorders>
              <w:top w:val="single" w:sz="4" w:space="0" w:color="auto"/>
              <w:left w:val="single" w:sz="4"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13</w:t>
            </w:r>
          </w:p>
        </w:tc>
      </w:tr>
      <w:tr w:rsidR="005568B1" w:rsidRPr="00D7176D" w:rsidTr="005568B1">
        <w:trPr>
          <w:trHeight w:val="235"/>
        </w:trPr>
        <w:tc>
          <w:tcPr>
            <w:tcW w:w="648" w:type="dxa"/>
            <w:tcBorders>
              <w:top w:val="single" w:sz="6" w:space="0" w:color="auto"/>
              <w:left w:val="single" w:sz="6" w:space="0" w:color="auto"/>
              <w:bottom w:val="single" w:sz="4" w:space="0" w:color="auto"/>
              <w:right w:val="single" w:sz="6" w:space="0" w:color="auto"/>
            </w:tcBorders>
            <w:shd w:val="solid" w:color="C0C0C0" w:fill="auto"/>
          </w:tcPr>
          <w:p w:rsidR="005568B1" w:rsidRPr="00D7176D" w:rsidRDefault="005568B1" w:rsidP="005568B1">
            <w:pPr>
              <w:jc w:val="center"/>
              <w:rPr>
                <w:rFonts w:ascii="Book Antiqua" w:hAnsi="Book Antiqua"/>
                <w:snapToGrid w:val="0"/>
              </w:rPr>
            </w:pPr>
            <w:r w:rsidRPr="00D7176D">
              <w:rPr>
                <w:rFonts w:ascii="Book Antiqua" w:hAnsi="Book Antiqua"/>
                <w:snapToGrid w:val="0"/>
                <w:color w:val="000000"/>
              </w:rPr>
              <w:t>35</w:t>
            </w:r>
          </w:p>
        </w:tc>
        <w:tc>
          <w:tcPr>
            <w:tcW w:w="1281" w:type="dxa"/>
            <w:tcBorders>
              <w:top w:val="single" w:sz="6" w:space="0" w:color="auto"/>
              <w:left w:val="single" w:sz="6" w:space="0" w:color="auto"/>
              <w:bottom w:val="single" w:sz="4" w:space="0" w:color="auto"/>
              <w:right w:val="single" w:sz="6" w:space="0" w:color="auto"/>
            </w:tcBorders>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20</w:t>
            </w:r>
          </w:p>
        </w:tc>
        <w:tc>
          <w:tcPr>
            <w:tcW w:w="1275"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sidRPr="00D7176D">
              <w:rPr>
                <w:rFonts w:ascii="Book Antiqua" w:hAnsi="Book Antiqua"/>
                <w:snapToGrid w:val="0"/>
                <w:color w:val="000000"/>
              </w:rPr>
              <w:t>2</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6</w:t>
            </w:r>
          </w:p>
        </w:tc>
        <w:tc>
          <w:tcPr>
            <w:tcW w:w="1276"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6" w:space="0" w:color="auto"/>
              <w:left w:val="single" w:sz="6" w:space="0" w:color="auto"/>
              <w:bottom w:val="doub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1376" w:type="dxa"/>
            <w:tcBorders>
              <w:top w:val="single" w:sz="6" w:space="0" w:color="auto"/>
              <w:left w:val="single" w:sz="6" w:space="0" w:color="auto"/>
              <w:bottom w:val="doub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43</w:t>
            </w:r>
          </w:p>
        </w:tc>
      </w:tr>
      <w:tr w:rsidR="005568B1" w:rsidRPr="00D7176D" w:rsidTr="005568B1">
        <w:trPr>
          <w:trHeight w:val="245"/>
        </w:trPr>
        <w:tc>
          <w:tcPr>
            <w:tcW w:w="648" w:type="dxa"/>
            <w:tcBorders>
              <w:top w:val="single" w:sz="4" w:space="0" w:color="auto"/>
              <w:left w:val="single" w:sz="6" w:space="0" w:color="auto"/>
              <w:bottom w:val="single" w:sz="4"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31</w:t>
            </w:r>
          </w:p>
        </w:tc>
        <w:tc>
          <w:tcPr>
            <w:tcW w:w="1281" w:type="dxa"/>
            <w:tcBorders>
              <w:top w:val="single" w:sz="4" w:space="0" w:color="auto"/>
              <w:left w:val="single" w:sz="6" w:space="0" w:color="auto"/>
              <w:bottom w:val="single" w:sz="4"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14</w:t>
            </w:r>
          </w:p>
        </w:tc>
        <w:tc>
          <w:tcPr>
            <w:tcW w:w="1275" w:type="dxa"/>
            <w:tcBorders>
              <w:top w:val="single" w:sz="6" w:space="0" w:color="auto"/>
              <w:left w:val="single" w:sz="6" w:space="0" w:color="auto"/>
              <w:bottom w:val="single" w:sz="6" w:space="0" w:color="auto"/>
              <w:right w:val="single" w:sz="6"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w:t>
            </w:r>
          </w:p>
        </w:tc>
        <w:tc>
          <w:tcPr>
            <w:tcW w:w="709" w:type="dxa"/>
            <w:tcBorders>
              <w:top w:val="single" w:sz="6" w:space="0" w:color="auto"/>
              <w:left w:val="single" w:sz="6" w:space="0" w:color="auto"/>
              <w:bottom w:val="sing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5</w:t>
            </w:r>
          </w:p>
        </w:tc>
        <w:tc>
          <w:tcPr>
            <w:tcW w:w="1276" w:type="dxa"/>
            <w:tcBorders>
              <w:top w:val="single" w:sz="6" w:space="0" w:color="auto"/>
              <w:left w:val="single" w:sz="6" w:space="0" w:color="auto"/>
              <w:bottom w:val="single" w:sz="6" w:space="0" w:color="auto"/>
              <w:right w:val="single" w:sz="4"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2</w:t>
            </w:r>
          </w:p>
        </w:tc>
        <w:tc>
          <w:tcPr>
            <w:tcW w:w="709" w:type="dxa"/>
            <w:tcBorders>
              <w:top w:val="double" w:sz="6" w:space="0" w:color="auto"/>
              <w:left w:val="single" w:sz="4" w:space="0" w:color="auto"/>
              <w:bottom w:val="double" w:sz="6" w:space="0" w:color="auto"/>
              <w:right w:val="single" w:sz="6" w:space="0" w:color="auto"/>
            </w:tcBorders>
            <w:shd w:val="solid" w:color="C0C0C0" w:fill="auto"/>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680</w:t>
            </w:r>
          </w:p>
        </w:tc>
        <w:tc>
          <w:tcPr>
            <w:tcW w:w="1376" w:type="dxa"/>
            <w:tcBorders>
              <w:top w:val="double" w:sz="6" w:space="0" w:color="auto"/>
              <w:left w:val="single" w:sz="6" w:space="0" w:color="auto"/>
              <w:bottom w:val="double" w:sz="6" w:space="0" w:color="auto"/>
              <w:right w:val="single" w:sz="4" w:space="0" w:color="auto"/>
            </w:tcBorders>
          </w:tcPr>
          <w:p w:rsidR="005568B1" w:rsidRPr="00D7176D" w:rsidRDefault="005568B1" w:rsidP="005568B1">
            <w:pPr>
              <w:jc w:val="center"/>
              <w:rPr>
                <w:rFonts w:ascii="Book Antiqua" w:hAnsi="Book Antiqua"/>
                <w:snapToGrid w:val="0"/>
                <w:color w:val="000000"/>
              </w:rPr>
            </w:pPr>
            <w:r>
              <w:rPr>
                <w:rFonts w:ascii="Book Antiqua" w:hAnsi="Book Antiqua"/>
                <w:snapToGrid w:val="0"/>
                <w:color w:val="000000"/>
              </w:rPr>
              <w:t>85</w:t>
            </w:r>
          </w:p>
        </w:tc>
      </w:tr>
    </w:tbl>
    <w:p w:rsidR="005568B1" w:rsidRDefault="005568B1" w:rsidP="005568B1">
      <w:pPr>
        <w:jc w:val="both"/>
        <w:rPr>
          <w:rFonts w:ascii="Arial" w:hAnsi="Arial" w:cs="Arial"/>
          <w:smallCaps/>
          <w:color w:val="538135" w:themeColor="accent6" w:themeShade="BF"/>
          <w:sz w:val="36"/>
          <w:szCs w:val="36"/>
        </w:rPr>
      </w:pPr>
    </w:p>
    <w:p w:rsidR="005568B1" w:rsidRDefault="005568B1" w:rsidP="005568B1">
      <w:pPr>
        <w:jc w:val="both"/>
        <w:rPr>
          <w:rFonts w:ascii="Arial" w:hAnsi="Arial" w:cs="Arial"/>
          <w:smallCaps/>
          <w:color w:val="538135" w:themeColor="accent6" w:themeShade="BF"/>
          <w:sz w:val="36"/>
          <w:szCs w:val="36"/>
        </w:rPr>
      </w:pPr>
    </w:p>
    <w:p w:rsidR="005568B1" w:rsidRDefault="005568B1" w:rsidP="005258DD">
      <w:pPr>
        <w:pStyle w:val="nadpisybytterm"/>
      </w:pPr>
      <w:r>
        <w:lastRenderedPageBreak/>
        <w:t>PREDMET ČINNOSTI</w:t>
      </w:r>
    </w:p>
    <w:p w:rsidR="005568B1" w:rsidRPr="00FE449F" w:rsidRDefault="005568B1" w:rsidP="005568B1"/>
    <w:p w:rsidR="005568B1" w:rsidRPr="002D13A0" w:rsidRDefault="005568B1" w:rsidP="005568B1">
      <w:pPr>
        <w:jc w:val="both"/>
        <w:rPr>
          <w:rFonts w:ascii="Arial" w:hAnsi="Arial" w:cs="Arial"/>
          <w:sz w:val="24"/>
          <w:szCs w:val="24"/>
        </w:rPr>
      </w:pPr>
      <w:r w:rsidRPr="002D13A0">
        <w:rPr>
          <w:rFonts w:ascii="Arial" w:hAnsi="Arial" w:cs="Arial"/>
          <w:sz w:val="24"/>
          <w:szCs w:val="24"/>
        </w:rPr>
        <w:t>Hlavným predmetom činnosti spoločnosti BYTTERM, a.s. je výroba a dodávka tepla a teplej úžitkovej vody pre občanov a organizácie mesta Žilina a výkon správy a údržby bytového a nebytového fondu v Žiline a okolí.</w:t>
      </w:r>
    </w:p>
    <w:p w:rsidR="005568B1" w:rsidRPr="002D13A0" w:rsidRDefault="005568B1" w:rsidP="005568B1">
      <w:pPr>
        <w:jc w:val="both"/>
        <w:rPr>
          <w:rFonts w:ascii="Arial" w:hAnsi="Arial" w:cs="Arial"/>
          <w:sz w:val="24"/>
          <w:szCs w:val="24"/>
        </w:rPr>
      </w:pPr>
      <w:r w:rsidRPr="002D13A0">
        <w:rPr>
          <w:rFonts w:ascii="Arial" w:hAnsi="Arial" w:cs="Arial"/>
          <w:sz w:val="24"/>
          <w:szCs w:val="24"/>
        </w:rPr>
        <w:t>Okrem toho spoločnosť podniká aj v nasledujúcich činnostiach:</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nákup, výroba, rozvod, distribúcia a predaj tepla a teplej úžitkovej vody,</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oprava a údržba meracej a regulačnej techniky,</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maloobchod a veľkoobchod mimo koncesovaných živností,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výroba a predaj elektriny z kogeneračného zdroja,</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rekonštrukcia, oprava a údržba, odborné prehliadky a odborné skúšky plynových zariadení,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zámočníctvo,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klampiarstvo, pokrývačstvo,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vodoinštalatérstvo,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kúrenárske práce,</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výkon činnosti stavebného dozoru – pozemné stavby,</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sprostredkovateľská činnosť v rozsahu voľných činností,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elektrických zariadení,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rekonštrukcie, údržba elektrických zariadení,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zdvíhacích zariadení,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rekonštrukcie, údržba zdvíhacích zariadení,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správa a údržba bytového a nebytového fondu v rozsahu voľných živností,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izolatérstvo,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prenájom hnuteľných vecí,</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rekonštrukcia a údržba vyhradených technických zariadení – tlakových,</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odborné prehliadky a odborné skúšky vyhradených tlakových zariadení v rozsahu Ab1, b2, e, Ba, b1, b2, e1, f1, f2, f3,</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opravy a montáž určených meradiel,</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murárstvo,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výkon činnosti stavbyvedúceho,</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podnikanie v oblasti nakladania s nebezpečným odpadom,</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uskutočňovanie stavieb a ich zmien,</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informatívne testovanie, meranie, analýzy, kontroly,</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dokončovacie stavebné práce pri realizácii exteriérov a interiérov,</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prenájom nehnuteľností spojený s poskytovaním iných než základných služieb spojených s prenájmom,</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prevádzkovanie čistiarne  a práčovne,</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podnikanie v oblasti nakladania s iným ako nebezpečným odpadom,</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montáž pomerových rozdeľovačov nákladov vykurovania,</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hubenie škodlivých živočíchov, mikroorganizmov a potláčanie ďalších škodlivých činiteľov,</w:t>
      </w:r>
    </w:p>
    <w:p w:rsidR="005568B1" w:rsidRPr="002D13A0"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reklamné a marketingové služby,</w:t>
      </w:r>
    </w:p>
    <w:p w:rsidR="005568B1" w:rsidRDefault="005568B1" w:rsidP="005568B1">
      <w:pPr>
        <w:numPr>
          <w:ilvl w:val="0"/>
          <w:numId w:val="1"/>
        </w:numPr>
        <w:spacing w:after="0" w:line="240" w:lineRule="auto"/>
        <w:jc w:val="both"/>
        <w:rPr>
          <w:rFonts w:ascii="Arial" w:hAnsi="Arial" w:cs="Arial"/>
          <w:sz w:val="24"/>
          <w:szCs w:val="24"/>
        </w:rPr>
      </w:pPr>
      <w:r w:rsidRPr="002D13A0">
        <w:rPr>
          <w:rFonts w:ascii="Arial" w:hAnsi="Arial" w:cs="Arial"/>
          <w:sz w:val="24"/>
          <w:szCs w:val="24"/>
        </w:rPr>
        <w:t>oprava a kontrola požiarnych hydrantov.</w:t>
      </w:r>
    </w:p>
    <w:p w:rsidR="005568B1" w:rsidRPr="002D13A0" w:rsidRDefault="005568B1" w:rsidP="005568B1">
      <w:pPr>
        <w:spacing w:after="0" w:line="240" w:lineRule="auto"/>
        <w:ind w:left="720"/>
        <w:jc w:val="both"/>
        <w:rPr>
          <w:rFonts w:ascii="Arial" w:hAnsi="Arial" w:cs="Arial"/>
          <w:sz w:val="24"/>
          <w:szCs w:val="24"/>
        </w:rPr>
      </w:pPr>
    </w:p>
    <w:p w:rsidR="005568B1" w:rsidRDefault="005568B1" w:rsidP="005258DD">
      <w:pPr>
        <w:pStyle w:val="nadpisybytterm"/>
        <w:rPr>
          <w:rFonts w:ascii="Arial" w:hAnsi="Arial"/>
          <w:smallCaps/>
          <w:color w:val="538135" w:themeColor="accent6" w:themeShade="BF"/>
        </w:rPr>
      </w:pPr>
      <w:r>
        <w:lastRenderedPageBreak/>
        <w:t xml:space="preserve">ŠTATUTÁRNE ORGÁNY A MANAŽMENT </w:t>
      </w:r>
    </w:p>
    <w:p w:rsidR="005568B1"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b/>
          <w:smallCaps/>
          <w:color w:val="538135" w:themeColor="accent6" w:themeShade="BF"/>
          <w:sz w:val="32"/>
          <w:szCs w:val="32"/>
        </w:rPr>
      </w:pPr>
      <w:r w:rsidRPr="00535599">
        <w:rPr>
          <w:rFonts w:ascii="Arial" w:hAnsi="Arial" w:cs="Arial"/>
          <w:b/>
          <w:smallCaps/>
          <w:color w:val="538135" w:themeColor="accent6" w:themeShade="BF"/>
          <w:sz w:val="32"/>
          <w:szCs w:val="32"/>
        </w:rPr>
        <w:t>členovia predstavenstva</w:t>
      </w:r>
    </w:p>
    <w:p w:rsidR="005568B1" w:rsidRPr="0052549A"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predseda</w:t>
      </w:r>
      <w:r w:rsidRPr="00D327D4">
        <w:rPr>
          <w:rFonts w:ascii="Times New Roman" w:hAnsi="Times New Roman" w:cs="Times New Roman"/>
          <w:b/>
          <w:color w:val="538135" w:themeColor="accent6" w:themeShade="BF"/>
        </w:rPr>
        <w:t>:</w:t>
      </w:r>
      <w:r w:rsidRPr="00D327D4">
        <w:rPr>
          <w:color w:val="538135" w:themeColor="accent6" w:themeShade="BF"/>
        </w:rPr>
        <w:t xml:space="preserve"> </w:t>
      </w:r>
      <w:r w:rsidRPr="00D327D4">
        <w:rPr>
          <w:color w:val="538135" w:themeColor="accent6" w:themeShade="BF"/>
        </w:rPr>
        <w:tab/>
      </w:r>
      <w:r w:rsidRPr="00D327D4">
        <w:rPr>
          <w:color w:val="538135" w:themeColor="accent6" w:themeShade="BF"/>
        </w:rPr>
        <w:tab/>
      </w:r>
      <w:r w:rsidRPr="00D327D4">
        <w:rPr>
          <w:color w:val="538135" w:themeColor="accent6" w:themeShade="BF"/>
        </w:rPr>
        <w:tab/>
      </w:r>
      <w:r w:rsidRPr="00D327D4">
        <w:rPr>
          <w:color w:val="538135" w:themeColor="accent6" w:themeShade="BF"/>
        </w:rPr>
        <w:tab/>
      </w:r>
      <w:r>
        <w:rPr>
          <w:color w:val="538135" w:themeColor="accent6" w:themeShade="BF"/>
        </w:rPr>
        <w:tab/>
      </w:r>
      <w:r>
        <w:rPr>
          <w:rFonts w:ascii="Times New Roman" w:hAnsi="Times New Roman" w:cs="Times New Roman"/>
        </w:rPr>
        <w:t>Ing. Milan Kováč</w:t>
      </w:r>
      <w:r w:rsidRPr="0052549A">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podpredseda</w:t>
      </w:r>
      <w:r w:rsidRPr="002E767E">
        <w:rPr>
          <w:rFonts w:ascii="Times New Roman" w:hAnsi="Times New Roman" w:cs="Times New Roman"/>
          <w:b/>
          <w:color w:val="538135" w:themeColor="accent6" w:themeShade="BF"/>
        </w:rPr>
        <w:t>:</w:t>
      </w:r>
      <w:r>
        <w:t xml:space="preserve"> </w:t>
      </w:r>
      <w:r>
        <w:tab/>
      </w:r>
      <w:r>
        <w:tab/>
      </w:r>
      <w:r>
        <w:tab/>
      </w:r>
      <w:r>
        <w:tab/>
      </w:r>
      <w:r>
        <w:tab/>
      </w:r>
      <w:r>
        <w:rPr>
          <w:rFonts w:ascii="Times New Roman" w:hAnsi="Times New Roman" w:cs="Times New Roman"/>
        </w:rPr>
        <w:t>Bc. Zuzana Klottonová</w:t>
      </w:r>
      <w:r>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Ing. Miroslav Adámek</w:t>
      </w:r>
      <w:r>
        <w:t xml:space="preserve"> </w:t>
      </w:r>
    </w:p>
    <w:p w:rsidR="005568B1" w:rsidRPr="002E767E" w:rsidRDefault="005568B1"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rsidRPr="002E767E">
        <w:rPr>
          <w:color w:val="538135" w:themeColor="accent6" w:themeShade="BF"/>
        </w:rPr>
        <w:t xml:space="preserve"> </w:t>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rFonts w:ascii="Times New Roman" w:hAnsi="Times New Roman" w:cs="Times New Roman"/>
        </w:rPr>
        <w:t>Ing. František Zelina</w:t>
      </w:r>
      <w:r w:rsidRPr="002E767E">
        <w:rPr>
          <w:rFonts w:ascii="Times New Roman" w:hAnsi="Times New Roman" w:cs="Times New Roman"/>
        </w:rPr>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Ing. Anton Slanička</w:t>
      </w:r>
      <w:r>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Ing. Richard Zelina</w:t>
      </w:r>
      <w:r>
        <w:t xml:space="preserve"> </w:t>
      </w:r>
    </w:p>
    <w:p w:rsidR="005568B1" w:rsidRDefault="005568B1"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JUDr. Martin Šustek</w:t>
      </w:r>
    </w:p>
    <w:p w:rsidR="005568B1" w:rsidRPr="00535599"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smallCaps/>
          <w:color w:val="538135" w:themeColor="accent6" w:themeShade="BF"/>
          <w:sz w:val="36"/>
          <w:szCs w:val="36"/>
        </w:rPr>
      </w:pPr>
      <w:r w:rsidRPr="00535599">
        <w:rPr>
          <w:rFonts w:ascii="Arial" w:hAnsi="Arial" w:cs="Arial"/>
          <w:b/>
          <w:smallCaps/>
          <w:color w:val="538135" w:themeColor="accent6" w:themeShade="BF"/>
          <w:sz w:val="32"/>
          <w:szCs w:val="32"/>
        </w:rPr>
        <w:t xml:space="preserve">členovia </w:t>
      </w:r>
      <w:r>
        <w:rPr>
          <w:rFonts w:ascii="Arial" w:hAnsi="Arial" w:cs="Arial"/>
          <w:b/>
          <w:smallCaps/>
          <w:color w:val="538135" w:themeColor="accent6" w:themeShade="BF"/>
          <w:sz w:val="32"/>
          <w:szCs w:val="32"/>
        </w:rPr>
        <w:t>dozornej rady</w:t>
      </w:r>
    </w:p>
    <w:p w:rsidR="005568B1" w:rsidRPr="0052549A"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predseda</w:t>
      </w:r>
      <w:r w:rsidRPr="00D327D4">
        <w:rPr>
          <w:rFonts w:ascii="Times New Roman" w:hAnsi="Times New Roman" w:cs="Times New Roman"/>
          <w:b/>
          <w:color w:val="538135" w:themeColor="accent6" w:themeShade="BF"/>
        </w:rPr>
        <w:t>:</w:t>
      </w:r>
      <w:r w:rsidRPr="00D327D4">
        <w:rPr>
          <w:color w:val="538135" w:themeColor="accent6" w:themeShade="BF"/>
        </w:rPr>
        <w:t xml:space="preserve"> </w:t>
      </w:r>
      <w:r w:rsidRPr="00D327D4">
        <w:rPr>
          <w:color w:val="538135" w:themeColor="accent6" w:themeShade="BF"/>
        </w:rPr>
        <w:tab/>
      </w:r>
      <w:r w:rsidRPr="00D327D4">
        <w:rPr>
          <w:color w:val="538135" w:themeColor="accent6" w:themeShade="BF"/>
        </w:rPr>
        <w:tab/>
      </w:r>
      <w:r w:rsidRPr="00D327D4">
        <w:rPr>
          <w:color w:val="538135" w:themeColor="accent6" w:themeShade="BF"/>
        </w:rPr>
        <w:tab/>
      </w:r>
      <w:r w:rsidRPr="00D327D4">
        <w:rPr>
          <w:color w:val="538135" w:themeColor="accent6" w:themeShade="BF"/>
        </w:rPr>
        <w:tab/>
      </w:r>
      <w:r>
        <w:rPr>
          <w:color w:val="538135" w:themeColor="accent6" w:themeShade="BF"/>
        </w:rPr>
        <w:tab/>
      </w:r>
      <w:r>
        <w:rPr>
          <w:rFonts w:ascii="Times New Roman" w:hAnsi="Times New Roman" w:cs="Times New Roman"/>
        </w:rPr>
        <w:t>Ing. Jozef Seifert</w:t>
      </w:r>
      <w:r w:rsidRPr="0052549A">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Pavol Kavecký</w:t>
      </w:r>
      <w:r>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Ing. František Holeša</w:t>
      </w:r>
      <w:r>
        <w:t xml:space="preserve"> </w:t>
      </w:r>
    </w:p>
    <w:p w:rsidR="005568B1" w:rsidRPr="002E767E" w:rsidRDefault="005568B1" w:rsidP="005568B1">
      <w:pPr>
        <w:pBdr>
          <w:bottom w:val="single" w:sz="4" w:space="1" w:color="auto"/>
          <w:between w:val="single" w:sz="4" w:space="1" w:color="auto"/>
        </w:pBdr>
        <w:rPr>
          <w:rFonts w:ascii="Times New Roman" w:hAnsi="Times New Roman" w:cs="Times New Roman"/>
        </w:rP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rsidRPr="002E767E">
        <w:rPr>
          <w:color w:val="538135" w:themeColor="accent6" w:themeShade="BF"/>
        </w:rPr>
        <w:t xml:space="preserve"> </w:t>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color w:val="538135" w:themeColor="accent6" w:themeShade="BF"/>
        </w:rPr>
        <w:tab/>
      </w:r>
      <w:r>
        <w:rPr>
          <w:rFonts w:ascii="Times New Roman" w:hAnsi="Times New Roman" w:cs="Times New Roman"/>
        </w:rPr>
        <w:t>Ing. Karol Kucka</w:t>
      </w:r>
      <w:r w:rsidRPr="002E767E">
        <w:rPr>
          <w:rFonts w:ascii="Times New Roman" w:hAnsi="Times New Roman" w:cs="Times New Roman"/>
        </w:rPr>
        <w:t xml:space="preserve"> </w:t>
      </w:r>
    </w:p>
    <w:p w:rsidR="005568B1" w:rsidRDefault="005568B1" w:rsidP="005568B1">
      <w:pPr>
        <w:pBdr>
          <w:bottom w:val="single" w:sz="4" w:space="1" w:color="auto"/>
          <w:between w:val="single" w:sz="4" w:space="1" w:color="auto"/>
        </w:pBdr>
      </w:pPr>
      <w:r>
        <w:rPr>
          <w:rFonts w:ascii="Times New Roman" w:hAnsi="Times New Roman" w:cs="Times New Roman"/>
          <w:b/>
          <w:color w:val="538135" w:themeColor="accent6" w:themeShade="BF"/>
        </w:rPr>
        <w:t>člen</w:t>
      </w:r>
      <w:r w:rsidRPr="002E767E">
        <w:rPr>
          <w:rFonts w:ascii="Times New Roman" w:hAnsi="Times New Roman" w:cs="Times New Roman"/>
          <w:b/>
          <w:color w:val="538135" w:themeColor="accent6" w:themeShade="BF"/>
        </w:rPr>
        <w:t>:</w:t>
      </w:r>
      <w:r>
        <w:t xml:space="preserve"> </w:t>
      </w:r>
      <w:r>
        <w:tab/>
      </w:r>
      <w:r>
        <w:tab/>
      </w:r>
      <w:r>
        <w:tab/>
      </w:r>
      <w:r>
        <w:tab/>
      </w:r>
      <w:r>
        <w:tab/>
      </w:r>
      <w:r>
        <w:tab/>
      </w:r>
      <w:r>
        <w:rPr>
          <w:rFonts w:ascii="Times New Roman" w:hAnsi="Times New Roman" w:cs="Times New Roman"/>
        </w:rPr>
        <w:t>Dana Pudíková</w:t>
      </w:r>
      <w:r>
        <w:t xml:space="preserve"> </w:t>
      </w:r>
    </w:p>
    <w:p w:rsidR="005568B1" w:rsidRDefault="005568B1" w:rsidP="005568B1">
      <w:pPr>
        <w:jc w:val="both"/>
        <w:rPr>
          <w:rFonts w:ascii="Arial" w:hAnsi="Arial" w:cs="Arial"/>
          <w:smallCaps/>
          <w:color w:val="538135" w:themeColor="accent6" w:themeShade="BF"/>
          <w:sz w:val="36"/>
          <w:szCs w:val="36"/>
        </w:rPr>
      </w:pPr>
    </w:p>
    <w:p w:rsidR="005568B1" w:rsidRPr="002D13A0" w:rsidRDefault="005568B1" w:rsidP="005568B1">
      <w:pPr>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výkonný manažment</w:t>
      </w:r>
    </w:p>
    <w:p w:rsidR="005568B1" w:rsidRPr="0052549A" w:rsidRDefault="005568B1" w:rsidP="005568B1">
      <w:pPr>
        <w:pBdr>
          <w:bottom w:val="single" w:sz="4" w:space="1" w:color="auto"/>
          <w:between w:val="single" w:sz="4" w:space="1" w:color="auto"/>
        </w:pBdr>
      </w:pPr>
      <w:r w:rsidRPr="00E636A2">
        <w:rPr>
          <w:rFonts w:ascii="Times New Roman" w:hAnsi="Times New Roman" w:cs="Times New Roman"/>
          <w:b/>
          <w:color w:val="767171" w:themeColor="background2" w:themeShade="80"/>
        </w:rPr>
        <w:t>generálny riaditeľ:</w:t>
      </w:r>
      <w:r w:rsidRPr="00E636A2">
        <w:rPr>
          <w:color w:val="767171" w:themeColor="background2" w:themeShade="80"/>
        </w:rPr>
        <w:t xml:space="preserve"> </w:t>
      </w:r>
      <w:r w:rsidRPr="00D327D4">
        <w:rPr>
          <w:color w:val="538135" w:themeColor="accent6" w:themeShade="BF"/>
        </w:rPr>
        <w:tab/>
      </w:r>
      <w:r w:rsidRPr="00D327D4">
        <w:rPr>
          <w:color w:val="538135" w:themeColor="accent6" w:themeShade="BF"/>
        </w:rPr>
        <w:tab/>
      </w:r>
      <w:r w:rsidRPr="00D327D4">
        <w:rPr>
          <w:color w:val="538135" w:themeColor="accent6" w:themeShade="BF"/>
        </w:rPr>
        <w:tab/>
      </w:r>
      <w:r w:rsidRPr="00D327D4">
        <w:rPr>
          <w:color w:val="538135" w:themeColor="accent6" w:themeShade="BF"/>
        </w:rPr>
        <w:tab/>
      </w:r>
      <w:r>
        <w:rPr>
          <w:rFonts w:ascii="Times New Roman" w:hAnsi="Times New Roman" w:cs="Times New Roman"/>
        </w:rPr>
        <w:t>Ing. Richard Zelina</w:t>
      </w:r>
      <w:r w:rsidRPr="0052549A">
        <w:t xml:space="preserve"> </w:t>
      </w:r>
    </w:p>
    <w:p w:rsidR="005568B1" w:rsidRDefault="005568B1" w:rsidP="005568B1">
      <w:pPr>
        <w:pBdr>
          <w:bottom w:val="single" w:sz="4" w:space="1" w:color="auto"/>
          <w:between w:val="single" w:sz="4" w:space="1" w:color="auto"/>
        </w:pBdr>
      </w:pPr>
      <w:r w:rsidRPr="00E636A2">
        <w:rPr>
          <w:rFonts w:ascii="Times New Roman" w:hAnsi="Times New Roman" w:cs="Times New Roman"/>
          <w:b/>
          <w:color w:val="767171" w:themeColor="background2" w:themeShade="80"/>
        </w:rPr>
        <w:t>riaditeľka ekonomickej divízie:</w:t>
      </w:r>
      <w:r>
        <w:tab/>
      </w:r>
      <w:r>
        <w:tab/>
      </w:r>
      <w:r>
        <w:rPr>
          <w:rFonts w:ascii="Times New Roman" w:hAnsi="Times New Roman" w:cs="Times New Roman"/>
        </w:rPr>
        <w:t>Ing. Alena Sartorisová</w:t>
      </w:r>
      <w:r>
        <w:t xml:space="preserve"> </w:t>
      </w:r>
    </w:p>
    <w:p w:rsidR="005568B1" w:rsidRDefault="005568B1" w:rsidP="005568B1">
      <w:pPr>
        <w:pBdr>
          <w:bottom w:val="single" w:sz="4" w:space="1" w:color="auto"/>
          <w:between w:val="single" w:sz="4" w:space="1" w:color="auto"/>
        </w:pBdr>
      </w:pPr>
      <w:r w:rsidRPr="00E636A2">
        <w:rPr>
          <w:rFonts w:ascii="Times New Roman" w:hAnsi="Times New Roman" w:cs="Times New Roman"/>
          <w:b/>
          <w:color w:val="767171" w:themeColor="background2" w:themeShade="80"/>
        </w:rPr>
        <w:t>riaditeľ divízie správy majetku:</w:t>
      </w:r>
      <w:r w:rsidRPr="00E636A2">
        <w:rPr>
          <w:color w:val="767171" w:themeColor="background2" w:themeShade="80"/>
        </w:rPr>
        <w:t xml:space="preserve"> </w:t>
      </w:r>
      <w:r>
        <w:tab/>
      </w:r>
      <w:r>
        <w:tab/>
      </w:r>
      <w:r>
        <w:rPr>
          <w:rFonts w:ascii="Times New Roman" w:hAnsi="Times New Roman" w:cs="Times New Roman"/>
        </w:rPr>
        <w:t>Ing. Karol Kucka</w:t>
      </w:r>
      <w:r>
        <w:t xml:space="preserve"> </w:t>
      </w:r>
    </w:p>
    <w:p w:rsidR="005568B1" w:rsidRPr="002E767E" w:rsidRDefault="005568B1" w:rsidP="005568B1">
      <w:pPr>
        <w:pBdr>
          <w:bottom w:val="single" w:sz="4" w:space="1" w:color="auto"/>
          <w:between w:val="single" w:sz="4" w:space="1" w:color="auto"/>
        </w:pBdr>
        <w:rPr>
          <w:rFonts w:ascii="Times New Roman" w:hAnsi="Times New Roman" w:cs="Times New Roman"/>
        </w:rPr>
      </w:pPr>
      <w:r w:rsidRPr="00E636A2">
        <w:rPr>
          <w:rFonts w:ascii="Times New Roman" w:hAnsi="Times New Roman" w:cs="Times New Roman"/>
          <w:b/>
          <w:color w:val="767171" w:themeColor="background2" w:themeShade="80"/>
        </w:rPr>
        <w:t>riaditeľ divízie výroby a služieb:</w:t>
      </w:r>
      <w:r w:rsidRPr="00E636A2">
        <w:rPr>
          <w:color w:val="767171" w:themeColor="background2" w:themeShade="80"/>
        </w:rPr>
        <w:t xml:space="preserve"> </w:t>
      </w:r>
      <w:r w:rsidRPr="00E636A2">
        <w:rPr>
          <w:color w:val="767171" w:themeColor="background2" w:themeShade="80"/>
        </w:rPr>
        <w:tab/>
      </w:r>
      <w:r>
        <w:rPr>
          <w:color w:val="538135" w:themeColor="accent6" w:themeShade="BF"/>
        </w:rPr>
        <w:tab/>
      </w:r>
      <w:r>
        <w:rPr>
          <w:rFonts w:ascii="Times New Roman" w:hAnsi="Times New Roman" w:cs="Times New Roman"/>
        </w:rPr>
        <w:t>Ing. Milan Kováč</w:t>
      </w:r>
      <w:r w:rsidRPr="002E767E">
        <w:rPr>
          <w:rFonts w:ascii="Times New Roman" w:hAnsi="Times New Roman" w:cs="Times New Roman"/>
        </w:rPr>
        <w:t xml:space="preserve"> </w:t>
      </w:r>
    </w:p>
    <w:p w:rsidR="005568B1" w:rsidRDefault="005568B1" w:rsidP="005568B1">
      <w:pPr>
        <w:pBdr>
          <w:bottom w:val="single" w:sz="4" w:space="1" w:color="auto"/>
          <w:between w:val="single" w:sz="4" w:space="1" w:color="auto"/>
        </w:pBdr>
      </w:pPr>
      <w:r w:rsidRPr="00E636A2">
        <w:rPr>
          <w:rFonts w:ascii="Times New Roman" w:hAnsi="Times New Roman" w:cs="Times New Roman"/>
          <w:b/>
          <w:color w:val="767171" w:themeColor="background2" w:themeShade="80"/>
        </w:rPr>
        <w:t>riaditeľ divízie služieb rozvoja:</w:t>
      </w:r>
      <w:r>
        <w:tab/>
      </w:r>
      <w:r>
        <w:tab/>
      </w:r>
      <w:r>
        <w:rPr>
          <w:rFonts w:ascii="Times New Roman" w:hAnsi="Times New Roman" w:cs="Times New Roman"/>
        </w:rPr>
        <w:t>Ing. Jozef Seifert</w:t>
      </w:r>
      <w:r>
        <w:t xml:space="preserve"> </w:t>
      </w:r>
    </w:p>
    <w:p w:rsidR="005568B1" w:rsidRDefault="005568B1" w:rsidP="005568B1">
      <w:pPr>
        <w:pBdr>
          <w:bottom w:val="single" w:sz="4" w:space="1" w:color="auto"/>
          <w:between w:val="single" w:sz="4" w:space="1" w:color="auto"/>
        </w:pBdr>
      </w:pPr>
      <w:r w:rsidRPr="00E636A2">
        <w:rPr>
          <w:rFonts w:ascii="Times New Roman" w:hAnsi="Times New Roman" w:cs="Times New Roman"/>
          <w:b/>
          <w:color w:val="767171" w:themeColor="background2" w:themeShade="80"/>
        </w:rPr>
        <w:t>riaditeľ divízie tepelného hospodárstva:</w:t>
      </w:r>
      <w:r w:rsidRPr="00E636A2">
        <w:rPr>
          <w:color w:val="767171" w:themeColor="background2" w:themeShade="80"/>
        </w:rPr>
        <w:t xml:space="preserve"> </w:t>
      </w:r>
      <w:r>
        <w:tab/>
      </w:r>
      <w:r>
        <w:rPr>
          <w:rFonts w:ascii="Times New Roman" w:hAnsi="Times New Roman" w:cs="Times New Roman"/>
        </w:rPr>
        <w:t>Ing. Anton Slanička</w:t>
      </w:r>
      <w:r>
        <w:t xml:space="preserve"> </w:t>
      </w:r>
    </w:p>
    <w:p w:rsidR="005568B1" w:rsidRDefault="005568B1" w:rsidP="005568B1">
      <w:pPr>
        <w:jc w:val="both"/>
        <w:rPr>
          <w:rFonts w:ascii="Arial" w:hAnsi="Arial" w:cs="Arial"/>
          <w:smallCaps/>
          <w:color w:val="538135" w:themeColor="accent6" w:themeShade="BF"/>
          <w:sz w:val="36"/>
          <w:szCs w:val="36"/>
        </w:rPr>
      </w:pPr>
    </w:p>
    <w:p w:rsidR="005568B1" w:rsidRDefault="005568B1" w:rsidP="005568B1">
      <w:pPr>
        <w:jc w:val="both"/>
        <w:rPr>
          <w:rFonts w:ascii="Arial" w:hAnsi="Arial" w:cs="Arial"/>
          <w:smallCaps/>
          <w:color w:val="538135" w:themeColor="accent6" w:themeShade="BF"/>
          <w:sz w:val="36"/>
          <w:szCs w:val="36"/>
        </w:rPr>
      </w:pPr>
    </w:p>
    <w:p w:rsidR="005568B1" w:rsidRPr="00FE449F" w:rsidRDefault="005568B1" w:rsidP="005258DD">
      <w:pPr>
        <w:pStyle w:val="nadpisybytterm"/>
      </w:pPr>
      <w:r>
        <w:lastRenderedPageBreak/>
        <w:t>ORGANIZAČNÁ ŠTRUKTÚRA</w:t>
      </w:r>
    </w:p>
    <w:p w:rsidR="005568B1" w:rsidRDefault="005568B1" w:rsidP="005568B1">
      <w:pPr>
        <w:jc w:val="both"/>
        <w:rPr>
          <w:rFonts w:ascii="Arial" w:hAnsi="Arial" w:cs="Arial"/>
          <w:sz w:val="36"/>
          <w:szCs w:val="36"/>
        </w:rPr>
      </w:pPr>
    </w:p>
    <w:p w:rsidR="005568B1" w:rsidRPr="00854369" w:rsidRDefault="005568B1" w:rsidP="005568B1">
      <w:pPr>
        <w:jc w:val="both"/>
        <w:rPr>
          <w:rFonts w:ascii="Arial" w:hAnsi="Arial" w:cs="Arial"/>
          <w:sz w:val="36"/>
          <w:szCs w:val="36"/>
        </w:rPr>
      </w:pPr>
      <w:r>
        <w:rPr>
          <w:rFonts w:ascii="Arial" w:hAnsi="Arial" w:cs="Arial"/>
          <w:smallCaps/>
          <w:noProof/>
          <w:color w:val="70AD47" w:themeColor="accent6"/>
          <w:sz w:val="36"/>
          <w:szCs w:val="36"/>
          <w:lang w:eastAsia="sk-SK"/>
        </w:rPr>
        <w:drawing>
          <wp:anchor distT="0" distB="0" distL="114300" distR="114300" simplePos="0" relativeHeight="251659264" behindDoc="0" locked="0" layoutInCell="1" allowOverlap="1" wp14:anchorId="7B4C9534" wp14:editId="4404EE31">
            <wp:simplePos x="0" y="0"/>
            <wp:positionH relativeFrom="column">
              <wp:posOffset>-375920</wp:posOffset>
            </wp:positionH>
            <wp:positionV relativeFrom="paragraph">
              <wp:posOffset>373380</wp:posOffset>
            </wp:positionV>
            <wp:extent cx="6353810" cy="3778885"/>
            <wp:effectExtent l="0" t="0" r="0" b="3111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Pr="00854369" w:rsidRDefault="005568B1" w:rsidP="005568B1">
      <w:pPr>
        <w:rPr>
          <w:rFonts w:ascii="Arial" w:hAnsi="Arial" w:cs="Arial"/>
          <w:sz w:val="36"/>
          <w:szCs w:val="36"/>
        </w:rPr>
      </w:pPr>
    </w:p>
    <w:p w:rsidR="005568B1" w:rsidRDefault="005568B1" w:rsidP="005568B1">
      <w:pPr>
        <w:rPr>
          <w:rFonts w:ascii="Arial" w:hAnsi="Arial" w:cs="Arial"/>
          <w:sz w:val="36"/>
          <w:szCs w:val="36"/>
        </w:rPr>
      </w:pPr>
    </w:p>
    <w:p w:rsidR="005568B1" w:rsidRDefault="005568B1" w:rsidP="005568B1">
      <w:pPr>
        <w:jc w:val="both"/>
        <w:rPr>
          <w:rFonts w:ascii="Arial" w:hAnsi="Arial" w:cs="Arial"/>
          <w:b/>
          <w:smallCaps/>
          <w:color w:val="538135" w:themeColor="accent6" w:themeShade="BF"/>
          <w:sz w:val="32"/>
          <w:szCs w:val="32"/>
        </w:rPr>
      </w:pPr>
    </w:p>
    <w:p w:rsidR="005568B1" w:rsidRPr="002D13A0" w:rsidRDefault="005568B1" w:rsidP="005568B1">
      <w:pPr>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útvar generálneho riaditeľa</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 xml:space="preserve">Metodicky usmerňuje ostatné divízie v oblasti energetiky, analyzuje príčiny strát v tepelnom hospodárstve a navrhuje riešenia na ich optimalizáciu. </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 xml:space="preserve">V spolupráci s divíziou tepelného hospodárstva sa podieľa na príprave ceny tepla a jej vyúčtovaní. Zabezpečuje právny servis pre akciovú spoločnosť, vrátane spolupráce pri vymáhaní pohľadávok a vykonáva kontrolno-analytickú a marketingovo–obchodnú činnosť. </w:t>
      </w:r>
    </w:p>
    <w:p w:rsidR="005568B1" w:rsidRPr="002D13A0" w:rsidRDefault="005568B1" w:rsidP="005568B1">
      <w:pPr>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ekonomická divízia</w:t>
      </w:r>
    </w:p>
    <w:p w:rsidR="00606585" w:rsidRDefault="005568B1" w:rsidP="00606585">
      <w:pPr>
        <w:ind w:right="563"/>
        <w:jc w:val="both"/>
        <w:rPr>
          <w:rFonts w:ascii="Arial" w:hAnsi="Arial" w:cs="Arial"/>
          <w:sz w:val="24"/>
          <w:szCs w:val="24"/>
        </w:rPr>
      </w:pPr>
      <w:r w:rsidRPr="002D13A0">
        <w:rPr>
          <w:rFonts w:ascii="Arial" w:hAnsi="Arial" w:cs="Arial"/>
          <w:sz w:val="24"/>
          <w:szCs w:val="24"/>
        </w:rPr>
        <w:t>Metodicky riadi a usmerňuje ostatné divízie v ekonomickej oblasti, zabezpečuje výkon ekonomických činností - plánovanie, štatistiku, financovanie , pokladničnú činnosť, vedenie účtovníctva na oboch účtovných okruhoch, daňovú agendu, vedenie personálnej a mzdovej agendy . Riadi činnosť Práčovne a chemickej čistiarne.</w:t>
      </w:r>
    </w:p>
    <w:p w:rsidR="005568B1" w:rsidRPr="00606585" w:rsidRDefault="005568B1" w:rsidP="00606585">
      <w:pPr>
        <w:ind w:right="563"/>
        <w:jc w:val="both"/>
        <w:rPr>
          <w:rFonts w:ascii="Arial" w:hAnsi="Arial" w:cs="Arial"/>
          <w:sz w:val="24"/>
          <w:szCs w:val="24"/>
        </w:rPr>
      </w:pPr>
      <w:r w:rsidRPr="002D13A0">
        <w:rPr>
          <w:rFonts w:ascii="Arial" w:hAnsi="Arial" w:cs="Arial"/>
          <w:b/>
          <w:smallCaps/>
          <w:color w:val="2F5496" w:themeColor="accent5" w:themeShade="BF"/>
          <w:sz w:val="32"/>
          <w:szCs w:val="32"/>
        </w:rPr>
        <w:lastRenderedPageBreak/>
        <w:t>divízia správy majetku</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Zabezpečuje výkon správy bytov a nebytových priestorov vrátane služieb spojených s bývaním na zmluvnom základe a údržbu spravovaného majetku podľa požiadaviek vlastníkov bytov a nebytových priestorov.</w:t>
      </w:r>
    </w:p>
    <w:p w:rsidR="005568B1" w:rsidRPr="002D13A0" w:rsidRDefault="005568B1" w:rsidP="005568B1">
      <w:pPr>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divízia výroby a služieb</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Realizuje investičné stavby pre tepelné hospodárstvo (rekonštrukcia výmenníkových staníc vrátane technológie, výmena ležatých rozvodov), vykonáva rekonštrukciu, opravy a údržbu tepelných zariadení pre akciovú spoločnosť alebo iných odberateľov. Zabezpečuje opravy a údržbu bytového fondu v základných stavebných profesiách (vodár, kúrenár, elektrikár, opravár výťahov, murár, klampiar) podľa požiadaviek vlastníkov bytov a nebytových priestorov. Realizuje hydraulické vyregulovanie ÚK a TÚV a komplexnú výmenu rozvodov v bytových domoch.</w:t>
      </w:r>
    </w:p>
    <w:p w:rsidR="005568B1" w:rsidRPr="002D13A0" w:rsidRDefault="005568B1" w:rsidP="005568B1">
      <w:pPr>
        <w:ind w:right="563"/>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divízia služieb rozvoja</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 xml:space="preserve">Zabezpečuje komplexný manažment vlastných investičných projektov v rámci celej akciovej spoločnosti. </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Zabezpečuje revízie vyhradených technických zariadení v profesiách plyn, elektro  a tlakové nádoby pre vlastné potreby (spravované domy, výmenníkové stanice, plynové kotolne, sekundárne rozvody ÚK a TÚV), ale aj pre  potreby  externých odberateľov.</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Zabezpečuje pre akciovú spoločnosť prevádzkovanie, údržbu, servis a rozširovanie celej počítačovej siete akciovej spoločnosti, údržbu a servis výpočtovej techniky a používaného softvéru inštalovaného v rámci tejto počítačovej siete. Zodpovedá za bezpečnosť a ochranu celej počítačovej siete vrátane garanta  v zmysle platnej legislatívy zákona na ochranu osobných údajov pre celú akciovú spoločnosť.</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Zabezpečuje výkony strediska mechanizácie  pre potreby ostatných divízií a externých odberateľov. Zabezpečuje taktiež komplexný servis vlastného vozového parku akciovej spoločnosti.</w:t>
      </w:r>
    </w:p>
    <w:p w:rsidR="005568B1" w:rsidRPr="002D13A0" w:rsidRDefault="005568B1" w:rsidP="005568B1">
      <w:pPr>
        <w:ind w:right="563"/>
        <w:jc w:val="both"/>
        <w:rPr>
          <w:rFonts w:ascii="Arial" w:hAnsi="Arial" w:cs="Arial"/>
          <w:b/>
          <w:smallCaps/>
          <w:color w:val="2F5496" w:themeColor="accent5" w:themeShade="BF"/>
          <w:sz w:val="32"/>
          <w:szCs w:val="32"/>
        </w:rPr>
      </w:pPr>
      <w:r w:rsidRPr="002D13A0">
        <w:rPr>
          <w:rFonts w:ascii="Arial" w:hAnsi="Arial" w:cs="Arial"/>
          <w:b/>
          <w:smallCaps/>
          <w:color w:val="2F5496" w:themeColor="accent5" w:themeShade="BF"/>
          <w:sz w:val="32"/>
          <w:szCs w:val="32"/>
        </w:rPr>
        <w:t>divízia tepelného hospodárstva</w:t>
      </w:r>
    </w:p>
    <w:p w:rsidR="005568B1" w:rsidRDefault="005568B1" w:rsidP="005568B1">
      <w:pPr>
        <w:ind w:right="563"/>
        <w:jc w:val="both"/>
        <w:rPr>
          <w:rFonts w:ascii="Arial" w:hAnsi="Arial" w:cs="Arial"/>
          <w:sz w:val="24"/>
          <w:szCs w:val="24"/>
        </w:rPr>
      </w:pPr>
      <w:r w:rsidRPr="002D13A0">
        <w:rPr>
          <w:rFonts w:ascii="Arial" w:hAnsi="Arial" w:cs="Arial"/>
          <w:sz w:val="24"/>
          <w:szCs w:val="24"/>
        </w:rPr>
        <w:t xml:space="preserve">Prevádzkuje tepelné zariadenia, prostredníctvom ktorých zabezpečuje výrobu a dodávku tepla a teplej úžitkovej vody pre bytovo-komunálnu sféru mesta Žilina. Prostredníctvom centrálnych dispečingov koordinuje , riadi a monitoruje činnosť tepelných zariadení. Zabezpečuje nepretržitú havarijnú službu zameranú na okamžité odstraňovanie porúch a havárií v tepelnom hospodárstve. </w:t>
      </w:r>
    </w:p>
    <w:p w:rsidR="005568B1" w:rsidRPr="00606585" w:rsidRDefault="005568B1" w:rsidP="005568B1">
      <w:pPr>
        <w:ind w:right="563"/>
        <w:jc w:val="both"/>
        <w:rPr>
          <w:rFonts w:ascii="Arial" w:hAnsi="Arial" w:cs="Arial"/>
          <w:sz w:val="24"/>
          <w:szCs w:val="24"/>
        </w:rPr>
      </w:pPr>
      <w:r w:rsidRPr="002D13A0">
        <w:rPr>
          <w:rFonts w:ascii="Arial" w:hAnsi="Arial" w:cs="Arial"/>
          <w:sz w:val="24"/>
          <w:szCs w:val="24"/>
        </w:rPr>
        <w:t xml:space="preserve">Zodpovedá za kontrolu, overovanie a servis fakturačných meradiel spotreby tepla. Za účelom zabezpečenia plynulého chodu tepelných zariadení vykonáva ich nevyhnutné opravy a údržbu a spolupracuje pri ich modernizácii prostredníctvom investícií . </w:t>
      </w:r>
    </w:p>
    <w:p w:rsidR="005568B1" w:rsidRPr="00FE449F" w:rsidRDefault="005568B1" w:rsidP="005258DD">
      <w:pPr>
        <w:pStyle w:val="nadpisybytterm"/>
      </w:pPr>
      <w:r>
        <w:lastRenderedPageBreak/>
        <w:t>TEPELNÉ HOSPODÁRSTVO</w:t>
      </w:r>
    </w:p>
    <w:p w:rsidR="005568B1" w:rsidRPr="00133E30" w:rsidRDefault="005568B1" w:rsidP="005568B1">
      <w:pPr>
        <w:ind w:right="563"/>
        <w:jc w:val="both"/>
        <w:rPr>
          <w:rFonts w:ascii="Arial" w:hAnsi="Arial" w:cs="Arial"/>
          <w:smallCaps/>
          <w:color w:val="538135" w:themeColor="accent6" w:themeShade="BF"/>
          <w:sz w:val="36"/>
          <w:szCs w:val="36"/>
        </w:rPr>
      </w:pPr>
      <w:r w:rsidRPr="00133E30">
        <w:rPr>
          <w:rFonts w:ascii="Arial" w:hAnsi="Arial" w:cs="Arial"/>
          <w:smallCaps/>
          <w:color w:val="538135" w:themeColor="accent6" w:themeShade="BF"/>
          <w:sz w:val="36"/>
          <w:szCs w:val="36"/>
        </w:rPr>
        <w:t>výroba a distribúcia tepla</w:t>
      </w:r>
    </w:p>
    <w:p w:rsidR="005568B1" w:rsidRPr="002D13A0" w:rsidRDefault="005568B1" w:rsidP="005568B1">
      <w:pPr>
        <w:jc w:val="both"/>
        <w:rPr>
          <w:rFonts w:ascii="Arial" w:hAnsi="Arial" w:cs="Arial"/>
          <w:sz w:val="24"/>
          <w:szCs w:val="24"/>
        </w:rPr>
      </w:pPr>
      <w:r w:rsidRPr="002D13A0">
        <w:rPr>
          <w:rFonts w:ascii="Arial" w:hAnsi="Arial" w:cs="Arial"/>
          <w:sz w:val="24"/>
          <w:szCs w:val="24"/>
        </w:rPr>
        <w:t>Hlavnou činnosťou spoločnosti BYTTERM, a.s. je výroba, distribúcia a predaj tepla a teplej vody. Teplom a teplou vodou zásobujeme viac ako 21-tisíc bytov a takmer 200 nebytových objektov na území mesta Žilina (predškolské a školské zariadenia, obchodné a administratívne priestory). Celkový výkon tepelných zariadení predstavuje 146 MW.</w:t>
      </w:r>
    </w:p>
    <w:p w:rsidR="005568B1" w:rsidRPr="002D13A0" w:rsidRDefault="005568B1" w:rsidP="005568B1">
      <w:pPr>
        <w:jc w:val="both"/>
        <w:rPr>
          <w:rFonts w:ascii="Arial" w:hAnsi="Arial" w:cs="Arial"/>
          <w:sz w:val="24"/>
          <w:szCs w:val="24"/>
        </w:rPr>
      </w:pPr>
      <w:r w:rsidRPr="002D13A0">
        <w:rPr>
          <w:rFonts w:ascii="Arial" w:hAnsi="Arial" w:cs="Arial"/>
          <w:sz w:val="24"/>
          <w:szCs w:val="24"/>
        </w:rPr>
        <w:t>Na zabezpečenie výroby a distribúcie tepla DTH prevádzkuje 96 tepelných zariadení, z toho:</w:t>
      </w:r>
    </w:p>
    <w:p w:rsidR="005568B1" w:rsidRPr="002D13A0" w:rsidRDefault="005568B1" w:rsidP="005568B1">
      <w:pPr>
        <w:jc w:val="both"/>
        <w:rPr>
          <w:rFonts w:ascii="Arial" w:hAnsi="Arial" w:cs="Arial"/>
          <w:sz w:val="24"/>
          <w:szCs w:val="24"/>
        </w:rPr>
      </w:pPr>
      <w:r w:rsidRPr="002D13A0">
        <w:rPr>
          <w:rFonts w:ascii="Arial" w:hAnsi="Arial" w:cs="Arial"/>
          <w:color w:val="538135" w:themeColor="accent6" w:themeShade="BF"/>
          <w:sz w:val="24"/>
          <w:szCs w:val="24"/>
        </w:rPr>
        <w:sym w:font="Wingdings" w:char="F0D8"/>
      </w:r>
      <w:r w:rsidRPr="002D13A0">
        <w:rPr>
          <w:rFonts w:ascii="Arial" w:hAnsi="Arial" w:cs="Arial"/>
          <w:color w:val="538135" w:themeColor="accent6" w:themeShade="BF"/>
          <w:sz w:val="24"/>
          <w:szCs w:val="24"/>
        </w:rPr>
        <w:t xml:space="preserve">    </w:t>
      </w:r>
      <w:r w:rsidRPr="002D13A0">
        <w:rPr>
          <w:rFonts w:ascii="Arial" w:hAnsi="Arial" w:cs="Arial"/>
          <w:sz w:val="24"/>
          <w:szCs w:val="24"/>
        </w:rPr>
        <w:t>47 parných a horúcovodných výmenníkových staníc (VS) Vlčince, Solinky, Hliny, Mesto,</w:t>
      </w:r>
    </w:p>
    <w:p w:rsidR="005568B1" w:rsidRPr="002D13A0" w:rsidRDefault="005568B1" w:rsidP="005568B1">
      <w:pPr>
        <w:jc w:val="both"/>
        <w:rPr>
          <w:rFonts w:ascii="Arial" w:hAnsi="Arial" w:cs="Arial"/>
          <w:sz w:val="24"/>
          <w:szCs w:val="24"/>
        </w:rPr>
      </w:pPr>
      <w:r w:rsidRPr="002D13A0">
        <w:rPr>
          <w:rFonts w:ascii="Arial" w:hAnsi="Arial" w:cs="Arial"/>
          <w:color w:val="538135" w:themeColor="accent6" w:themeShade="BF"/>
          <w:sz w:val="24"/>
          <w:szCs w:val="24"/>
        </w:rPr>
        <w:sym w:font="Wingdings" w:char="F0D8"/>
      </w:r>
      <w:r w:rsidRPr="002D13A0">
        <w:rPr>
          <w:rFonts w:ascii="Arial" w:hAnsi="Arial" w:cs="Arial"/>
          <w:color w:val="538135" w:themeColor="accent6" w:themeShade="BF"/>
          <w:sz w:val="24"/>
          <w:szCs w:val="24"/>
        </w:rPr>
        <w:t xml:space="preserve">    </w:t>
      </w:r>
      <w:r w:rsidRPr="002D13A0">
        <w:rPr>
          <w:rFonts w:ascii="Arial" w:hAnsi="Arial" w:cs="Arial"/>
          <w:sz w:val="24"/>
          <w:szCs w:val="24"/>
        </w:rPr>
        <w:t>5 veľkých plynových kotolní (VPK),</w:t>
      </w:r>
    </w:p>
    <w:p w:rsidR="005568B1" w:rsidRPr="002D13A0" w:rsidRDefault="005568B1" w:rsidP="005568B1">
      <w:pPr>
        <w:jc w:val="both"/>
        <w:rPr>
          <w:rFonts w:ascii="Arial" w:hAnsi="Arial" w:cs="Arial"/>
          <w:sz w:val="24"/>
          <w:szCs w:val="24"/>
        </w:rPr>
      </w:pPr>
      <w:r w:rsidRPr="002D13A0">
        <w:rPr>
          <w:rFonts w:ascii="Arial" w:hAnsi="Arial" w:cs="Arial"/>
          <w:color w:val="538135" w:themeColor="accent6" w:themeShade="BF"/>
          <w:sz w:val="24"/>
          <w:szCs w:val="24"/>
        </w:rPr>
        <w:sym w:font="Wingdings" w:char="F0D8"/>
      </w:r>
      <w:r w:rsidRPr="002D13A0">
        <w:rPr>
          <w:rFonts w:ascii="Arial" w:hAnsi="Arial" w:cs="Arial"/>
          <w:sz w:val="24"/>
          <w:szCs w:val="24"/>
        </w:rPr>
        <w:t xml:space="preserve">    20 samostatných kompaktných odovzdávacích staníc – KOS,</w:t>
      </w:r>
    </w:p>
    <w:p w:rsidR="005568B1" w:rsidRPr="002D13A0" w:rsidRDefault="005568B1" w:rsidP="005568B1">
      <w:pPr>
        <w:jc w:val="both"/>
        <w:rPr>
          <w:rFonts w:ascii="Arial" w:hAnsi="Arial" w:cs="Arial"/>
          <w:sz w:val="24"/>
          <w:szCs w:val="24"/>
        </w:rPr>
      </w:pPr>
      <w:r w:rsidRPr="002D13A0">
        <w:rPr>
          <w:rFonts w:ascii="Arial" w:hAnsi="Arial" w:cs="Arial"/>
          <w:color w:val="538135" w:themeColor="accent6" w:themeShade="BF"/>
          <w:sz w:val="24"/>
          <w:szCs w:val="24"/>
        </w:rPr>
        <w:sym w:font="Wingdings" w:char="F0D8"/>
      </w:r>
      <w:r w:rsidRPr="002D13A0">
        <w:rPr>
          <w:rFonts w:ascii="Arial" w:hAnsi="Arial" w:cs="Arial"/>
          <w:sz w:val="24"/>
          <w:szCs w:val="24"/>
        </w:rPr>
        <w:t xml:space="preserve">    24 malých plynových kotolní (MPK).  </w:t>
      </w:r>
    </w:p>
    <w:p w:rsidR="005568B1" w:rsidRPr="002D13A0" w:rsidRDefault="005568B1" w:rsidP="005568B1">
      <w:pPr>
        <w:jc w:val="both"/>
        <w:rPr>
          <w:rFonts w:ascii="Arial" w:hAnsi="Arial" w:cs="Arial"/>
          <w:sz w:val="24"/>
          <w:szCs w:val="24"/>
        </w:rPr>
      </w:pPr>
      <w:r w:rsidRPr="002D13A0">
        <w:rPr>
          <w:rFonts w:ascii="Arial" w:hAnsi="Arial" w:cs="Arial"/>
          <w:sz w:val="24"/>
          <w:szCs w:val="24"/>
        </w:rPr>
        <w:t>Dodávateľom média (pary, horúcej vody) pre naše parné a horúcovodné zariadenia je Žilinská teplárenská, a.s. Až 86% z celého nami dodávaného tepla a teplej vody je z výmenníkových staníc a zostávajúcich 14% vyrábame a dodávame z plynových kotolní.</w:t>
      </w:r>
    </w:p>
    <w:p w:rsidR="005568B1" w:rsidRPr="002D13A0" w:rsidRDefault="005568B1" w:rsidP="005568B1">
      <w:pPr>
        <w:jc w:val="both"/>
        <w:rPr>
          <w:rFonts w:ascii="Arial" w:hAnsi="Arial" w:cs="Arial"/>
          <w:sz w:val="24"/>
          <w:szCs w:val="24"/>
        </w:rPr>
      </w:pPr>
      <w:r w:rsidRPr="002D13A0">
        <w:rPr>
          <w:rFonts w:ascii="Arial" w:hAnsi="Arial" w:cs="Arial"/>
          <w:sz w:val="24"/>
          <w:szCs w:val="24"/>
        </w:rPr>
        <w:t xml:space="preserve"> Všetky tepelné zariadenia okrem MPK sú vybavené riadiacimi systémami s prepojením na dva dispečingy. Jeden dispečing riadi prevádzku parných a horúcovodných výmenníkových staníc, druhý dispečing riadi prevádzku plynových kotolní a KOS na sídlisku Hájik. Za účelom zabezpečenia plynulej prevádzky tepelných zariadení je na dispečerských pracoviskách nepretržitá prevádzka vrátane havarijnej služby zameriavajúcej sa na odstraňovanie technických a prevádzkových porúch v tepelných zariadeniach a bytovo komunálnom sektore.</w:t>
      </w:r>
    </w:p>
    <w:p w:rsidR="005568B1" w:rsidRPr="006E0F5A" w:rsidRDefault="005568B1" w:rsidP="005568B1">
      <w:pPr>
        <w:jc w:val="both"/>
        <w:rPr>
          <w:rFonts w:ascii="Times New Roman" w:hAnsi="Times New Roman"/>
          <w:sz w:val="24"/>
        </w:rPr>
      </w:pPr>
      <w:r w:rsidRPr="006E0F5A">
        <w:rPr>
          <w:rFonts w:ascii="Times New Roman" w:hAnsi="Times New Roman"/>
          <w:sz w:val="24"/>
        </w:rPr>
        <w:t xml:space="preserve">                                                               </w:t>
      </w:r>
    </w:p>
    <w:p w:rsidR="005568B1" w:rsidRPr="00133E30" w:rsidRDefault="005568B1" w:rsidP="005568B1">
      <w:pPr>
        <w:jc w:val="both"/>
        <w:rPr>
          <w:rFonts w:ascii="Times New Roman" w:hAnsi="Times New Roman"/>
          <w:sz w:val="36"/>
          <w:szCs w:val="36"/>
        </w:rPr>
      </w:pPr>
      <w:r w:rsidRPr="00133E30">
        <w:rPr>
          <w:rFonts w:ascii="Arial" w:hAnsi="Arial" w:cs="Arial"/>
          <w:smallCaps/>
          <w:color w:val="538135" w:themeColor="accent6" w:themeShade="BF"/>
          <w:sz w:val="36"/>
          <w:szCs w:val="36"/>
        </w:rPr>
        <w:t>starostlivosť o energetické zariadenia</w:t>
      </w:r>
    </w:p>
    <w:p w:rsidR="005568B1" w:rsidRPr="002D13A0" w:rsidRDefault="005568B1" w:rsidP="005568B1">
      <w:pPr>
        <w:jc w:val="both"/>
        <w:rPr>
          <w:rFonts w:ascii="Arial" w:hAnsi="Arial" w:cs="Arial"/>
          <w:sz w:val="24"/>
          <w:szCs w:val="24"/>
        </w:rPr>
      </w:pPr>
      <w:r w:rsidRPr="002D13A0">
        <w:rPr>
          <w:rFonts w:ascii="Arial" w:hAnsi="Arial" w:cs="Arial"/>
          <w:sz w:val="24"/>
          <w:szCs w:val="24"/>
        </w:rPr>
        <w:t xml:space="preserve">Pri nepretržitej prevádzke tepelných zariadení je nevyhnutné naplánovať údržbu na priebežné odstraňovanie nedostatkov a porúch, ktoré sa vyskytujú na technologických zariadeniach,  fasádach a strechách VS a PK. </w:t>
      </w:r>
    </w:p>
    <w:p w:rsidR="005568B1" w:rsidRDefault="005568B1" w:rsidP="005568B1">
      <w:pPr>
        <w:jc w:val="center"/>
      </w:pPr>
      <w:r>
        <w:rPr>
          <w:noProof/>
          <w:lang w:eastAsia="sk-SK"/>
        </w:rPr>
        <w:lastRenderedPageBreak/>
        <w:drawing>
          <wp:inline distT="0" distB="0" distL="0" distR="0" wp14:anchorId="0C32A2D9" wp14:editId="0D9E1888">
            <wp:extent cx="3295015" cy="1866900"/>
            <wp:effectExtent l="0" t="0" r="63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015" cy="1866900"/>
                    </a:xfrm>
                    <a:prstGeom prst="rect">
                      <a:avLst/>
                    </a:prstGeom>
                    <a:noFill/>
                  </pic:spPr>
                </pic:pic>
              </a:graphicData>
            </a:graphic>
          </wp:inline>
        </w:drawing>
      </w:r>
    </w:p>
    <w:p w:rsidR="005568B1" w:rsidRDefault="005568B1" w:rsidP="005568B1">
      <w:pPr>
        <w:jc w:val="center"/>
        <w:rPr>
          <w:sz w:val="20"/>
          <w:szCs w:val="20"/>
        </w:rPr>
      </w:pPr>
      <w:r>
        <w:rPr>
          <w:sz w:val="20"/>
          <w:szCs w:val="20"/>
        </w:rPr>
        <w:t>Oprava fasády a strechy VS – SS 6 Solinky</w:t>
      </w:r>
    </w:p>
    <w:p w:rsidR="005568B1" w:rsidRPr="002D13A0" w:rsidRDefault="005568B1" w:rsidP="005568B1">
      <w:pPr>
        <w:jc w:val="both"/>
        <w:rPr>
          <w:rFonts w:ascii="Arial" w:hAnsi="Arial" w:cs="Arial"/>
          <w:sz w:val="24"/>
          <w:szCs w:val="24"/>
        </w:rPr>
      </w:pPr>
      <w:r w:rsidRPr="002D13A0">
        <w:rPr>
          <w:rFonts w:ascii="Arial" w:hAnsi="Arial" w:cs="Arial"/>
          <w:sz w:val="24"/>
          <w:szCs w:val="24"/>
        </w:rPr>
        <w:t>Počas celého roka sme realizovali práce na sústave tepla a teplej vody, pričom sme sa snažili v čo najmenšej miere obmedzovať ich dodávku konečným spotrebiteľom. Z toho vyplýva, že</w:t>
      </w:r>
      <w:r w:rsidRPr="002D13A0">
        <w:rPr>
          <w:rFonts w:ascii="Times New Roman" w:hAnsi="Times New Roman"/>
          <w:sz w:val="24"/>
          <w:szCs w:val="24"/>
        </w:rPr>
        <w:t xml:space="preserve"> </w:t>
      </w:r>
      <w:r w:rsidRPr="002D13A0">
        <w:rPr>
          <w:rFonts w:ascii="Arial" w:hAnsi="Arial" w:cs="Arial"/>
          <w:sz w:val="24"/>
          <w:szCs w:val="24"/>
        </w:rPr>
        <w:t>v rámci plynulej dodávky energií, vrátane ich požadovanej kvality, neustále zabezpečujeme a realizujeme práce ako odstraňovanie porúch na sekundárnych rozvodoch tepla a teplej vody, pretesňovanie prírub, výmena obehových a cirkulačných čerpadiel, teplomerov, tlakomerov, kondenzačných hrncov, opravy a chemické čistenia zásobníkov teplej vody, výmenníkov tepla, servopohonov a mnoho ďalších údržbárskych prác. Treba spomenúť i odstraňovanie nedostatkov po periodických revíziách elektro, tlakových nádob, plynu a rádiového prenosu. Dodávateľsky sme realizovali hlavne práce na riadiacich systémoch, počítačových programoch, diaľkových odpočtoch spotreby tepla a teplej vody, opravách vysielačiek, horákov, kotlov, atď.</w:t>
      </w:r>
    </w:p>
    <w:p w:rsidR="005568B1" w:rsidRPr="002D13A0" w:rsidRDefault="005568B1" w:rsidP="005568B1">
      <w:pPr>
        <w:jc w:val="both"/>
        <w:rPr>
          <w:rFonts w:ascii="Arial" w:hAnsi="Arial" w:cs="Arial"/>
          <w:sz w:val="24"/>
          <w:szCs w:val="24"/>
        </w:rPr>
      </w:pPr>
      <w:r w:rsidRPr="002D13A0">
        <w:rPr>
          <w:rFonts w:ascii="Arial" w:hAnsi="Arial" w:cs="Arial"/>
          <w:sz w:val="24"/>
          <w:szCs w:val="24"/>
        </w:rPr>
        <w:t>V samotných letných mesiacoch, počas ktorých sa nedodáva teplo sa okrem investičných akcií realizujú i práce väčšieho rozsahu, ako napr.: zabrusovanie ventilov, hydraulické vyregulovanie systémov, metrologické overovanie fakturačných meračov tepla a teplej vody atď.</w:t>
      </w:r>
    </w:p>
    <w:p w:rsidR="005568B1" w:rsidRDefault="005568B1" w:rsidP="005568B1">
      <w:pPr>
        <w:jc w:val="both"/>
        <w:rPr>
          <w:rFonts w:ascii="Arial" w:hAnsi="Arial" w:cs="Arial"/>
          <w:b/>
          <w:smallCaps/>
          <w:color w:val="538135" w:themeColor="accent6" w:themeShade="BF"/>
          <w:sz w:val="32"/>
          <w:szCs w:val="32"/>
        </w:rPr>
      </w:pPr>
    </w:p>
    <w:p w:rsidR="005568B1" w:rsidRPr="00133E30" w:rsidRDefault="005568B1" w:rsidP="005568B1">
      <w:pPr>
        <w:jc w:val="both"/>
        <w:rPr>
          <w:rFonts w:ascii="Times New Roman" w:hAnsi="Times New Roman"/>
          <w:sz w:val="36"/>
          <w:szCs w:val="36"/>
        </w:rPr>
      </w:pPr>
      <w:r w:rsidRPr="00133E30">
        <w:rPr>
          <w:rFonts w:ascii="Arial" w:hAnsi="Arial" w:cs="Arial"/>
          <w:smallCaps/>
          <w:color w:val="538135" w:themeColor="accent6" w:themeShade="BF"/>
          <w:sz w:val="36"/>
          <w:szCs w:val="36"/>
        </w:rPr>
        <w:t>rozvoj a obnova tepelných zariadení</w:t>
      </w:r>
    </w:p>
    <w:p w:rsidR="005568B1" w:rsidRPr="002D13A0" w:rsidRDefault="005568B1" w:rsidP="005568B1">
      <w:pPr>
        <w:spacing w:line="240" w:lineRule="auto"/>
        <w:jc w:val="both"/>
        <w:rPr>
          <w:rFonts w:ascii="Arial" w:hAnsi="Arial" w:cs="Arial"/>
          <w:sz w:val="24"/>
          <w:szCs w:val="24"/>
        </w:rPr>
      </w:pPr>
      <w:r w:rsidRPr="002D13A0">
        <w:rPr>
          <w:rFonts w:ascii="Arial" w:hAnsi="Arial" w:cs="Arial"/>
          <w:sz w:val="24"/>
          <w:szCs w:val="24"/>
        </w:rPr>
        <w:t>Spoločnosť Bytterm už od svojho vzniku každoročne v rámci investičnej výstavby vynakladá nemalé finančné prostriedky na obnovu a modernizáciu vlastných tepelných zariadení. V tomto trende má v úmysle aj  naďalej pokračovať. Je to  cesta, ako dosiahnuť jednu z najnižších cien tepla v SR a výrazných úspor tepelnej energie. Výmeny rozvodov a modernizácie technológií výroby tepla pre obyvateľstvo sa realizujú z dosiahnutého hospodárskeho výsledku spoločnosti jeho spätným reinvestovaním do obnovy týchto tepelných technológií. Konečným cieľom je dosiahnutie spoľahlivej, neprerušovanej dodávky tepla pre obyvateľov mesta, zníženie jej energetickej náročnosti a zníženie prevádzkových nákladov pri výrobe tepla a teplej vody.</w:t>
      </w:r>
    </w:p>
    <w:p w:rsidR="005568B1" w:rsidRPr="002D13A0" w:rsidRDefault="005568B1" w:rsidP="005568B1">
      <w:pPr>
        <w:spacing w:line="240" w:lineRule="auto"/>
        <w:jc w:val="both"/>
        <w:rPr>
          <w:rFonts w:ascii="Arial" w:hAnsi="Arial" w:cs="Arial"/>
          <w:sz w:val="24"/>
          <w:szCs w:val="24"/>
        </w:rPr>
      </w:pPr>
      <w:r w:rsidRPr="002D13A0">
        <w:rPr>
          <w:rFonts w:ascii="Arial" w:hAnsi="Arial" w:cs="Arial"/>
          <w:sz w:val="24"/>
          <w:szCs w:val="24"/>
        </w:rPr>
        <w:t xml:space="preserve">V súlade s plánom investícií pre rok 2016 sme  realizovali ďalšie technické opatrenia na zlepšenie energetickej hospodárnosti tepelného hospodárstva  v meste. Jednalo sa o modernizácie jestvujúcich tepelno-technických zariadení z okruhov výmenníkových </w:t>
      </w:r>
      <w:r w:rsidRPr="002D13A0">
        <w:rPr>
          <w:rFonts w:ascii="Arial" w:hAnsi="Arial" w:cs="Arial"/>
          <w:sz w:val="24"/>
          <w:szCs w:val="24"/>
        </w:rPr>
        <w:lastRenderedPageBreak/>
        <w:t>staníc (VS), plynových kotolní (PK) a výmeny sekundárnych rozvodov ústredného kúrenia (ÚK)  a teplej úžitkovej vody (TÚV).</w:t>
      </w:r>
    </w:p>
    <w:p w:rsidR="005568B1" w:rsidRPr="002D13A0" w:rsidRDefault="005568B1" w:rsidP="005568B1">
      <w:pPr>
        <w:spacing w:line="240" w:lineRule="auto"/>
        <w:jc w:val="both"/>
        <w:rPr>
          <w:rFonts w:ascii="Arial" w:hAnsi="Arial" w:cs="Arial"/>
          <w:sz w:val="24"/>
          <w:szCs w:val="24"/>
        </w:rPr>
      </w:pPr>
      <w:r w:rsidRPr="002D13A0">
        <w:rPr>
          <w:rFonts w:ascii="Arial" w:hAnsi="Arial" w:cs="Arial"/>
          <w:sz w:val="24"/>
          <w:szCs w:val="24"/>
        </w:rPr>
        <w:t>V rámci tepelného hospodárstva boli realizované  a zaradené do majetku spoločnosti investičné akcie v sume  745 857</w:t>
      </w:r>
      <w:r w:rsidRPr="002D13A0">
        <w:rPr>
          <w:rFonts w:ascii="Arial" w:hAnsi="Arial" w:cs="Arial"/>
          <w:color w:val="FF0000"/>
          <w:sz w:val="24"/>
          <w:szCs w:val="24"/>
        </w:rPr>
        <w:t xml:space="preserve"> </w:t>
      </w:r>
      <w:r w:rsidRPr="002D13A0">
        <w:rPr>
          <w:rFonts w:ascii="Arial" w:hAnsi="Arial" w:cs="Arial"/>
          <w:sz w:val="24"/>
          <w:szCs w:val="24"/>
        </w:rPr>
        <w:t>€ nasledovne:</w:t>
      </w:r>
    </w:p>
    <w:p w:rsidR="005568B1" w:rsidRPr="002D13A0" w:rsidRDefault="005568B1" w:rsidP="005568B1">
      <w:pPr>
        <w:numPr>
          <w:ilvl w:val="0"/>
          <w:numId w:val="2"/>
        </w:numPr>
        <w:tabs>
          <w:tab w:val="num" w:pos="540"/>
        </w:tabs>
        <w:spacing w:after="200" w:line="240" w:lineRule="auto"/>
        <w:ind w:left="540"/>
        <w:jc w:val="both"/>
        <w:rPr>
          <w:rFonts w:ascii="Arial" w:hAnsi="Arial" w:cs="Arial"/>
          <w:sz w:val="24"/>
          <w:szCs w:val="24"/>
        </w:rPr>
      </w:pPr>
      <w:r w:rsidRPr="002D13A0">
        <w:rPr>
          <w:rFonts w:ascii="Arial" w:hAnsi="Arial" w:cs="Arial"/>
          <w:sz w:val="24"/>
          <w:szCs w:val="24"/>
        </w:rPr>
        <w:t>modernizácia výmenníkovej stanice VS 15 Hliny v sume  215 106  €,</w:t>
      </w:r>
    </w:p>
    <w:p w:rsidR="005568B1" w:rsidRPr="002D13A0" w:rsidRDefault="005568B1" w:rsidP="005568B1">
      <w:pPr>
        <w:numPr>
          <w:ilvl w:val="0"/>
          <w:numId w:val="2"/>
        </w:numPr>
        <w:tabs>
          <w:tab w:val="num" w:pos="540"/>
        </w:tabs>
        <w:spacing w:after="200" w:line="240" w:lineRule="auto"/>
        <w:ind w:left="540"/>
        <w:jc w:val="both"/>
        <w:rPr>
          <w:rFonts w:ascii="Arial" w:hAnsi="Arial" w:cs="Arial"/>
          <w:sz w:val="24"/>
          <w:szCs w:val="24"/>
        </w:rPr>
      </w:pPr>
      <w:r w:rsidRPr="002D13A0">
        <w:rPr>
          <w:rFonts w:ascii="Arial" w:hAnsi="Arial" w:cs="Arial"/>
          <w:sz w:val="24"/>
          <w:szCs w:val="24"/>
        </w:rPr>
        <w:t xml:space="preserve">modernizácia centrálneho dispečingu riadenia výmenníkových staníc v sume 23 100 €,                                                                                   </w:t>
      </w:r>
    </w:p>
    <w:p w:rsidR="005568B1" w:rsidRPr="002D13A0" w:rsidRDefault="005568B1" w:rsidP="005568B1">
      <w:pPr>
        <w:numPr>
          <w:ilvl w:val="0"/>
          <w:numId w:val="2"/>
        </w:numPr>
        <w:tabs>
          <w:tab w:val="num" w:pos="0"/>
        </w:tabs>
        <w:spacing w:after="200" w:line="240" w:lineRule="auto"/>
        <w:ind w:left="540"/>
        <w:jc w:val="both"/>
        <w:rPr>
          <w:rFonts w:ascii="Arial" w:hAnsi="Arial" w:cs="Arial"/>
          <w:sz w:val="24"/>
          <w:szCs w:val="24"/>
        </w:rPr>
      </w:pPr>
      <w:r w:rsidRPr="002D13A0">
        <w:rPr>
          <w:rFonts w:ascii="Arial" w:hAnsi="Arial" w:cs="Arial"/>
          <w:sz w:val="24"/>
          <w:szCs w:val="24"/>
        </w:rPr>
        <w:t>výmena kotla v plynovej kotolni PK1 Hájik v sume 96 296 €,</w:t>
      </w:r>
    </w:p>
    <w:p w:rsidR="005568B1" w:rsidRPr="002D13A0" w:rsidRDefault="005568B1" w:rsidP="005568B1">
      <w:pPr>
        <w:numPr>
          <w:ilvl w:val="0"/>
          <w:numId w:val="2"/>
        </w:numPr>
        <w:tabs>
          <w:tab w:val="num" w:pos="0"/>
        </w:tabs>
        <w:spacing w:after="200" w:line="240" w:lineRule="auto"/>
        <w:ind w:left="540"/>
        <w:jc w:val="both"/>
        <w:rPr>
          <w:rFonts w:ascii="Arial" w:hAnsi="Arial" w:cs="Arial"/>
          <w:sz w:val="24"/>
          <w:szCs w:val="24"/>
        </w:rPr>
      </w:pPr>
      <w:r w:rsidRPr="002D13A0">
        <w:rPr>
          <w:rFonts w:ascii="Arial" w:hAnsi="Arial" w:cs="Arial"/>
          <w:sz w:val="24"/>
          <w:szCs w:val="24"/>
        </w:rPr>
        <w:t>výmena rozvodov TÚV, ÚK okruh VS 06 Vlčince, trasa ul. Prešovská a Levočská v sume 411 355 €.</w:t>
      </w:r>
    </w:p>
    <w:p w:rsidR="005568B1" w:rsidRPr="002D13A0" w:rsidRDefault="005568B1" w:rsidP="005568B1">
      <w:pPr>
        <w:jc w:val="both"/>
        <w:rPr>
          <w:rFonts w:ascii="Arial" w:hAnsi="Arial" w:cs="Arial"/>
          <w:sz w:val="24"/>
          <w:szCs w:val="24"/>
        </w:rPr>
      </w:pPr>
      <w:r w:rsidRPr="002D13A0">
        <w:rPr>
          <w:rFonts w:ascii="Arial" w:hAnsi="Arial" w:cs="Arial"/>
          <w:sz w:val="24"/>
          <w:szCs w:val="24"/>
        </w:rPr>
        <w:t>Pre zabezpečenie spoľahlivej dodávky ÚK a TÚV bola modernizovaná výmenníková stanica VS 15 Hliny na Jarnej ulici , kde v suterénnom priestore bola demontovaná pôvodná parná výmenníková stanica a spätne nainštalovaná nová výmenníková stanica tepla typu horúca para – voda  DANFOSS, o  tepelnom výkone na ohrev ÚK 1600 kW a TÚV 440</w:t>
      </w:r>
      <w:r w:rsidRPr="002D13A0">
        <w:rPr>
          <w:rFonts w:ascii="Arial" w:hAnsi="Arial" w:cs="Arial"/>
          <w:b/>
          <w:color w:val="FF0000"/>
          <w:sz w:val="24"/>
          <w:szCs w:val="24"/>
        </w:rPr>
        <w:t xml:space="preserve"> </w:t>
      </w:r>
      <w:r w:rsidRPr="002D13A0">
        <w:rPr>
          <w:rFonts w:ascii="Arial" w:hAnsi="Arial" w:cs="Arial"/>
          <w:sz w:val="24"/>
          <w:szCs w:val="24"/>
        </w:rPr>
        <w:t>kW. Všetky tieto odborné kúrenárske práce si Bytterm realizoval výlučne vlastnými kmeňovými pracovníkmi. Súčasťou modernizácie bola  aj inštalácia nového riadiaceho regulačného systému firmy SIEMENS vrátane nových prevádzkových rozvodov silnoprúdu, merania a regulácie (MaR).</w:t>
      </w:r>
    </w:p>
    <w:p w:rsidR="005568B1" w:rsidRPr="002D13A0" w:rsidRDefault="005568B1" w:rsidP="005568B1">
      <w:pPr>
        <w:jc w:val="both"/>
        <w:rPr>
          <w:rFonts w:ascii="Arial" w:hAnsi="Arial" w:cs="Arial"/>
          <w:sz w:val="24"/>
          <w:szCs w:val="24"/>
        </w:rPr>
      </w:pPr>
      <w:r w:rsidRPr="002D13A0">
        <w:rPr>
          <w:rFonts w:ascii="Times New Roman" w:hAnsi="Times New Roman" w:cs="Times New Roman"/>
          <w:sz w:val="24"/>
          <w:szCs w:val="24"/>
        </w:rPr>
        <w:t xml:space="preserve">           </w:t>
      </w:r>
      <w:r w:rsidRPr="002D13A0">
        <w:rPr>
          <w:rFonts w:ascii="Arial" w:hAnsi="Arial" w:cs="Arial"/>
          <w:sz w:val="24"/>
          <w:szCs w:val="24"/>
        </w:rPr>
        <w:t>V objekte plynovej kotolne PK1 Hájik na Petzvalovej ulici došlo k výmene 2 ks pôvodných plynových kotlov ČKD za nový teplovodný kotol VIESSMANN o výkone 1250 KW. Kotol má osadený pretlakový horák WEISHAUPT so stavaným frekvenčným meničom. Aj tieto práce boli uskutočnené výlučne vlastnými pracovníkmi firmy.  Zároveň boli pôvodné komíny demontované a nahradené novým dvojplášťovým antikorovým komínom s tlmičom hluku. Touto akciou sa zavŕšila etapa modernizácie všetkých plynových kotolní spoločnosti Bytterm na sídlisku Hájik.</w:t>
      </w:r>
    </w:p>
    <w:p w:rsidR="005568B1" w:rsidRPr="00252D8C" w:rsidRDefault="005568B1" w:rsidP="005568B1">
      <w:pPr>
        <w:jc w:val="both"/>
        <w:rPr>
          <w:rFonts w:ascii="Arial" w:hAnsi="Arial" w:cs="Arial"/>
        </w:rPr>
      </w:pPr>
    </w:p>
    <w:p w:rsidR="005568B1" w:rsidRDefault="005568B1" w:rsidP="005568B1">
      <w:pPr>
        <w:jc w:val="both"/>
      </w:pPr>
      <w:r>
        <w:t xml:space="preserve">      </w:t>
      </w:r>
      <w:r>
        <w:rPr>
          <w:noProof/>
          <w:lang w:eastAsia="sk-SK"/>
        </w:rPr>
        <w:drawing>
          <wp:inline distT="0" distB="0" distL="0" distR="0" wp14:anchorId="051FC7A4" wp14:editId="2F3A94D4">
            <wp:extent cx="2752725" cy="1543050"/>
            <wp:effectExtent l="0" t="0" r="9525" b="0"/>
            <wp:docPr id="7" name="Obrázok 7" descr="H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543050"/>
                    </a:xfrm>
                    <a:prstGeom prst="rect">
                      <a:avLst/>
                    </a:prstGeom>
                    <a:noFill/>
                    <a:ln>
                      <a:noFill/>
                    </a:ln>
                  </pic:spPr>
                </pic:pic>
              </a:graphicData>
            </a:graphic>
          </wp:inline>
        </w:drawing>
      </w:r>
      <w:r>
        <w:rPr>
          <w:noProof/>
          <w:lang w:eastAsia="sk-SK"/>
        </w:rPr>
        <w:drawing>
          <wp:inline distT="0" distB="0" distL="0" distR="0" wp14:anchorId="756C4FF8" wp14:editId="5744DDD2">
            <wp:extent cx="2752725" cy="1552575"/>
            <wp:effectExtent l="0" t="0" r="9525" b="9525"/>
            <wp:docPr id="17" name="Obrázok 17" descr="P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1552575"/>
                    </a:xfrm>
                    <a:prstGeom prst="rect">
                      <a:avLst/>
                    </a:prstGeom>
                    <a:noFill/>
                    <a:ln>
                      <a:noFill/>
                    </a:ln>
                  </pic:spPr>
                </pic:pic>
              </a:graphicData>
            </a:graphic>
          </wp:inline>
        </w:drawing>
      </w:r>
    </w:p>
    <w:p w:rsidR="005568B1" w:rsidRDefault="005568B1" w:rsidP="005568B1">
      <w:pPr>
        <w:jc w:val="both"/>
        <w:rPr>
          <w:sz w:val="20"/>
          <w:szCs w:val="20"/>
        </w:rPr>
      </w:pPr>
      <w:r>
        <w:rPr>
          <w:sz w:val="20"/>
          <w:szCs w:val="20"/>
        </w:rPr>
        <w:t xml:space="preserve">                        VS – HS 15, Hliny VII.</w:t>
      </w:r>
      <w:r>
        <w:rPr>
          <w:sz w:val="20"/>
          <w:szCs w:val="20"/>
        </w:rPr>
        <w:tab/>
      </w:r>
      <w:r>
        <w:rPr>
          <w:sz w:val="20"/>
          <w:szCs w:val="20"/>
        </w:rPr>
        <w:tab/>
        <w:t xml:space="preserve">                    </w:t>
      </w:r>
      <w:r>
        <w:rPr>
          <w:sz w:val="20"/>
          <w:szCs w:val="20"/>
        </w:rPr>
        <w:tab/>
      </w:r>
      <w:r>
        <w:rPr>
          <w:sz w:val="20"/>
          <w:szCs w:val="20"/>
        </w:rPr>
        <w:tab/>
      </w:r>
      <w:r>
        <w:rPr>
          <w:sz w:val="20"/>
          <w:szCs w:val="20"/>
        </w:rPr>
        <w:tab/>
        <w:t>PK K1 Hájik</w:t>
      </w:r>
    </w:p>
    <w:p w:rsidR="005568B1" w:rsidRPr="002D13A0" w:rsidRDefault="005568B1" w:rsidP="005568B1">
      <w:pPr>
        <w:jc w:val="both"/>
        <w:rPr>
          <w:rFonts w:ascii="Arial" w:hAnsi="Arial" w:cs="Arial"/>
          <w:sz w:val="24"/>
          <w:szCs w:val="24"/>
        </w:rPr>
      </w:pPr>
      <w:r w:rsidRPr="002D13A0">
        <w:rPr>
          <w:rFonts w:ascii="Arial" w:hAnsi="Arial" w:cs="Arial"/>
          <w:sz w:val="24"/>
          <w:szCs w:val="24"/>
        </w:rPr>
        <w:t xml:space="preserve">V priestoroch administratívnej budovy spoločnosti Bytterm na Saleziánskej ulici bol nainštalovaný nový centrálny riadiaci dispečerský systém TEDIS. Jedná sa o komplexnú dodávku energetického systému pre vysoko efektívne a spoľahlivé diaľkové riadenie a monitorovanie technologických celkov pre výrobu a distribúciu tepla v meste Žilina. Systém TEDIS umožňuje jednotné riadenie našich  </w:t>
      </w:r>
      <w:r w:rsidRPr="002D13A0">
        <w:rPr>
          <w:rFonts w:ascii="Arial" w:hAnsi="Arial" w:cs="Arial"/>
          <w:sz w:val="24"/>
          <w:szCs w:val="24"/>
        </w:rPr>
        <w:lastRenderedPageBreak/>
        <w:t>výmenníkových staníc osadených rôznymi technológiami od firiem Siemens a Johnson Controls. V histórii spoločnosti Bytterm sa však jedná už o 3-tiu generačnú výmenu takéhoto typu centrálneho riadiaceho systému dodávky a výroby tepla v Žiline.</w:t>
      </w:r>
    </w:p>
    <w:p w:rsidR="005568B1" w:rsidRPr="00252D8C" w:rsidRDefault="005568B1" w:rsidP="005568B1">
      <w:pPr>
        <w:jc w:val="both"/>
        <w:rPr>
          <w:rFonts w:ascii="Arial" w:hAnsi="Arial" w:cs="Arial"/>
        </w:rPr>
      </w:pPr>
    </w:p>
    <w:p w:rsidR="005568B1" w:rsidRDefault="005568B1" w:rsidP="005568B1">
      <w:pPr>
        <w:jc w:val="center"/>
      </w:pPr>
      <w:r>
        <w:rPr>
          <w:noProof/>
          <w:lang w:eastAsia="sk-SK"/>
        </w:rPr>
        <w:drawing>
          <wp:inline distT="0" distB="0" distL="0" distR="0" wp14:anchorId="07FE9D88" wp14:editId="4DEE0E85">
            <wp:extent cx="3248025" cy="1838325"/>
            <wp:effectExtent l="0" t="0" r="9525" b="9525"/>
            <wp:docPr id="10" name="Obrázok 10" descr="rozvody V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vody VS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1838325"/>
                    </a:xfrm>
                    <a:prstGeom prst="rect">
                      <a:avLst/>
                    </a:prstGeom>
                    <a:noFill/>
                    <a:ln>
                      <a:noFill/>
                    </a:ln>
                  </pic:spPr>
                </pic:pic>
              </a:graphicData>
            </a:graphic>
          </wp:inline>
        </w:drawing>
      </w:r>
    </w:p>
    <w:p w:rsidR="005568B1" w:rsidRDefault="005568B1" w:rsidP="005568B1">
      <w:pPr>
        <w:jc w:val="center"/>
        <w:rPr>
          <w:sz w:val="20"/>
          <w:szCs w:val="20"/>
        </w:rPr>
      </w:pPr>
      <w:r w:rsidRPr="0060789F">
        <w:rPr>
          <w:sz w:val="20"/>
          <w:szCs w:val="20"/>
        </w:rPr>
        <w:t xml:space="preserve">Rozvody </w:t>
      </w:r>
      <w:r>
        <w:rPr>
          <w:sz w:val="20"/>
          <w:szCs w:val="20"/>
        </w:rPr>
        <w:t xml:space="preserve">ÚK a TÚV - </w:t>
      </w:r>
      <w:r w:rsidRPr="0060789F">
        <w:rPr>
          <w:sz w:val="20"/>
          <w:szCs w:val="20"/>
        </w:rPr>
        <w:t xml:space="preserve">VS </w:t>
      </w:r>
      <w:r>
        <w:rPr>
          <w:sz w:val="20"/>
          <w:szCs w:val="20"/>
        </w:rPr>
        <w:t>6</w:t>
      </w:r>
      <w:r w:rsidRPr="0060789F">
        <w:rPr>
          <w:sz w:val="20"/>
          <w:szCs w:val="20"/>
        </w:rPr>
        <w:t xml:space="preserve"> Vlčince</w:t>
      </w:r>
    </w:p>
    <w:p w:rsidR="005568B1" w:rsidRPr="0060789F" w:rsidRDefault="005568B1" w:rsidP="005568B1">
      <w:pPr>
        <w:jc w:val="center"/>
        <w:rPr>
          <w:sz w:val="20"/>
          <w:szCs w:val="20"/>
        </w:rPr>
      </w:pPr>
    </w:p>
    <w:p w:rsidR="005568B1" w:rsidRPr="002D13A0" w:rsidRDefault="005568B1" w:rsidP="005568B1">
      <w:pPr>
        <w:tabs>
          <w:tab w:val="left" w:pos="0"/>
        </w:tabs>
        <w:spacing w:line="240" w:lineRule="auto"/>
        <w:jc w:val="both"/>
        <w:rPr>
          <w:rFonts w:ascii="Arial" w:hAnsi="Arial" w:cs="Arial"/>
          <w:sz w:val="24"/>
          <w:szCs w:val="24"/>
        </w:rPr>
      </w:pPr>
      <w:r w:rsidRPr="002D13A0">
        <w:rPr>
          <w:rFonts w:ascii="Arial" w:hAnsi="Arial" w:cs="Arial"/>
          <w:sz w:val="24"/>
          <w:szCs w:val="24"/>
        </w:rPr>
        <w:t xml:space="preserve">V roku 2016 spoločnosť Bytterm pokračovala vo  výmene rozvodov z výmenníkovej stanice VS 6 na sídlisku Vlčince a to trasou na Prešovskej a Levočskej ulici. Na tomto tepelnom okruhu  sa jednalo o realizáciu výmeny rozvodov v celkovej dĺžke </w:t>
      </w:r>
      <w:smartTag w:uri="urn:schemas-microsoft-com:office:smarttags" w:element="metricconverter">
        <w:smartTagPr>
          <w:attr w:name="ProductID" w:val="477 m"/>
        </w:smartTagPr>
        <w:r w:rsidRPr="002D13A0">
          <w:rPr>
            <w:rFonts w:ascii="Arial" w:hAnsi="Arial" w:cs="Arial"/>
            <w:sz w:val="24"/>
            <w:szCs w:val="24"/>
          </w:rPr>
          <w:t>477 m</w:t>
        </w:r>
      </w:smartTag>
      <w:r w:rsidRPr="002D13A0">
        <w:rPr>
          <w:rFonts w:ascii="Arial" w:hAnsi="Arial" w:cs="Arial"/>
          <w:sz w:val="24"/>
          <w:szCs w:val="24"/>
        </w:rPr>
        <w:t>. Súčasne sa vykonala hydraulická regulácia ÚK v jednotlivých odberných miestach. Práce boli kompletne realizované pracovníkmi firmy Bytterm a ukončené vrátane terénnych úprav ku dňu 15.11.2016.</w:t>
      </w:r>
    </w:p>
    <w:p w:rsidR="005568B1" w:rsidRDefault="005568B1" w:rsidP="005568B1">
      <w:pPr>
        <w:jc w:val="both"/>
        <w:rPr>
          <w:rFonts w:ascii="Arial" w:hAnsi="Arial" w:cs="Arial"/>
          <w:smallCaps/>
          <w:color w:val="538135" w:themeColor="accent6" w:themeShade="BF"/>
          <w:sz w:val="36"/>
          <w:szCs w:val="36"/>
        </w:rPr>
      </w:pPr>
    </w:p>
    <w:p w:rsidR="005568B1" w:rsidRPr="008F2DF7" w:rsidRDefault="005568B1" w:rsidP="005568B1">
      <w:pPr>
        <w:jc w:val="both"/>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štandardy kvality</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 xml:space="preserve">Štandardy kvality dodávaného tepla a služieb poskytovaných pri jeho dodávke boli v roku 2016 sledované, evidované a vyhodnotené v súlade s Vyhláškou ÚRSO č. 277/2012 Z.z.. </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 xml:space="preserve">Za rok 2016 dosiahla spoločnosť BYTTERM, a.s. výslednú hodnotu dosiahnutej úrovne kvality 100 %, čo </w:t>
      </w:r>
      <w:r w:rsidR="00CD089F">
        <w:rPr>
          <w:rFonts w:ascii="Arial" w:hAnsi="Arial" w:cs="Arial"/>
          <w:sz w:val="24"/>
          <w:szCs w:val="24"/>
        </w:rPr>
        <w:t xml:space="preserve">je </w:t>
      </w:r>
      <w:bookmarkStart w:id="0" w:name="_GoBack"/>
      <w:bookmarkEnd w:id="0"/>
      <w:r w:rsidRPr="002D13A0">
        <w:rPr>
          <w:rFonts w:ascii="Arial" w:hAnsi="Arial" w:cs="Arial"/>
          <w:sz w:val="24"/>
          <w:szCs w:val="24"/>
        </w:rPr>
        <w:t xml:space="preserve">nárast dosiahnutej úrovne kvality oproti minuloročnej 88,68 % úrovni o 11,32 p.b. . </w:t>
      </w:r>
    </w:p>
    <w:p w:rsidR="005568B1" w:rsidRPr="002D13A0" w:rsidRDefault="005568B1" w:rsidP="005568B1">
      <w:pPr>
        <w:ind w:right="563"/>
        <w:jc w:val="both"/>
        <w:rPr>
          <w:rFonts w:ascii="Arial" w:hAnsi="Arial" w:cs="Arial"/>
          <w:sz w:val="24"/>
          <w:szCs w:val="24"/>
        </w:rPr>
      </w:pPr>
      <w:r w:rsidRPr="002D13A0">
        <w:rPr>
          <w:rFonts w:ascii="Arial" w:hAnsi="Arial" w:cs="Arial"/>
          <w:sz w:val="24"/>
          <w:szCs w:val="24"/>
        </w:rPr>
        <w:t>Celkovo bolo počas roka 2016 zaznamenaných 173 udalostí ovplyvňujúcich dodržiavanie štandardov kvality dodávaného tepla  a služieb poskytovaných pri jeho dodávke, čo je o 107 viac ako v roku 2015.</w:t>
      </w:r>
    </w:p>
    <w:p w:rsidR="005568B1" w:rsidRDefault="005568B1" w:rsidP="005568B1">
      <w:pPr>
        <w:ind w:right="563"/>
        <w:jc w:val="both"/>
        <w:rPr>
          <w:rFonts w:ascii="Times New Roman" w:hAnsi="Times New Roman" w:cs="Times New Roman"/>
          <w:sz w:val="24"/>
          <w:szCs w:val="24"/>
        </w:rPr>
      </w:pPr>
    </w:p>
    <w:p w:rsidR="005568B1" w:rsidRDefault="005568B1" w:rsidP="005568B1">
      <w:pPr>
        <w:ind w:right="563"/>
        <w:jc w:val="both"/>
        <w:rPr>
          <w:rFonts w:ascii="Times New Roman" w:hAnsi="Times New Roman" w:cs="Times New Roman"/>
          <w:sz w:val="24"/>
          <w:szCs w:val="24"/>
        </w:rPr>
      </w:pPr>
    </w:p>
    <w:p w:rsidR="005568B1" w:rsidRDefault="005568B1" w:rsidP="005568B1">
      <w:pPr>
        <w:jc w:val="both"/>
        <w:rPr>
          <w:rFonts w:ascii="Arial" w:hAnsi="Arial" w:cs="Arial"/>
          <w:b/>
          <w:smallCaps/>
          <w:color w:val="538135" w:themeColor="accent6" w:themeShade="BF"/>
          <w:sz w:val="32"/>
          <w:szCs w:val="32"/>
        </w:rPr>
      </w:pPr>
      <w:r w:rsidRPr="00AB1916">
        <w:rPr>
          <w:rFonts w:ascii="Arial" w:hAnsi="Arial" w:cs="Arial"/>
          <w:b/>
          <w:smallCaps/>
          <w:noProof/>
          <w:color w:val="538135" w:themeColor="accent6" w:themeShade="BF"/>
          <w:sz w:val="32"/>
          <w:szCs w:val="32"/>
          <w:lang w:eastAsia="sk-SK"/>
        </w:rPr>
        <w:lastRenderedPageBreak/>
        <w:drawing>
          <wp:inline distT="0" distB="0" distL="0" distR="0" wp14:anchorId="40AFF349" wp14:editId="391511BC">
            <wp:extent cx="5760720" cy="4717513"/>
            <wp:effectExtent l="0" t="0" r="0" b="6985"/>
            <wp:docPr id="13" name="Obrázok 13" descr="C:\Users\sartorisova.BYTTERMZA\Documents\ine dokumenty\VS2016\standardykvalit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torisova.BYTTERMZA\Documents\ine dokumenty\VS2016\standardykvality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717513"/>
                    </a:xfrm>
                    <a:prstGeom prst="rect">
                      <a:avLst/>
                    </a:prstGeom>
                    <a:noFill/>
                    <a:ln>
                      <a:noFill/>
                    </a:ln>
                  </pic:spPr>
                </pic:pic>
              </a:graphicData>
            </a:graphic>
          </wp:inline>
        </w:drawing>
      </w:r>
    </w:p>
    <w:p w:rsidR="005568B1"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b/>
          <w:smallCaps/>
          <w:color w:val="538135" w:themeColor="accent6" w:themeShade="BF"/>
          <w:sz w:val="32"/>
          <w:szCs w:val="32"/>
        </w:rPr>
      </w:pPr>
    </w:p>
    <w:p w:rsidR="005568B1" w:rsidRDefault="005568B1" w:rsidP="005568B1">
      <w:pPr>
        <w:jc w:val="both"/>
        <w:rPr>
          <w:rFonts w:ascii="Arial" w:hAnsi="Arial" w:cs="Arial"/>
          <w:b/>
          <w:smallCaps/>
          <w:color w:val="538135" w:themeColor="accent6" w:themeShade="BF"/>
          <w:sz w:val="32"/>
          <w:szCs w:val="32"/>
        </w:rPr>
      </w:pPr>
    </w:p>
    <w:p w:rsidR="005568B1" w:rsidRPr="008F2DF7" w:rsidRDefault="005568B1" w:rsidP="005568B1">
      <w:pPr>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nákup a predaj tepla</w:t>
      </w:r>
    </w:p>
    <w:p w:rsidR="005568B1" w:rsidRPr="002D13A0" w:rsidRDefault="005568B1" w:rsidP="005568B1">
      <w:pPr>
        <w:rPr>
          <w:rFonts w:ascii="Arial" w:hAnsi="Arial" w:cs="Arial"/>
          <w:b/>
          <w:color w:val="2F5496" w:themeColor="accent5" w:themeShade="BF"/>
          <w:sz w:val="28"/>
          <w:szCs w:val="28"/>
        </w:rPr>
      </w:pPr>
      <w:r w:rsidRPr="002D13A0">
        <w:rPr>
          <w:rFonts w:ascii="Arial" w:hAnsi="Arial" w:cs="Arial"/>
          <w:b/>
          <w:color w:val="2F5496" w:themeColor="accent5" w:themeShade="BF"/>
          <w:sz w:val="28"/>
          <w:szCs w:val="28"/>
        </w:rPr>
        <w:t>Nákup tepla</w:t>
      </w:r>
    </w:p>
    <w:p w:rsidR="005568B1" w:rsidRPr="002D13A0" w:rsidRDefault="005568B1" w:rsidP="005568B1">
      <w:pPr>
        <w:jc w:val="both"/>
        <w:rPr>
          <w:rFonts w:ascii="Arial" w:hAnsi="Arial" w:cs="Arial"/>
          <w:sz w:val="24"/>
          <w:szCs w:val="24"/>
        </w:rPr>
      </w:pPr>
      <w:r w:rsidRPr="002D13A0">
        <w:rPr>
          <w:rFonts w:ascii="Arial" w:hAnsi="Arial" w:cs="Arial"/>
          <w:sz w:val="24"/>
          <w:szCs w:val="24"/>
        </w:rPr>
        <w:t xml:space="preserve">V roku 2016 bolo zo Žilinskej teplárenskej, a. s. nakúpené teplo v objeme  153 951 178,01 kWh. V porovnaní s plánovaným nákupom tepla vo výške  171 345 678 kWh  je to nečerpanie o 10,15 %. Medziročne nákup tepla vzrástol o 390 412,54 kWh, t.j. o 0,3%. </w:t>
      </w:r>
    </w:p>
    <w:p w:rsidR="005568B1" w:rsidRPr="00606585" w:rsidRDefault="005568B1" w:rsidP="005568B1">
      <w:pPr>
        <w:jc w:val="both"/>
        <w:rPr>
          <w:rFonts w:ascii="Arial" w:hAnsi="Arial" w:cs="Arial"/>
          <w:sz w:val="24"/>
          <w:szCs w:val="24"/>
        </w:rPr>
      </w:pPr>
      <w:r w:rsidRPr="002D13A0">
        <w:rPr>
          <w:rFonts w:ascii="Arial" w:hAnsi="Arial" w:cs="Arial"/>
          <w:sz w:val="24"/>
          <w:szCs w:val="24"/>
        </w:rPr>
        <w:t xml:space="preserve">Spotrebované teplo odberných staníc tepla k predanému teplu, t.j. celková strata je v roku 2016 na nízkej úrovni 3,08 %. Oproti roku 2015 je to o 0,51 p. b. vyššia strata. </w:t>
      </w:r>
    </w:p>
    <w:tbl>
      <w:tblPr>
        <w:tblW w:w="9474" w:type="dxa"/>
        <w:tblInd w:w="55" w:type="dxa"/>
        <w:tblCellMar>
          <w:left w:w="70" w:type="dxa"/>
          <w:right w:w="70" w:type="dxa"/>
        </w:tblCellMar>
        <w:tblLook w:val="0000" w:firstRow="0" w:lastRow="0" w:firstColumn="0" w:lastColumn="0" w:noHBand="0" w:noVBand="0"/>
      </w:tblPr>
      <w:tblGrid>
        <w:gridCol w:w="630"/>
        <w:gridCol w:w="1342"/>
        <w:gridCol w:w="1260"/>
        <w:gridCol w:w="820"/>
        <w:gridCol w:w="480"/>
        <w:gridCol w:w="630"/>
        <w:gridCol w:w="1739"/>
        <w:gridCol w:w="1833"/>
        <w:gridCol w:w="740"/>
      </w:tblGrid>
      <w:tr w:rsidR="005568B1" w:rsidTr="005568B1">
        <w:trPr>
          <w:trHeight w:val="375"/>
        </w:trPr>
        <w:tc>
          <w:tcPr>
            <w:tcW w:w="1972" w:type="dxa"/>
            <w:gridSpan w:val="2"/>
            <w:tcBorders>
              <w:top w:val="nil"/>
              <w:left w:val="nil"/>
              <w:bottom w:val="nil"/>
              <w:right w:val="nil"/>
            </w:tcBorders>
            <w:shd w:val="clear" w:color="auto" w:fill="auto"/>
            <w:noWrap/>
            <w:vAlign w:val="bottom"/>
          </w:tcPr>
          <w:p w:rsidR="005568B1" w:rsidRDefault="005568B1" w:rsidP="005568B1">
            <w:pPr>
              <w:rPr>
                <w:rFonts w:ascii="Arial" w:hAnsi="Arial" w:cs="Arial"/>
                <w:b/>
                <w:bCs/>
                <w:sz w:val="28"/>
                <w:szCs w:val="28"/>
              </w:rPr>
            </w:pPr>
            <w:r>
              <w:rPr>
                <w:rFonts w:ascii="Arial" w:hAnsi="Arial" w:cs="Arial"/>
                <w:b/>
                <w:bCs/>
                <w:sz w:val="28"/>
                <w:szCs w:val="28"/>
              </w:rPr>
              <w:lastRenderedPageBreak/>
              <w:t>v  (GJ)</w:t>
            </w:r>
          </w:p>
        </w:tc>
        <w:tc>
          <w:tcPr>
            <w:tcW w:w="126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82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2369" w:type="dxa"/>
            <w:gridSpan w:val="2"/>
            <w:tcBorders>
              <w:top w:val="nil"/>
              <w:left w:val="nil"/>
              <w:bottom w:val="nil"/>
              <w:right w:val="nil"/>
            </w:tcBorders>
            <w:shd w:val="clear" w:color="auto" w:fill="auto"/>
            <w:noWrap/>
            <w:vAlign w:val="bottom"/>
          </w:tcPr>
          <w:p w:rsidR="005568B1" w:rsidRDefault="005568B1" w:rsidP="005568B1">
            <w:pPr>
              <w:rPr>
                <w:rFonts w:ascii="Arial" w:hAnsi="Arial" w:cs="Arial"/>
                <w:b/>
                <w:bCs/>
                <w:sz w:val="28"/>
                <w:szCs w:val="28"/>
              </w:rPr>
            </w:pPr>
            <w:r>
              <w:rPr>
                <w:rFonts w:ascii="Arial" w:hAnsi="Arial" w:cs="Arial"/>
                <w:b/>
                <w:bCs/>
                <w:sz w:val="28"/>
                <w:szCs w:val="28"/>
              </w:rPr>
              <w:t>v (kWh)</w:t>
            </w:r>
          </w:p>
        </w:tc>
        <w:tc>
          <w:tcPr>
            <w:tcW w:w="1833"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74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r>
      <w:tr w:rsidR="005568B1" w:rsidTr="005568B1">
        <w:trPr>
          <w:trHeight w:val="362"/>
        </w:trPr>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rok</w:t>
            </w:r>
          </w:p>
        </w:tc>
        <w:tc>
          <w:tcPr>
            <w:tcW w:w="1342" w:type="dxa"/>
            <w:tcBorders>
              <w:top w:val="single" w:sz="8" w:space="0" w:color="auto"/>
              <w:left w:val="nil"/>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nákup</w:t>
            </w:r>
          </w:p>
        </w:tc>
        <w:tc>
          <w:tcPr>
            <w:tcW w:w="1260" w:type="dxa"/>
            <w:tcBorders>
              <w:top w:val="single" w:sz="8" w:space="0" w:color="auto"/>
              <w:left w:val="nil"/>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predaj</w:t>
            </w:r>
          </w:p>
        </w:tc>
        <w:tc>
          <w:tcPr>
            <w:tcW w:w="820" w:type="dxa"/>
            <w:tcBorders>
              <w:top w:val="single" w:sz="8" w:space="0" w:color="auto"/>
              <w:left w:val="nil"/>
              <w:bottom w:val="single" w:sz="8" w:space="0" w:color="auto"/>
              <w:right w:val="single" w:sz="8"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strata %</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single" w:sz="8" w:space="0" w:color="auto"/>
              <w:left w:val="single" w:sz="8" w:space="0" w:color="auto"/>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rok</w:t>
            </w:r>
          </w:p>
        </w:tc>
        <w:tc>
          <w:tcPr>
            <w:tcW w:w="1739" w:type="dxa"/>
            <w:tcBorders>
              <w:top w:val="single" w:sz="8" w:space="0" w:color="auto"/>
              <w:left w:val="nil"/>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nákup</w:t>
            </w:r>
          </w:p>
        </w:tc>
        <w:tc>
          <w:tcPr>
            <w:tcW w:w="1833" w:type="dxa"/>
            <w:tcBorders>
              <w:top w:val="single" w:sz="8" w:space="0" w:color="auto"/>
              <w:left w:val="nil"/>
              <w:bottom w:val="single" w:sz="8" w:space="0" w:color="auto"/>
              <w:right w:val="single" w:sz="4"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predaj</w:t>
            </w:r>
          </w:p>
        </w:tc>
        <w:tc>
          <w:tcPr>
            <w:tcW w:w="740" w:type="dxa"/>
            <w:tcBorders>
              <w:top w:val="single" w:sz="8" w:space="0" w:color="auto"/>
              <w:left w:val="nil"/>
              <w:bottom w:val="single" w:sz="8" w:space="0" w:color="auto"/>
              <w:right w:val="single" w:sz="8" w:space="0" w:color="auto"/>
            </w:tcBorders>
            <w:shd w:val="clear" w:color="auto" w:fill="auto"/>
            <w:noWrap/>
            <w:vAlign w:val="bottom"/>
          </w:tcPr>
          <w:p w:rsidR="005568B1" w:rsidRDefault="005568B1" w:rsidP="005568B1">
            <w:pPr>
              <w:rPr>
                <w:rFonts w:ascii="Arial" w:hAnsi="Arial" w:cs="Arial"/>
                <w:b/>
                <w:bCs/>
              </w:rPr>
            </w:pPr>
            <w:r>
              <w:rPr>
                <w:rFonts w:ascii="Arial" w:hAnsi="Arial" w:cs="Arial"/>
                <w:b/>
                <w:bCs/>
              </w:rPr>
              <w:t>strata %</w:t>
            </w:r>
          </w:p>
        </w:tc>
      </w:tr>
      <w:tr w:rsidR="005568B1" w:rsidTr="005568B1">
        <w:trPr>
          <w:trHeight w:val="344"/>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2001</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938 087,27</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886 144,10</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5,54</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2001</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260 579 797,22</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246 151 138,89</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5,54</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2002</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923 849,57</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875 002,24</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5,29</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2002</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256 624 880,56</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243 056 177,78</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5,29</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2003</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903 436,64</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852 075,75</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5,69</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2003</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250 954 622,22</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236 687 708,33</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5,69</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2004</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865 407,96</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810 696,89</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6,32</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2004</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240 391 100,00</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225 193 580,56</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6,32</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2005</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844 976,46</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804 353,75</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4,81</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2005</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234 715 683,33</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223 431 597,22</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4,81</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2006</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785 276,45</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756 077,60</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3,72</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2006</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218 132 347,22</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210 021 555,56</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3,72</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2007</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755 806,08</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731 903,86</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3,16</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2007</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209 946 133,33</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203 306 627,78</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3,16</w:t>
            </w:r>
          </w:p>
        </w:tc>
      </w:tr>
      <w:tr w:rsidR="005568B1" w:rsidTr="005568B1">
        <w:trPr>
          <w:trHeight w:val="255"/>
        </w:trPr>
        <w:tc>
          <w:tcPr>
            <w:tcW w:w="630" w:type="dxa"/>
            <w:tcBorders>
              <w:top w:val="nil"/>
              <w:left w:val="single" w:sz="8" w:space="0" w:color="auto"/>
              <w:bottom w:val="nil"/>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2008</w:t>
            </w:r>
          </w:p>
        </w:tc>
        <w:tc>
          <w:tcPr>
            <w:tcW w:w="1342" w:type="dxa"/>
            <w:tcBorders>
              <w:top w:val="nil"/>
              <w:left w:val="nil"/>
              <w:bottom w:val="nil"/>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726 426,47</w:t>
            </w:r>
          </w:p>
        </w:tc>
        <w:tc>
          <w:tcPr>
            <w:tcW w:w="1260" w:type="dxa"/>
            <w:tcBorders>
              <w:top w:val="nil"/>
              <w:left w:val="nil"/>
              <w:bottom w:val="nil"/>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708 949,88</w:t>
            </w:r>
          </w:p>
        </w:tc>
        <w:tc>
          <w:tcPr>
            <w:tcW w:w="820" w:type="dxa"/>
            <w:tcBorders>
              <w:top w:val="nil"/>
              <w:left w:val="nil"/>
              <w:bottom w:val="nil"/>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2,41</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2008</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201 785 130,56</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196 930 522,22</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2,41</w:t>
            </w:r>
          </w:p>
        </w:tc>
      </w:tr>
      <w:tr w:rsidR="005568B1" w:rsidTr="005568B1">
        <w:trPr>
          <w:trHeight w:val="255"/>
        </w:trPr>
        <w:tc>
          <w:tcPr>
            <w:tcW w:w="63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2009</w:t>
            </w:r>
          </w:p>
        </w:tc>
        <w:tc>
          <w:tcPr>
            <w:tcW w:w="1342"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702 427,11</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685 676,35</w:t>
            </w:r>
          </w:p>
        </w:tc>
        <w:tc>
          <w:tcPr>
            <w:tcW w:w="820" w:type="dxa"/>
            <w:tcBorders>
              <w:top w:val="single" w:sz="4" w:space="0" w:color="auto"/>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2,38</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2009</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195 118 641,99</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190 465 652,08</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2,38</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2010</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730 831,76</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719 251,42</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1,58</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2010</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203 008 822,20</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199 792 060,51</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1,58</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2011</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648 592,57</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635 294,23</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2,05</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2011</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180 164 602,93</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176 470 619,73</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2,05</w:t>
            </w:r>
          </w:p>
        </w:tc>
      </w:tr>
      <w:tr w:rsidR="005568B1" w:rsidTr="005568B1">
        <w:trPr>
          <w:trHeight w:val="255"/>
        </w:trPr>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2012</w:t>
            </w:r>
          </w:p>
        </w:tc>
        <w:tc>
          <w:tcPr>
            <w:tcW w:w="1342"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634 789,95</w:t>
            </w:r>
          </w:p>
        </w:tc>
        <w:tc>
          <w:tcPr>
            <w:tcW w:w="1260"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616 754,67</w:t>
            </w:r>
          </w:p>
        </w:tc>
        <w:tc>
          <w:tcPr>
            <w:tcW w:w="82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2,84</w:t>
            </w:r>
          </w:p>
        </w:tc>
        <w:tc>
          <w:tcPr>
            <w:tcW w:w="480" w:type="dxa"/>
            <w:tcBorders>
              <w:top w:val="nil"/>
              <w:left w:val="nil"/>
              <w:bottom w:val="nil"/>
              <w:right w:val="nil"/>
            </w:tcBorders>
            <w:shd w:val="clear" w:color="auto" w:fill="auto"/>
            <w:noWrap/>
            <w:vAlign w:val="bottom"/>
          </w:tcPr>
          <w:p w:rsidR="005568B1" w:rsidRDefault="005568B1" w:rsidP="005568B1">
            <w:pPr>
              <w:rPr>
                <w:rFonts w:ascii="Arial" w:hAnsi="Arial" w:cs="Arial"/>
              </w:rPr>
            </w:pPr>
          </w:p>
        </w:tc>
        <w:tc>
          <w:tcPr>
            <w:tcW w:w="630" w:type="dxa"/>
            <w:tcBorders>
              <w:top w:val="nil"/>
              <w:left w:val="single" w:sz="8"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2012</w:t>
            </w:r>
          </w:p>
        </w:tc>
        <w:tc>
          <w:tcPr>
            <w:tcW w:w="1739"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176 330 540,57</w:t>
            </w:r>
          </w:p>
        </w:tc>
        <w:tc>
          <w:tcPr>
            <w:tcW w:w="1833" w:type="dxa"/>
            <w:tcBorders>
              <w:top w:val="nil"/>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171 320 742,52</w:t>
            </w:r>
          </w:p>
        </w:tc>
        <w:tc>
          <w:tcPr>
            <w:tcW w:w="740" w:type="dxa"/>
            <w:tcBorders>
              <w:top w:val="nil"/>
              <w:left w:val="nil"/>
              <w:bottom w:val="single" w:sz="4" w:space="0" w:color="auto"/>
              <w:right w:val="single" w:sz="8"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2,84</w:t>
            </w:r>
          </w:p>
        </w:tc>
      </w:tr>
      <w:tr w:rsidR="005568B1" w:rsidTr="005568B1">
        <w:trPr>
          <w:trHeight w:val="2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2013</w:t>
            </w:r>
          </w:p>
        </w:tc>
        <w:tc>
          <w:tcPr>
            <w:tcW w:w="1342"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611 109,10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594 042,99</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2,79</w:t>
            </w:r>
          </w:p>
        </w:tc>
        <w:tc>
          <w:tcPr>
            <w:tcW w:w="480" w:type="dxa"/>
            <w:tcBorders>
              <w:top w:val="nil"/>
              <w:left w:val="single" w:sz="4" w:space="0" w:color="auto"/>
              <w:bottom w:val="nil"/>
              <w:right w:val="single" w:sz="4" w:space="0" w:color="auto"/>
            </w:tcBorders>
            <w:shd w:val="clear" w:color="auto" w:fill="auto"/>
            <w:noWrap/>
            <w:vAlign w:val="bottom"/>
          </w:tcPr>
          <w:p w:rsidR="005568B1" w:rsidRDefault="005568B1"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2013</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169 752 526,72</w:t>
            </w:r>
          </w:p>
        </w:tc>
        <w:tc>
          <w:tcPr>
            <w:tcW w:w="1833"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165 011 940,91</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2,79</w:t>
            </w:r>
          </w:p>
        </w:tc>
      </w:tr>
      <w:tr w:rsidR="005568B1" w:rsidTr="005568B1">
        <w:trPr>
          <w:trHeight w:val="2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2014</w:t>
            </w:r>
          </w:p>
        </w:tc>
        <w:tc>
          <w:tcPr>
            <w:tcW w:w="1342"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510 919,90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497 302,59</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2,67</w:t>
            </w:r>
          </w:p>
        </w:tc>
        <w:tc>
          <w:tcPr>
            <w:tcW w:w="480" w:type="dxa"/>
            <w:tcBorders>
              <w:top w:val="nil"/>
              <w:left w:val="single" w:sz="4" w:space="0" w:color="auto"/>
              <w:bottom w:val="nil"/>
              <w:right w:val="single" w:sz="4" w:space="0" w:color="auto"/>
            </w:tcBorders>
            <w:shd w:val="clear" w:color="auto" w:fill="auto"/>
            <w:noWrap/>
            <w:vAlign w:val="bottom"/>
          </w:tcPr>
          <w:p w:rsidR="005568B1" w:rsidRDefault="005568B1"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2014</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141 922 195,47</w:t>
            </w:r>
          </w:p>
        </w:tc>
        <w:tc>
          <w:tcPr>
            <w:tcW w:w="1833"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138 139 609,56</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2,67</w:t>
            </w:r>
          </w:p>
        </w:tc>
      </w:tr>
      <w:tr w:rsidR="005568B1" w:rsidTr="005568B1">
        <w:trPr>
          <w:trHeight w:val="270"/>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2015</w:t>
            </w:r>
          </w:p>
        </w:tc>
        <w:tc>
          <w:tcPr>
            <w:tcW w:w="1342"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552 818,76</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538 592,30</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2,57</w:t>
            </w:r>
          </w:p>
        </w:tc>
        <w:tc>
          <w:tcPr>
            <w:tcW w:w="480" w:type="dxa"/>
            <w:tcBorders>
              <w:top w:val="nil"/>
              <w:left w:val="single" w:sz="4" w:space="0" w:color="auto"/>
              <w:bottom w:val="nil"/>
              <w:right w:val="single" w:sz="4" w:space="0" w:color="auto"/>
            </w:tcBorders>
            <w:shd w:val="clear" w:color="auto" w:fill="auto"/>
            <w:noWrap/>
            <w:vAlign w:val="bottom"/>
          </w:tcPr>
          <w:p w:rsidR="005568B1" w:rsidRDefault="005568B1"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2015</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153 560 765,47</w:t>
            </w:r>
          </w:p>
        </w:tc>
        <w:tc>
          <w:tcPr>
            <w:tcW w:w="1833"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149 608 972,04</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2,57</w:t>
            </w:r>
          </w:p>
        </w:tc>
      </w:tr>
      <w:tr w:rsidR="005568B1" w:rsidTr="005568B1">
        <w:trPr>
          <w:trHeight w:val="222"/>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2016</w:t>
            </w:r>
          </w:p>
        </w:tc>
        <w:tc>
          <w:tcPr>
            <w:tcW w:w="1342"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554 224,24</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537 162,07</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3,08</w:t>
            </w:r>
          </w:p>
        </w:tc>
        <w:tc>
          <w:tcPr>
            <w:tcW w:w="480" w:type="dxa"/>
            <w:tcBorders>
              <w:top w:val="nil"/>
              <w:left w:val="single" w:sz="4" w:space="0" w:color="auto"/>
              <w:bottom w:val="nil"/>
              <w:right w:val="single" w:sz="4" w:space="0" w:color="auto"/>
            </w:tcBorders>
            <w:shd w:val="clear" w:color="auto" w:fill="auto"/>
            <w:noWrap/>
            <w:vAlign w:val="bottom"/>
          </w:tcPr>
          <w:p w:rsidR="005568B1" w:rsidRDefault="005568B1" w:rsidP="005568B1">
            <w:pP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2016</w:t>
            </w:r>
          </w:p>
        </w:tc>
        <w:tc>
          <w:tcPr>
            <w:tcW w:w="1739"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153 951 178,01</w:t>
            </w:r>
          </w:p>
        </w:tc>
        <w:tc>
          <w:tcPr>
            <w:tcW w:w="1833"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rPr>
            </w:pPr>
            <w:r>
              <w:rPr>
                <w:rFonts w:ascii="Arial" w:hAnsi="Arial" w:cs="Arial"/>
              </w:rPr>
              <w:t>149 211 686,81</w:t>
            </w:r>
          </w:p>
        </w:tc>
        <w:tc>
          <w:tcPr>
            <w:tcW w:w="740" w:type="dxa"/>
            <w:tcBorders>
              <w:top w:val="single" w:sz="4" w:space="0" w:color="auto"/>
              <w:left w:val="nil"/>
              <w:bottom w:val="single" w:sz="4" w:space="0" w:color="auto"/>
              <w:right w:val="single" w:sz="4" w:space="0" w:color="auto"/>
            </w:tcBorders>
            <w:shd w:val="clear" w:color="auto" w:fill="auto"/>
            <w:noWrap/>
            <w:vAlign w:val="bottom"/>
          </w:tcPr>
          <w:p w:rsidR="005568B1" w:rsidRDefault="005568B1" w:rsidP="005568B1">
            <w:pPr>
              <w:jc w:val="right"/>
              <w:rPr>
                <w:rFonts w:ascii="Arial" w:hAnsi="Arial" w:cs="Arial"/>
                <w:b/>
                <w:bCs/>
              </w:rPr>
            </w:pPr>
            <w:r>
              <w:rPr>
                <w:rFonts w:ascii="Arial" w:hAnsi="Arial" w:cs="Arial"/>
                <w:b/>
                <w:bCs/>
              </w:rPr>
              <w:t>3,08</w:t>
            </w:r>
          </w:p>
        </w:tc>
      </w:tr>
    </w:tbl>
    <w:p w:rsidR="005568B1" w:rsidRDefault="005568B1" w:rsidP="005568B1">
      <w:pPr>
        <w:autoSpaceDE w:val="0"/>
        <w:autoSpaceDN w:val="0"/>
        <w:adjustRightInd w:val="0"/>
        <w:jc w:val="both"/>
        <w:rPr>
          <w:rFonts w:ascii="Arial" w:hAnsi="Arial" w:cs="Arial"/>
        </w:rPr>
      </w:pPr>
    </w:p>
    <w:p w:rsidR="005568B1" w:rsidRPr="002D13A0" w:rsidRDefault="005568B1" w:rsidP="005568B1">
      <w:pPr>
        <w:autoSpaceDE w:val="0"/>
        <w:autoSpaceDN w:val="0"/>
        <w:adjustRightInd w:val="0"/>
        <w:jc w:val="both"/>
        <w:rPr>
          <w:rFonts w:ascii="Arial" w:hAnsi="Arial" w:cs="Arial"/>
          <w:sz w:val="24"/>
          <w:szCs w:val="24"/>
          <w:lang w:val="cs-CZ"/>
        </w:rPr>
      </w:pPr>
      <w:r w:rsidRPr="002D13A0">
        <w:rPr>
          <w:rFonts w:ascii="Arial" w:hAnsi="Arial" w:cs="Arial"/>
          <w:sz w:val="24"/>
          <w:szCs w:val="24"/>
        </w:rPr>
        <w:t>Spotreba tepla je oproti roku 2015 vyššia najmä pre lepšie klimatické podmienky. V roku 2016 bolo nameraných 3 326 D</w:t>
      </w:r>
      <w:r w:rsidRPr="002D13A0">
        <w:rPr>
          <w:rFonts w:ascii="Arial" w:hAnsi="Arial" w:cs="Arial"/>
          <w:sz w:val="24"/>
          <w:szCs w:val="24"/>
          <w:lang w:val="cs-CZ"/>
        </w:rPr>
        <w:t xml:space="preserve">°, v roku 2015 to bolo 3 276 D°. </w:t>
      </w:r>
    </w:p>
    <w:p w:rsidR="005568B1" w:rsidRPr="0053492C" w:rsidRDefault="005568B1" w:rsidP="005568B1">
      <w:pPr>
        <w:autoSpaceDE w:val="0"/>
        <w:autoSpaceDN w:val="0"/>
        <w:adjustRightInd w:val="0"/>
        <w:jc w:val="both"/>
        <w:rPr>
          <w:rFonts w:ascii="Arial" w:hAnsi="Arial" w:cs="Arial"/>
          <w:lang w:val="cs-CZ"/>
        </w:rPr>
      </w:pPr>
      <w:r>
        <w:rPr>
          <w:rFonts w:ascii="Arial" w:hAnsi="Arial" w:cs="Arial"/>
          <w:noProof/>
          <w:lang w:eastAsia="sk-SK"/>
        </w:rPr>
        <w:drawing>
          <wp:inline distT="0" distB="0" distL="0" distR="0" wp14:anchorId="78562772" wp14:editId="1C342B90">
            <wp:extent cx="5261610" cy="256032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610" cy="2560320"/>
                    </a:xfrm>
                    <a:prstGeom prst="rect">
                      <a:avLst/>
                    </a:prstGeom>
                    <a:noFill/>
                  </pic:spPr>
                </pic:pic>
              </a:graphicData>
            </a:graphic>
          </wp:inline>
        </w:drawing>
      </w:r>
    </w:p>
    <w:p w:rsidR="005568B1" w:rsidRPr="002D13A0" w:rsidRDefault="005568B1" w:rsidP="005568B1">
      <w:pPr>
        <w:rPr>
          <w:rFonts w:ascii="Arial" w:hAnsi="Arial" w:cs="Arial"/>
          <w:b/>
          <w:color w:val="2F5496" w:themeColor="accent5" w:themeShade="BF"/>
          <w:sz w:val="28"/>
          <w:szCs w:val="28"/>
        </w:rPr>
      </w:pPr>
      <w:r w:rsidRPr="002D13A0">
        <w:rPr>
          <w:rFonts w:ascii="Arial" w:hAnsi="Arial" w:cs="Arial"/>
          <w:b/>
          <w:color w:val="2F5496" w:themeColor="accent5" w:themeShade="BF"/>
          <w:sz w:val="28"/>
          <w:szCs w:val="28"/>
        </w:rPr>
        <w:lastRenderedPageBreak/>
        <w:t>Predaj tepla</w:t>
      </w:r>
    </w:p>
    <w:p w:rsidR="005568B1" w:rsidRPr="002D13A0" w:rsidRDefault="005568B1" w:rsidP="005568B1">
      <w:pPr>
        <w:autoSpaceDE w:val="0"/>
        <w:autoSpaceDN w:val="0"/>
        <w:adjustRightInd w:val="0"/>
        <w:jc w:val="both"/>
        <w:rPr>
          <w:rFonts w:ascii="Arial" w:hAnsi="Arial" w:cs="Arial"/>
          <w:sz w:val="24"/>
          <w:szCs w:val="24"/>
        </w:rPr>
      </w:pPr>
      <w:r w:rsidRPr="002D13A0">
        <w:rPr>
          <w:rFonts w:ascii="Arial" w:hAnsi="Arial" w:cs="Arial"/>
          <w:sz w:val="24"/>
          <w:szCs w:val="24"/>
        </w:rPr>
        <w:t>Cena tepla je v zmysle zákona č. 250/2012 Z. z. o regulácii v sieťových odvetviach a príslušnej legislatívy ÚRSO regulovaná. Pri fakturácii tržieb za teplo sa používa dvojzložková cena zložená z variabilnej a fixnej zložky. Variabilná zložka maximálnej ceny tepla sa fakturuje za namerané množstvo tepla na odbernom mieste a fixná zložka maximálnej ceny tepla sa fakturuje za objednané množstvo tepla (regulačný príkon).</w:t>
      </w:r>
    </w:p>
    <w:tbl>
      <w:tblPr>
        <w:tblW w:w="0" w:type="auto"/>
        <w:tblInd w:w="60" w:type="dxa"/>
        <w:tblCellMar>
          <w:left w:w="70" w:type="dxa"/>
          <w:right w:w="70" w:type="dxa"/>
        </w:tblCellMar>
        <w:tblLook w:val="0000" w:firstRow="0" w:lastRow="0" w:firstColumn="0" w:lastColumn="0" w:noHBand="0" w:noVBand="0"/>
      </w:tblPr>
      <w:tblGrid>
        <w:gridCol w:w="3834"/>
        <w:gridCol w:w="1640"/>
        <w:gridCol w:w="1640"/>
        <w:gridCol w:w="1640"/>
      </w:tblGrid>
      <w:tr w:rsidR="005568B1" w:rsidRPr="0080400E" w:rsidTr="005568B1">
        <w:trPr>
          <w:trHeight w:val="270"/>
        </w:trPr>
        <w:tc>
          <w:tcPr>
            <w:tcW w:w="0" w:type="auto"/>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Cs/>
                <w:sz w:val="24"/>
                <w:lang w:eastAsia="sk-SK"/>
              </w:rPr>
            </w:pPr>
            <w:r w:rsidRPr="0080400E">
              <w:rPr>
                <w:rFonts w:ascii="Times New Roman" w:hAnsi="Times New Roman" w:cs="Arial"/>
                <w:b/>
                <w:bCs/>
                <w:sz w:val="24"/>
                <w:lang w:eastAsia="sk-SK"/>
              </w:rPr>
              <w:t>variabilná zložka ceny</w:t>
            </w:r>
            <w:r w:rsidRPr="0080400E">
              <w:rPr>
                <w:rFonts w:ascii="Times New Roman" w:hAnsi="Times New Roman" w:cs="Arial"/>
                <w:sz w:val="24"/>
                <w:lang w:eastAsia="sk-SK"/>
              </w:rPr>
              <w:t xml:space="preserve"> (EUR/kWh)</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2015</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2016</w:t>
            </w:r>
          </w:p>
        </w:tc>
      </w:tr>
      <w:tr w:rsidR="005568B1" w:rsidRPr="0080400E" w:rsidTr="005568B1">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r w:rsidRPr="0080400E">
              <w:rPr>
                <w:rFonts w:ascii="Times New Roman" w:hAnsi="Times New Roman" w:cs="Arial"/>
                <w:sz w:val="24"/>
                <w:lang w:eastAsia="sk-SK"/>
              </w:rPr>
              <w:t>cena s DPH pre domácnosti</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0,039840</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0,039360</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0,039960</w:t>
            </w:r>
          </w:p>
        </w:tc>
      </w:tr>
      <w:tr w:rsidR="005568B1" w:rsidRPr="0080400E" w:rsidTr="005568B1">
        <w:trPr>
          <w:trHeight w:val="270"/>
        </w:trPr>
        <w:tc>
          <w:tcPr>
            <w:tcW w:w="0" w:type="auto"/>
            <w:tcBorders>
              <w:top w:val="nil"/>
              <w:left w:val="single" w:sz="8" w:space="0" w:color="auto"/>
              <w:bottom w:val="nil"/>
              <w:right w:val="single" w:sz="8" w:space="0" w:color="auto"/>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r w:rsidRPr="0080400E">
              <w:rPr>
                <w:rFonts w:ascii="Times New Roman" w:hAnsi="Times New Roman" w:cs="Arial"/>
                <w:sz w:val="24"/>
                <w:lang w:eastAsia="sk-SK"/>
              </w:rPr>
              <w:t>cena s DPH pre ostatných</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0,039840</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0,039360</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0,039960</w:t>
            </w:r>
          </w:p>
        </w:tc>
      </w:tr>
      <w:tr w:rsidR="005568B1" w:rsidRPr="0080400E" w:rsidTr="005568B1">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Cs/>
                <w:sz w:val="24"/>
                <w:lang w:eastAsia="sk-SK"/>
              </w:rPr>
            </w:pPr>
            <w:r w:rsidRPr="0080400E">
              <w:rPr>
                <w:rFonts w:ascii="Times New Roman" w:hAnsi="Times New Roman" w:cs="Arial"/>
                <w:b/>
                <w:bCs/>
                <w:sz w:val="24"/>
                <w:lang w:eastAsia="sk-SK"/>
              </w:rPr>
              <w:t>fixná zložka ceny</w:t>
            </w:r>
            <w:r w:rsidRPr="0080400E">
              <w:rPr>
                <w:rFonts w:ascii="Times New Roman" w:hAnsi="Times New Roman" w:cs="Arial"/>
                <w:sz w:val="24"/>
                <w:lang w:eastAsia="sk-SK"/>
              </w:rPr>
              <w:t xml:space="preserve"> </w:t>
            </w:r>
            <w:r>
              <w:rPr>
                <w:rFonts w:ascii="Times New Roman" w:hAnsi="Times New Roman" w:cs="Arial"/>
                <w:sz w:val="24"/>
                <w:lang w:eastAsia="sk-SK"/>
              </w:rPr>
              <w:t xml:space="preserve">s DPH </w:t>
            </w:r>
            <w:r w:rsidRPr="0080400E">
              <w:rPr>
                <w:rFonts w:ascii="Times New Roman" w:hAnsi="Times New Roman" w:cs="Arial"/>
                <w:sz w:val="24"/>
                <w:lang w:eastAsia="sk-SK"/>
              </w:rPr>
              <w:t>(EUR/kW)</w:t>
            </w:r>
          </w:p>
        </w:tc>
        <w:tc>
          <w:tcPr>
            <w:tcW w:w="0" w:type="auto"/>
            <w:tcBorders>
              <w:top w:val="nil"/>
              <w:left w:val="nil"/>
              <w:bottom w:val="single" w:sz="8"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260,6040</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263,2800</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265,6800</w:t>
            </w:r>
          </w:p>
        </w:tc>
      </w:tr>
      <w:tr w:rsidR="005568B1" w:rsidRPr="0080400E" w:rsidTr="005568B1">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Pr>
                <w:rFonts w:ascii="Times New Roman" w:hAnsi="Times New Roman" w:cs="Arial"/>
                <w:b/>
                <w:bCs/>
                <w:sz w:val="24"/>
                <w:lang w:eastAsia="sk-SK"/>
              </w:rPr>
              <w:t xml:space="preserve">jednotková cena </w:t>
            </w:r>
            <w:r w:rsidRPr="00D555F7">
              <w:rPr>
                <w:rFonts w:ascii="Times New Roman" w:hAnsi="Times New Roman" w:cs="Arial"/>
                <w:bCs/>
                <w:sz w:val="24"/>
                <w:lang w:eastAsia="sk-SK"/>
              </w:rPr>
              <w:t>s DPH (EUR/MWh</w:t>
            </w:r>
            <w:r>
              <w:rPr>
                <w:rFonts w:ascii="Times New Roman" w:hAnsi="Times New Roman" w:cs="Arial"/>
                <w:bCs/>
                <w:sz w:val="24"/>
                <w:lang w:eastAsia="sk-SK"/>
              </w:rPr>
              <w:t>)</w:t>
            </w:r>
          </w:p>
        </w:tc>
        <w:tc>
          <w:tcPr>
            <w:tcW w:w="0" w:type="auto"/>
            <w:tcBorders>
              <w:top w:val="nil"/>
              <w:left w:val="nil"/>
              <w:bottom w:val="single" w:sz="8" w:space="0" w:color="auto"/>
              <w:right w:val="single" w:sz="8" w:space="0" w:color="auto"/>
            </w:tcBorders>
            <w:shd w:val="clear" w:color="auto" w:fill="FFFFFF" w:themeFill="background1"/>
            <w:noWrap/>
            <w:vAlign w:val="bottom"/>
          </w:tcPr>
          <w:p w:rsidR="005568B1"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89,0106</w:t>
            </w:r>
          </w:p>
        </w:tc>
        <w:tc>
          <w:tcPr>
            <w:tcW w:w="0" w:type="auto"/>
            <w:tcBorders>
              <w:top w:val="nil"/>
              <w:left w:val="nil"/>
              <w:bottom w:val="single" w:sz="8" w:space="0" w:color="auto"/>
              <w:right w:val="single" w:sz="8" w:space="0" w:color="auto"/>
            </w:tcBorders>
            <w:shd w:val="clear" w:color="auto" w:fill="auto"/>
            <w:noWrap/>
            <w:vAlign w:val="bottom"/>
          </w:tcPr>
          <w:p w:rsidR="005568B1"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89,2755</w:t>
            </w:r>
          </w:p>
        </w:tc>
        <w:tc>
          <w:tcPr>
            <w:tcW w:w="0" w:type="auto"/>
            <w:tcBorders>
              <w:top w:val="nil"/>
              <w:left w:val="nil"/>
              <w:bottom w:val="single" w:sz="8" w:space="0" w:color="auto"/>
              <w:right w:val="single" w:sz="8" w:space="0" w:color="auto"/>
            </w:tcBorders>
            <w:shd w:val="clear" w:color="auto" w:fill="auto"/>
            <w:noWrap/>
            <w:vAlign w:val="bottom"/>
          </w:tcPr>
          <w:p w:rsidR="005568B1"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90,0883</w:t>
            </w:r>
          </w:p>
        </w:tc>
      </w:tr>
      <w:tr w:rsidR="005568B1" w:rsidRPr="0080400E" w:rsidTr="005568B1">
        <w:trPr>
          <w:trHeight w:val="270"/>
        </w:trPr>
        <w:tc>
          <w:tcPr>
            <w:tcW w:w="0" w:type="auto"/>
            <w:tcBorders>
              <w:top w:val="nil"/>
              <w:left w:val="nil"/>
              <w:bottom w:val="nil"/>
              <w:right w:val="nil"/>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p>
        </w:tc>
        <w:tc>
          <w:tcPr>
            <w:tcW w:w="0" w:type="auto"/>
            <w:tcBorders>
              <w:top w:val="nil"/>
              <w:left w:val="nil"/>
              <w:bottom w:val="single" w:sz="8" w:space="0" w:color="auto"/>
              <w:right w:val="nil"/>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p>
        </w:tc>
        <w:tc>
          <w:tcPr>
            <w:tcW w:w="0" w:type="auto"/>
            <w:tcBorders>
              <w:top w:val="nil"/>
              <w:left w:val="nil"/>
              <w:bottom w:val="nil"/>
              <w:right w:val="nil"/>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p>
        </w:tc>
        <w:tc>
          <w:tcPr>
            <w:tcW w:w="0" w:type="auto"/>
            <w:tcBorders>
              <w:top w:val="nil"/>
              <w:left w:val="nil"/>
              <w:bottom w:val="nil"/>
              <w:right w:val="nil"/>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p>
        </w:tc>
      </w:tr>
      <w:tr w:rsidR="005568B1" w:rsidRPr="0080400E" w:rsidTr="005568B1">
        <w:trPr>
          <w:trHeight w:val="270"/>
        </w:trPr>
        <w:tc>
          <w:tcPr>
            <w:tcW w:w="0" w:type="auto"/>
            <w:tcBorders>
              <w:top w:val="nil"/>
              <w:left w:val="nil"/>
              <w:bottom w:val="nil"/>
              <w:right w:val="single" w:sz="8" w:space="0" w:color="auto"/>
            </w:tcBorders>
            <w:shd w:val="clear" w:color="auto" w:fill="auto"/>
            <w:noWrap/>
            <w:vAlign w:val="bottom"/>
          </w:tcPr>
          <w:p w:rsidR="005568B1" w:rsidRPr="0080400E" w:rsidRDefault="005568B1" w:rsidP="005568B1">
            <w:pPr>
              <w:spacing w:after="0" w:line="240" w:lineRule="auto"/>
              <w:rPr>
                <w:rFonts w:ascii="Times New Roman" w:hAnsi="Times New Roman" w:cs="Arial"/>
                <w:sz w:val="24"/>
                <w:lang w:eastAsia="sk-SK"/>
              </w:rPr>
            </w:pPr>
          </w:p>
        </w:tc>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2015</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2016</w:t>
            </w:r>
          </w:p>
        </w:tc>
      </w:tr>
      <w:tr w:rsidR="005568B1" w:rsidRPr="0080400E" w:rsidTr="005568B1">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sidRPr="0080400E">
              <w:rPr>
                <w:rFonts w:ascii="Times New Roman" w:hAnsi="Times New Roman" w:cs="Arial"/>
                <w:b/>
                <w:bCs/>
                <w:sz w:val="24"/>
                <w:lang w:eastAsia="sk-SK"/>
              </w:rPr>
              <w:t>spotreba v kWh</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157 599 749,83</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170 963 623,20</w:t>
            </w:r>
          </w:p>
        </w:tc>
        <w:tc>
          <w:tcPr>
            <w:tcW w:w="0" w:type="auto"/>
            <w:tcBorders>
              <w:top w:val="nil"/>
              <w:left w:val="nil"/>
              <w:bottom w:val="single" w:sz="4"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170 373 355,70</w:t>
            </w:r>
          </w:p>
        </w:tc>
      </w:tr>
      <w:tr w:rsidR="005568B1" w:rsidRPr="0080400E" w:rsidTr="005568B1">
        <w:trPr>
          <w:trHeight w:val="270"/>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sidRPr="0080400E">
              <w:rPr>
                <w:rFonts w:ascii="Times New Roman" w:hAnsi="Times New Roman" w:cs="Arial"/>
                <w:b/>
                <w:bCs/>
                <w:sz w:val="24"/>
                <w:lang w:eastAsia="sk-SK"/>
              </w:rPr>
              <w:t>regulačný príkon v kW</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36 668,21</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35 474,88</w:t>
            </w:r>
          </w:p>
        </w:tc>
        <w:tc>
          <w:tcPr>
            <w:tcW w:w="0" w:type="auto"/>
            <w:tcBorders>
              <w:top w:val="nil"/>
              <w:left w:val="nil"/>
              <w:bottom w:val="single" w:sz="8" w:space="0" w:color="auto"/>
              <w:right w:val="single" w:sz="8" w:space="0" w:color="auto"/>
            </w:tcBorders>
            <w:shd w:val="clear" w:color="auto" w:fill="auto"/>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35 424,70</w:t>
            </w:r>
          </w:p>
        </w:tc>
      </w:tr>
    </w:tbl>
    <w:p w:rsidR="005568B1" w:rsidRDefault="005568B1" w:rsidP="005568B1">
      <w:pPr>
        <w:jc w:val="both"/>
        <w:rPr>
          <w:rFonts w:ascii="Arial" w:hAnsi="Arial" w:cs="Arial"/>
          <w:sz w:val="24"/>
          <w:szCs w:val="24"/>
        </w:rPr>
      </w:pPr>
    </w:p>
    <w:p w:rsidR="005568B1" w:rsidRPr="00606585" w:rsidRDefault="005568B1" w:rsidP="005568B1">
      <w:pPr>
        <w:jc w:val="both"/>
        <w:rPr>
          <w:rFonts w:ascii="Arial" w:hAnsi="Arial" w:cs="Arial"/>
          <w:sz w:val="23"/>
          <w:szCs w:val="23"/>
        </w:rPr>
      </w:pPr>
      <w:r w:rsidRPr="00606585">
        <w:rPr>
          <w:rFonts w:ascii="Arial" w:hAnsi="Arial" w:cs="Arial"/>
          <w:sz w:val="23"/>
          <w:szCs w:val="23"/>
        </w:rPr>
        <w:t xml:space="preserve">V porovnaní s minulým rokom variabilná zložka ceny tepla vplyvom nárastu variabilnej ceny pary od Žilinskej teplárenskej  v dôsledku zrušenia skonta za včasnú úhradu vzrástla o 1,5 %. Fixná zložka ceny tepla sa v dôsledku rastu fixných nákladov medziročne zvýšila o 0,9 %. Predaj tepla aj vplyvom vyšších strát oproti minulému roku poklesol o 0,3%, regulačný príkon zaznamenal len minimálny pokles o 50,18 kW, t.j. o 0,1%. </w:t>
      </w:r>
    </w:p>
    <w:p w:rsidR="005568B1" w:rsidRPr="0080400E" w:rsidRDefault="005568B1" w:rsidP="005568B1">
      <w:pPr>
        <w:rPr>
          <w:rFonts w:ascii="Times New Roman" w:hAnsi="Times New Roman"/>
          <w:b/>
          <w:sz w:val="24"/>
        </w:rPr>
      </w:pPr>
      <w:r w:rsidRPr="0080400E">
        <w:rPr>
          <w:rFonts w:ascii="Times New Roman" w:hAnsi="Times New Roman"/>
          <w:b/>
          <w:sz w:val="24"/>
        </w:rPr>
        <w:t xml:space="preserve">Porovnanie tržieb z tepla dosiahnutých v rokoch </w:t>
      </w:r>
      <w:r>
        <w:rPr>
          <w:rFonts w:ascii="Times New Roman" w:hAnsi="Times New Roman"/>
          <w:b/>
          <w:sz w:val="24"/>
        </w:rPr>
        <w:t>2013-2016</w:t>
      </w:r>
    </w:p>
    <w:tbl>
      <w:tblPr>
        <w:tblW w:w="0" w:type="auto"/>
        <w:tblInd w:w="70" w:type="dxa"/>
        <w:tblCellMar>
          <w:left w:w="70" w:type="dxa"/>
          <w:right w:w="70" w:type="dxa"/>
        </w:tblCellMar>
        <w:tblLook w:val="0000" w:firstRow="0" w:lastRow="0" w:firstColumn="0" w:lastColumn="0" w:noHBand="0" w:noVBand="0"/>
      </w:tblPr>
      <w:tblGrid>
        <w:gridCol w:w="2520"/>
        <w:gridCol w:w="1520"/>
        <w:gridCol w:w="1520"/>
        <w:gridCol w:w="1520"/>
        <w:gridCol w:w="1520"/>
      </w:tblGrid>
      <w:tr w:rsidR="005568B1" w:rsidRPr="0080400E" w:rsidTr="005568B1">
        <w:trPr>
          <w:trHeight w:val="270"/>
        </w:trPr>
        <w:tc>
          <w:tcPr>
            <w:tcW w:w="0" w:type="auto"/>
            <w:tcBorders>
              <w:top w:val="nil"/>
              <w:left w:val="nil"/>
              <w:bottom w:val="nil"/>
              <w:right w:val="single" w:sz="8" w:space="0" w:color="auto"/>
            </w:tcBorders>
            <w:shd w:val="clear" w:color="auto" w:fill="auto"/>
            <w:noWrap/>
            <w:vAlign w:val="bottom"/>
          </w:tcPr>
          <w:p w:rsidR="005568B1" w:rsidRPr="0080400E" w:rsidRDefault="005568B1" w:rsidP="005568B1">
            <w:pPr>
              <w:spacing w:after="0" w:line="240" w:lineRule="auto"/>
              <w:rPr>
                <w:rFonts w:ascii="Times New Roman" w:hAnsi="Times New Roman" w:cs="Arial"/>
                <w:bCs/>
                <w:sz w:val="24"/>
                <w:lang w:eastAsia="sk-SK"/>
              </w:rPr>
            </w:pPr>
          </w:p>
        </w:tc>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2013</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2014</w:t>
            </w:r>
          </w:p>
        </w:tc>
        <w:tc>
          <w:tcPr>
            <w:tcW w:w="0" w:type="auto"/>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80400E" w:rsidRDefault="005568B1" w:rsidP="005568B1">
            <w:pPr>
              <w:spacing w:after="0" w:line="240" w:lineRule="auto"/>
              <w:jc w:val="right"/>
              <w:rPr>
                <w:rFonts w:ascii="Times New Roman" w:hAnsi="Times New Roman" w:cs="Arial"/>
                <w:bCs/>
                <w:color w:val="FFFFFF" w:themeColor="background1"/>
                <w:sz w:val="24"/>
                <w:lang w:eastAsia="sk-SK"/>
              </w:rPr>
            </w:pPr>
            <w:r>
              <w:rPr>
                <w:rFonts w:ascii="Times New Roman" w:hAnsi="Times New Roman" w:cs="Arial"/>
                <w:bCs/>
                <w:color w:val="FFFFFF" w:themeColor="background1"/>
                <w:sz w:val="24"/>
                <w:lang w:eastAsia="sk-SK"/>
              </w:rPr>
              <w:t>2015</w:t>
            </w:r>
          </w:p>
        </w:tc>
        <w:tc>
          <w:tcPr>
            <w:tcW w:w="1355" w:type="dxa"/>
            <w:tcBorders>
              <w:top w:val="single" w:sz="8" w:space="0" w:color="auto"/>
              <w:left w:val="nil"/>
              <w:bottom w:val="single" w:sz="8" w:space="0" w:color="auto"/>
              <w:right w:val="single" w:sz="8" w:space="0" w:color="auto"/>
            </w:tcBorders>
            <w:shd w:val="clear" w:color="auto" w:fill="538135" w:themeFill="accent6" w:themeFillShade="BF"/>
          </w:tcPr>
          <w:p w:rsidR="005568B1" w:rsidRPr="00EA3D14" w:rsidRDefault="005568B1" w:rsidP="005568B1">
            <w:pPr>
              <w:spacing w:after="0" w:line="240" w:lineRule="auto"/>
              <w:jc w:val="right"/>
              <w:rPr>
                <w:rFonts w:ascii="Times New Roman" w:hAnsi="Times New Roman" w:cs="Arial"/>
                <w:bCs/>
                <w:color w:val="FFFFFF" w:themeColor="background1"/>
                <w:sz w:val="24"/>
                <w:lang w:eastAsia="sk-SK"/>
              </w:rPr>
            </w:pPr>
            <w:r w:rsidRPr="00EA3D14">
              <w:rPr>
                <w:rFonts w:ascii="Times New Roman" w:hAnsi="Times New Roman" w:cs="Arial"/>
                <w:bCs/>
                <w:color w:val="FFFFFF" w:themeColor="background1"/>
                <w:sz w:val="24"/>
                <w:lang w:eastAsia="sk-SK"/>
              </w:rPr>
              <w:t>2016</w:t>
            </w:r>
          </w:p>
        </w:tc>
      </w:tr>
      <w:tr w:rsidR="005568B1" w:rsidRPr="0080400E" w:rsidTr="005568B1">
        <w:trPr>
          <w:trHeight w:val="270"/>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sidRPr="0080400E">
              <w:rPr>
                <w:rFonts w:ascii="Times New Roman" w:hAnsi="Times New Roman" w:cs="Arial"/>
                <w:b/>
                <w:bCs/>
                <w:sz w:val="24"/>
                <w:lang w:eastAsia="sk-SK"/>
              </w:rPr>
              <w:t>tržby z tepla fixné</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7 842 017,68</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7 942 318,28</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7 762 318,47</w:t>
            </w:r>
          </w:p>
        </w:tc>
        <w:tc>
          <w:tcPr>
            <w:tcW w:w="1355" w:type="dxa"/>
            <w:tcBorders>
              <w:top w:val="nil"/>
              <w:left w:val="nil"/>
              <w:bottom w:val="single" w:sz="4" w:space="0" w:color="auto"/>
              <w:right w:val="single" w:sz="8" w:space="0" w:color="auto"/>
            </w:tcBorders>
            <w:shd w:val="clear" w:color="auto" w:fill="FFFFFF" w:themeFill="background1"/>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7 821 733,78</w:t>
            </w:r>
          </w:p>
        </w:tc>
      </w:tr>
      <w:tr w:rsidR="005568B1" w:rsidRPr="0080400E" w:rsidTr="005568B1">
        <w:trPr>
          <w:trHeight w:val="270"/>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sidRPr="0080400E">
              <w:rPr>
                <w:rFonts w:ascii="Times New Roman" w:hAnsi="Times New Roman" w:cs="Arial"/>
                <w:b/>
                <w:bCs/>
                <w:sz w:val="24"/>
                <w:lang w:eastAsia="sk-SK"/>
              </w:rPr>
              <w:t>tržby z tepla variabilné</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6 411 138,44</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5 472 113,81</w:t>
            </w:r>
          </w:p>
        </w:tc>
        <w:tc>
          <w:tcPr>
            <w:tcW w:w="0" w:type="auto"/>
            <w:tcBorders>
              <w:top w:val="nil"/>
              <w:left w:val="nil"/>
              <w:bottom w:val="single" w:sz="4" w:space="0" w:color="auto"/>
              <w:right w:val="single" w:sz="8" w:space="0" w:color="auto"/>
            </w:tcBorders>
            <w:shd w:val="clear" w:color="auto" w:fill="FFFFFF" w:themeFill="background1"/>
            <w:noWrap/>
            <w:vAlign w:val="bottom"/>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5 788 654,85</w:t>
            </w:r>
          </w:p>
        </w:tc>
        <w:tc>
          <w:tcPr>
            <w:tcW w:w="1355" w:type="dxa"/>
            <w:tcBorders>
              <w:top w:val="nil"/>
              <w:left w:val="nil"/>
              <w:bottom w:val="single" w:sz="4" w:space="0" w:color="auto"/>
              <w:right w:val="single" w:sz="8" w:space="0" w:color="auto"/>
            </w:tcBorders>
            <w:shd w:val="clear" w:color="auto" w:fill="FFFFFF" w:themeFill="background1"/>
          </w:tcPr>
          <w:p w:rsidR="005568B1" w:rsidRPr="0080400E" w:rsidRDefault="005568B1" w:rsidP="005568B1">
            <w:pPr>
              <w:spacing w:after="0" w:line="240" w:lineRule="auto"/>
              <w:jc w:val="right"/>
              <w:rPr>
                <w:rFonts w:ascii="Times New Roman" w:hAnsi="Times New Roman" w:cs="Arial"/>
                <w:sz w:val="24"/>
                <w:lang w:eastAsia="sk-SK"/>
              </w:rPr>
            </w:pPr>
            <w:r>
              <w:rPr>
                <w:rFonts w:ascii="Times New Roman" w:hAnsi="Times New Roman" w:cs="Arial"/>
                <w:sz w:val="24"/>
                <w:lang w:eastAsia="sk-SK"/>
              </w:rPr>
              <w:t>5 867 486,63</w:t>
            </w:r>
          </w:p>
        </w:tc>
      </w:tr>
      <w:tr w:rsidR="005568B1" w:rsidRPr="0080400E" w:rsidTr="005568B1">
        <w:trPr>
          <w:trHeight w:val="270"/>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568B1" w:rsidRPr="0080400E" w:rsidRDefault="005568B1" w:rsidP="005568B1">
            <w:pPr>
              <w:spacing w:after="0" w:line="240" w:lineRule="auto"/>
              <w:rPr>
                <w:rFonts w:ascii="Times New Roman" w:hAnsi="Times New Roman" w:cs="Arial"/>
                <w:b/>
                <w:bCs/>
                <w:sz w:val="24"/>
                <w:lang w:eastAsia="sk-SK"/>
              </w:rPr>
            </w:pPr>
            <w:r w:rsidRPr="0080400E">
              <w:rPr>
                <w:rFonts w:ascii="Times New Roman" w:hAnsi="Times New Roman" w:cs="Arial"/>
                <w:b/>
                <w:bCs/>
                <w:color w:val="385623" w:themeColor="accent6" w:themeShade="80"/>
                <w:sz w:val="24"/>
                <w:lang w:eastAsia="sk-SK"/>
              </w:rPr>
              <w:t>spolu</w:t>
            </w:r>
          </w:p>
        </w:tc>
        <w:tc>
          <w:tcPr>
            <w:tcW w:w="0" w:type="auto"/>
            <w:tcBorders>
              <w:top w:val="nil"/>
              <w:left w:val="nil"/>
              <w:bottom w:val="single" w:sz="8" w:space="0" w:color="auto"/>
              <w:right w:val="single" w:sz="8" w:space="0" w:color="auto"/>
            </w:tcBorders>
            <w:shd w:val="clear" w:color="auto" w:fill="auto"/>
            <w:noWrap/>
            <w:vAlign w:val="bottom"/>
          </w:tcPr>
          <w:p w:rsidR="005568B1" w:rsidRPr="001A41FC" w:rsidRDefault="005568B1" w:rsidP="005568B1">
            <w:pPr>
              <w:spacing w:after="0" w:line="240" w:lineRule="auto"/>
              <w:jc w:val="right"/>
              <w:rPr>
                <w:rFonts w:ascii="Times New Roman" w:hAnsi="Times New Roman" w:cs="Arial"/>
                <w:b/>
                <w:color w:val="538135" w:themeColor="accent6" w:themeShade="BF"/>
                <w:sz w:val="24"/>
                <w:lang w:eastAsia="sk-SK"/>
              </w:rPr>
            </w:pPr>
            <w:r>
              <w:rPr>
                <w:rFonts w:ascii="Times New Roman" w:hAnsi="Times New Roman" w:cs="Arial"/>
                <w:b/>
                <w:color w:val="538135" w:themeColor="accent6" w:themeShade="BF"/>
                <w:sz w:val="24"/>
                <w:lang w:eastAsia="sk-SK"/>
              </w:rPr>
              <w:t>14 253 156,12</w:t>
            </w:r>
          </w:p>
        </w:tc>
        <w:tc>
          <w:tcPr>
            <w:tcW w:w="0" w:type="auto"/>
            <w:tcBorders>
              <w:top w:val="nil"/>
              <w:left w:val="nil"/>
              <w:bottom w:val="single" w:sz="8" w:space="0" w:color="auto"/>
              <w:right w:val="single" w:sz="8" w:space="0" w:color="auto"/>
            </w:tcBorders>
            <w:shd w:val="clear" w:color="auto" w:fill="auto"/>
            <w:noWrap/>
            <w:vAlign w:val="bottom"/>
          </w:tcPr>
          <w:p w:rsidR="005568B1" w:rsidRPr="001A41FC" w:rsidRDefault="005568B1" w:rsidP="005568B1">
            <w:pPr>
              <w:spacing w:after="0" w:line="240" w:lineRule="auto"/>
              <w:jc w:val="right"/>
              <w:rPr>
                <w:rFonts w:ascii="Times New Roman" w:hAnsi="Times New Roman" w:cs="Arial"/>
                <w:b/>
                <w:color w:val="538135" w:themeColor="accent6" w:themeShade="BF"/>
                <w:sz w:val="24"/>
                <w:lang w:eastAsia="sk-SK"/>
              </w:rPr>
            </w:pPr>
            <w:r>
              <w:rPr>
                <w:rFonts w:ascii="Times New Roman" w:hAnsi="Times New Roman" w:cs="Arial"/>
                <w:b/>
                <w:color w:val="538135" w:themeColor="accent6" w:themeShade="BF"/>
                <w:sz w:val="24"/>
                <w:lang w:eastAsia="sk-SK"/>
              </w:rPr>
              <w:t>13 414 432,09</w:t>
            </w:r>
          </w:p>
        </w:tc>
        <w:tc>
          <w:tcPr>
            <w:tcW w:w="0" w:type="auto"/>
            <w:tcBorders>
              <w:top w:val="nil"/>
              <w:left w:val="nil"/>
              <w:bottom w:val="single" w:sz="8" w:space="0" w:color="auto"/>
              <w:right w:val="single" w:sz="8" w:space="0" w:color="auto"/>
            </w:tcBorders>
            <w:shd w:val="clear" w:color="auto" w:fill="auto"/>
            <w:noWrap/>
            <w:vAlign w:val="bottom"/>
          </w:tcPr>
          <w:p w:rsidR="005568B1" w:rsidRPr="001A41FC" w:rsidRDefault="005568B1" w:rsidP="005568B1">
            <w:pPr>
              <w:spacing w:after="0" w:line="240" w:lineRule="auto"/>
              <w:jc w:val="right"/>
              <w:rPr>
                <w:rFonts w:ascii="Times New Roman" w:hAnsi="Times New Roman" w:cs="Arial"/>
                <w:b/>
                <w:color w:val="538135" w:themeColor="accent6" w:themeShade="BF"/>
                <w:sz w:val="24"/>
                <w:lang w:eastAsia="sk-SK"/>
              </w:rPr>
            </w:pPr>
            <w:r>
              <w:rPr>
                <w:rFonts w:ascii="Times New Roman" w:hAnsi="Times New Roman" w:cs="Arial"/>
                <w:b/>
                <w:color w:val="538135" w:themeColor="accent6" w:themeShade="BF"/>
                <w:sz w:val="24"/>
                <w:lang w:eastAsia="sk-SK"/>
              </w:rPr>
              <w:t>13 550 973,32</w:t>
            </w:r>
          </w:p>
        </w:tc>
        <w:tc>
          <w:tcPr>
            <w:tcW w:w="1355" w:type="dxa"/>
            <w:tcBorders>
              <w:top w:val="nil"/>
              <w:left w:val="nil"/>
              <w:bottom w:val="single" w:sz="8" w:space="0" w:color="auto"/>
              <w:right w:val="single" w:sz="8" w:space="0" w:color="auto"/>
            </w:tcBorders>
          </w:tcPr>
          <w:p w:rsidR="005568B1" w:rsidRPr="001A41FC" w:rsidRDefault="005568B1" w:rsidP="005568B1">
            <w:pPr>
              <w:spacing w:after="0" w:line="240" w:lineRule="auto"/>
              <w:jc w:val="right"/>
              <w:rPr>
                <w:rFonts w:ascii="Times New Roman" w:hAnsi="Times New Roman" w:cs="Arial"/>
                <w:b/>
                <w:color w:val="538135" w:themeColor="accent6" w:themeShade="BF"/>
                <w:sz w:val="24"/>
                <w:lang w:eastAsia="sk-SK"/>
              </w:rPr>
            </w:pPr>
            <w:r>
              <w:rPr>
                <w:rFonts w:ascii="Times New Roman" w:hAnsi="Times New Roman" w:cs="Arial"/>
                <w:b/>
                <w:color w:val="538135" w:themeColor="accent6" w:themeShade="BF"/>
                <w:sz w:val="24"/>
                <w:lang w:eastAsia="sk-SK"/>
              </w:rPr>
              <w:t>13 689 220,41</w:t>
            </w:r>
          </w:p>
        </w:tc>
      </w:tr>
    </w:tbl>
    <w:p w:rsidR="005568B1" w:rsidRDefault="005568B1" w:rsidP="005568B1">
      <w:pPr>
        <w:rPr>
          <w:rFonts w:ascii="Times New Roman" w:hAnsi="Times New Roman" w:cs="MyriadPro-Regular"/>
          <w:sz w:val="24"/>
        </w:rPr>
      </w:pPr>
      <w:r w:rsidRPr="0080400E">
        <w:rPr>
          <w:rFonts w:ascii="Times New Roman" w:hAnsi="Times New Roman" w:cs="MyriadPro-Regular"/>
          <w:sz w:val="24"/>
        </w:rPr>
        <w:t>Údaje sú uvádzané v €</w:t>
      </w:r>
    </w:p>
    <w:p w:rsidR="005568B1" w:rsidRPr="00580178" w:rsidRDefault="005568B1" w:rsidP="005568B1">
      <w:pPr>
        <w:jc w:val="both"/>
        <w:rPr>
          <w:rFonts w:ascii="Times New Roman" w:hAnsi="Times New Roman" w:cs="Arial"/>
          <w:sz w:val="24"/>
          <w:szCs w:val="24"/>
        </w:rPr>
      </w:pPr>
      <w:r>
        <w:rPr>
          <w:rFonts w:ascii="Times New Roman" w:hAnsi="Times New Roman" w:cs="Arial"/>
          <w:noProof/>
          <w:sz w:val="24"/>
          <w:szCs w:val="24"/>
          <w:lang w:eastAsia="sk-SK"/>
        </w:rPr>
        <w:drawing>
          <wp:inline distT="0" distB="0" distL="0" distR="0" wp14:anchorId="18780390" wp14:editId="4F2D7365">
            <wp:extent cx="5419090" cy="2743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1287" cy="2744312"/>
                    </a:xfrm>
                    <a:prstGeom prst="rect">
                      <a:avLst/>
                    </a:prstGeom>
                    <a:noFill/>
                  </pic:spPr>
                </pic:pic>
              </a:graphicData>
            </a:graphic>
          </wp:inline>
        </w:drawing>
      </w:r>
    </w:p>
    <w:p w:rsidR="005568B1" w:rsidRPr="002D13A0" w:rsidRDefault="005568B1" w:rsidP="005568B1">
      <w:pPr>
        <w:jc w:val="both"/>
        <w:rPr>
          <w:rFonts w:ascii="Arial" w:hAnsi="Arial" w:cs="Arial"/>
          <w:color w:val="000000" w:themeColor="text1"/>
          <w:sz w:val="24"/>
          <w:szCs w:val="24"/>
        </w:rPr>
      </w:pPr>
      <w:r w:rsidRPr="002D13A0">
        <w:rPr>
          <w:rFonts w:ascii="Arial" w:hAnsi="Arial" w:cs="Arial"/>
          <w:color w:val="000000" w:themeColor="text1"/>
          <w:sz w:val="24"/>
          <w:szCs w:val="24"/>
        </w:rPr>
        <w:lastRenderedPageBreak/>
        <w:t>Rast fixnej zložky ceny tepla za rok 2016 spôsobil nárast fixných tržieb za teplo oproti roku 2015 o 59,4 tis. EUR. Rovnako nárast variabilnej ceny zvýšil variabilné tržby za teplo o 78,8 tis. EUR .</w:t>
      </w:r>
    </w:p>
    <w:p w:rsidR="005568B1" w:rsidRDefault="005568B1" w:rsidP="005568B1">
      <w:pPr>
        <w:jc w:val="both"/>
        <w:rPr>
          <w:rFonts w:ascii="Arial" w:hAnsi="Arial" w:cs="Arial"/>
          <w:color w:val="000000" w:themeColor="text1"/>
          <w:sz w:val="24"/>
          <w:szCs w:val="24"/>
        </w:rPr>
      </w:pPr>
      <w:r w:rsidRPr="002D13A0">
        <w:rPr>
          <w:rFonts w:ascii="Arial" w:hAnsi="Arial" w:cs="Arial"/>
          <w:color w:val="000000" w:themeColor="text1"/>
          <w:sz w:val="24"/>
          <w:szCs w:val="24"/>
        </w:rPr>
        <w:t>Na klesajúcom predaji tepla sa nepriaznivo podpisuje najmä zatepľovanie objektov a plnenie ďalších zákonných povinností vlastníkov nehnuteľností, ako je hydraulické vyregulovanie ústredného kúrenia a teplej úžitkovej vody, či osadenie pomerových rozdeľovačov vykurovacích nákladov. Po roku 2017 by sa táto situácia mala stabilizovať z dôvodu ukončenia realizácie uvedených opatrení.</w:t>
      </w:r>
    </w:p>
    <w:p w:rsidR="005568B1" w:rsidRPr="002D13A0" w:rsidRDefault="005568B1" w:rsidP="005568B1">
      <w:pPr>
        <w:jc w:val="both"/>
        <w:rPr>
          <w:rFonts w:ascii="Arial" w:hAnsi="Arial" w:cs="Arial"/>
          <w:color w:val="000000" w:themeColor="text1"/>
          <w:sz w:val="24"/>
          <w:szCs w:val="24"/>
        </w:rPr>
      </w:pPr>
    </w:p>
    <w:p w:rsidR="005568B1" w:rsidRDefault="005568B1" w:rsidP="005258DD">
      <w:pPr>
        <w:pStyle w:val="nadpisybytterm"/>
      </w:pPr>
      <w:r>
        <w:t>SPRÁVCOVSKÁ ČINNOSŤ</w:t>
      </w:r>
    </w:p>
    <w:p w:rsidR="005568B1" w:rsidRPr="002D13A0" w:rsidRDefault="005568B1" w:rsidP="005568B1"/>
    <w:p w:rsidR="005568B1" w:rsidRPr="002D13A0" w:rsidRDefault="005568B1" w:rsidP="005568B1">
      <w:pPr>
        <w:jc w:val="both"/>
        <w:rPr>
          <w:rFonts w:ascii="Arial" w:hAnsi="Arial" w:cs="Arial"/>
          <w:sz w:val="24"/>
          <w:szCs w:val="24"/>
        </w:rPr>
      </w:pPr>
      <w:r w:rsidRPr="002D13A0">
        <w:rPr>
          <w:rFonts w:ascii="Arial" w:hAnsi="Arial" w:cs="Arial"/>
          <w:sz w:val="24"/>
          <w:szCs w:val="24"/>
        </w:rPr>
        <w:t>Spoločnosť BYTTERM, a.s. zabezpečovala k 31.12.2016 správu v 358 bytových domoch, v ktorých sa nachádzalo  11 050 bytov, 228 nebytových priestorov, 133 garáží a 113 garážových státí.</w:t>
      </w:r>
    </w:p>
    <w:p w:rsidR="005568B1" w:rsidRPr="002D13A0" w:rsidRDefault="005568B1" w:rsidP="005568B1">
      <w:pPr>
        <w:pStyle w:val="Normlnywebov"/>
        <w:jc w:val="both"/>
        <w:rPr>
          <w:rFonts w:ascii="Arial" w:hAnsi="Arial" w:cs="Arial"/>
        </w:rPr>
      </w:pPr>
      <w:r w:rsidRPr="002D13A0">
        <w:rPr>
          <w:rFonts w:ascii="Arial" w:hAnsi="Arial" w:cs="Arial"/>
        </w:rPr>
        <w:t xml:space="preserve">Vlastný výkon správy zabezpečovala divízia Správa majetku vlastnými kapacitami. Prevádzku, opravy a údržbu spoločných častí a spoločných zariadení bytových domov zabezpečovala divízia Správy majetku prostredníctvom divízie Výroby a služieb a externých dodávateľov. Pre divíziu Správy majetku bolo prioritné zabezpečovanie činností vyplývajúcich zo zákona    č. 182/1993 Z.z. o vlastníctve bytov a nebytových priestorov, ktoré sa týkali hlavne: </w:t>
      </w:r>
    </w:p>
    <w:p w:rsidR="005568B1" w:rsidRPr="002D13A0" w:rsidRDefault="005568B1"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vedenia účtov pre bytové domy v našej správe,</w:t>
      </w:r>
    </w:p>
    <w:p w:rsidR="005568B1" w:rsidRPr="002D13A0" w:rsidRDefault="005568B1"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vymáhania nedoplatkov vo fonde prevádzky, údržby a opráv a za služby spojené s užívaním bytov a nebytových priestorov od neplatičov,</w:t>
      </w:r>
    </w:p>
    <w:p w:rsidR="005568B1" w:rsidRPr="002D13A0" w:rsidRDefault="005568B1"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obstarávania tovarov a služieb spojených s prevádzkou, údržbou a opravami domového fondu,</w:t>
      </w:r>
    </w:p>
    <w:p w:rsidR="005568B1" w:rsidRPr="002D13A0" w:rsidRDefault="005568B1" w:rsidP="005568B1">
      <w:pPr>
        <w:numPr>
          <w:ilvl w:val="0"/>
          <w:numId w:val="5"/>
        </w:numPr>
        <w:spacing w:before="100" w:beforeAutospacing="1" w:after="100" w:afterAutospacing="1" w:line="240" w:lineRule="auto"/>
        <w:rPr>
          <w:rFonts w:ascii="Arial" w:hAnsi="Arial" w:cs="Arial"/>
          <w:sz w:val="24"/>
          <w:szCs w:val="24"/>
        </w:rPr>
      </w:pPr>
      <w:r w:rsidRPr="002D13A0">
        <w:rPr>
          <w:rFonts w:ascii="Arial" w:hAnsi="Arial" w:cs="Arial"/>
          <w:sz w:val="24"/>
          <w:szCs w:val="24"/>
        </w:rPr>
        <w:t>iných činností, ktoré bezprostredne súviseli s užívaním bytov a nebytových priestorov v bytových domoch.</w:t>
      </w:r>
    </w:p>
    <w:p w:rsidR="005568B1" w:rsidRPr="002D13A0" w:rsidRDefault="005568B1" w:rsidP="005568B1">
      <w:pPr>
        <w:pStyle w:val="Normlnywebov"/>
        <w:jc w:val="both"/>
        <w:rPr>
          <w:rFonts w:ascii="Arial" w:hAnsi="Arial" w:cs="Arial"/>
        </w:rPr>
      </w:pPr>
      <w:r w:rsidRPr="002D13A0">
        <w:rPr>
          <w:rFonts w:ascii="Arial" w:hAnsi="Arial" w:cs="Arial"/>
        </w:rPr>
        <w:t>K platnému zákonu č. 182/1993 Z.z. sa pridružil s účinnosťou od 1.1.2016 aj zákon                       č. 246/2015 Z.z. o správcoch. Práve uvedený zákon predstavuje ďalší krok k vyššej profesionalite poskytovaných služieb. Dvaja zamestnanci divízie Správy majetku získali odbornú spôsobilosť a prostredníctvom nich je zabezpečovaný odborný výkon správy. Divízia Správy majetku od polovice minulého roku poskytuje svoje služby v novo-otvorenom</w:t>
      </w:r>
      <w:r w:rsidRPr="002D13A0">
        <w:t xml:space="preserve"> </w:t>
      </w:r>
      <w:r w:rsidRPr="002D13A0">
        <w:rPr>
          <w:rFonts w:ascii="Arial" w:hAnsi="Arial" w:cs="Arial"/>
        </w:rPr>
        <w:t xml:space="preserve">zákazníckom centre nachádzajúcom sa v administratívnej budove na Saleziánskej ulici, v ktorom vyškolený personál je schopný komplexne vybaviť požiadavky našich zákazníkov. Na základe splnených kritérií, ktoré vyžadoval zákon sme boli zapísaný do zoznamu správcov vedeného MDVRR SR. V marketingovej oblasti sme pre zvýšenie povedomia o našej spoločnosti v spravovaných domoch vydali tri čísla občasníku BYTTERM s nákladom po 11 400 výtlačkoch, ktoré sa dostali k našim zákazníkom. Financovanie občasníkov bolo zabezpečené zo zdrojov inzercie.  </w:t>
      </w:r>
    </w:p>
    <w:p w:rsidR="005568B1" w:rsidRPr="002D13A0" w:rsidRDefault="005568B1" w:rsidP="005568B1">
      <w:pPr>
        <w:pStyle w:val="Normlnywebov"/>
        <w:jc w:val="both"/>
        <w:rPr>
          <w:rFonts w:ascii="Arial" w:hAnsi="Arial" w:cs="Arial"/>
        </w:rPr>
      </w:pPr>
      <w:r w:rsidRPr="002D13A0">
        <w:rPr>
          <w:rFonts w:ascii="Arial" w:hAnsi="Arial" w:cs="Arial"/>
        </w:rPr>
        <w:t xml:space="preserve">V roku 2016 výkon správy s našou spoločnosťou ukončil bytový dom na Bratislavskej č. </w:t>
      </w:r>
      <w:smartTag w:uri="urn:schemas-microsoft-com:office:smarttags" w:element="metricconverter">
        <w:smartTagPr>
          <w:attr w:name="ProductID" w:val="279 a"/>
        </w:smartTagPr>
        <w:r w:rsidRPr="002D13A0">
          <w:rPr>
            <w:rFonts w:ascii="Arial" w:hAnsi="Arial" w:cs="Arial"/>
          </w:rPr>
          <w:t>279 a</w:t>
        </w:r>
      </w:smartTag>
      <w:r w:rsidRPr="002D13A0">
        <w:rPr>
          <w:rFonts w:ascii="Arial" w:hAnsi="Arial" w:cs="Arial"/>
        </w:rPr>
        <w:t xml:space="preserve"> do správy pribudol bytový dom Pod sadom č. 703.       </w:t>
      </w:r>
    </w:p>
    <w:p w:rsidR="005568B1" w:rsidRPr="002D13A0" w:rsidRDefault="005568B1" w:rsidP="005568B1">
      <w:pPr>
        <w:jc w:val="both"/>
        <w:rPr>
          <w:rFonts w:ascii="Arial" w:hAnsi="Arial" w:cs="Arial"/>
          <w:sz w:val="24"/>
          <w:szCs w:val="24"/>
        </w:rPr>
      </w:pPr>
      <w:r w:rsidRPr="002D13A0">
        <w:rPr>
          <w:rFonts w:ascii="Arial" w:hAnsi="Arial" w:cs="Arial"/>
          <w:sz w:val="24"/>
          <w:szCs w:val="24"/>
        </w:rPr>
        <w:lastRenderedPageBreak/>
        <w:t xml:space="preserve">V roku 2016 nás vlastníci z 19 bytových domov /viď. tabuľka/, ktoré máme v správe požiadali o zabezpečenie inžinierskej činnosti spojenej s podaním žiadosti na Štátny fond rozvoja bývania (ŠFRB) ohľadom získania  finančných prostriedkov na obnovu svojich bytových domov. ŠFRB poskytoval v roku 2016 v závislosti od účelu obnovy a ich kombinácií úrokové sadzby pohybujúce sa v rozmedzí od 0% do 2%. V roku 2016 bolo všetkých 19 žiadostí podaných na ŠFRB posúdených kladne a bytovým domom boli pridelené požadované finančné prostriedky v plnej výške.     </w:t>
      </w:r>
    </w:p>
    <w:p w:rsidR="005568B1" w:rsidRDefault="005568B1" w:rsidP="005568B1">
      <w:pPr>
        <w:jc w:val="both"/>
        <w:rPr>
          <w:rFonts w:ascii="Arial" w:hAnsi="Arial" w:cs="Arial"/>
          <w:sz w:val="24"/>
          <w:szCs w:val="24"/>
        </w:rPr>
      </w:pPr>
      <w:r w:rsidRPr="002D13A0">
        <w:rPr>
          <w:rFonts w:ascii="Arial" w:hAnsi="Arial" w:cs="Arial"/>
          <w:sz w:val="24"/>
          <w:szCs w:val="24"/>
        </w:rPr>
        <w:t>Zo ŠFRB boli v roku 2016 získané príspevky vo forme úveru v celkovej výške 6 251 220 €. Na    dofinancovanie  investícií sa využili úvery z komerčných bánk vo výške 943 000 € a zostávajúcu časť investícií si prefinancovali bytové domy z vlastných zdrojov – z fondov prevádzky, údržby a opráv(FPÚO) vo výške 1 180 423 €. Celkom bytové domy prefinancovali 8 374 643 €.</w:t>
      </w:r>
    </w:p>
    <w:p w:rsidR="005568B1" w:rsidRPr="002D13A0" w:rsidRDefault="005568B1" w:rsidP="005568B1">
      <w:pPr>
        <w:jc w:val="both"/>
        <w:rPr>
          <w:rFonts w:ascii="Arial" w:hAnsi="Arial" w:cs="Arial"/>
          <w:sz w:val="24"/>
          <w:szCs w:val="24"/>
        </w:rPr>
      </w:pPr>
    </w:p>
    <w:tbl>
      <w:tblPr>
        <w:tblW w:w="7660" w:type="dxa"/>
        <w:tblInd w:w="55" w:type="dxa"/>
        <w:tblCellMar>
          <w:left w:w="70" w:type="dxa"/>
          <w:right w:w="70" w:type="dxa"/>
        </w:tblCellMar>
        <w:tblLook w:val="00A0" w:firstRow="1" w:lastRow="0" w:firstColumn="1" w:lastColumn="0" w:noHBand="0" w:noVBand="0"/>
      </w:tblPr>
      <w:tblGrid>
        <w:gridCol w:w="660"/>
        <w:gridCol w:w="820"/>
        <w:gridCol w:w="3280"/>
        <w:gridCol w:w="2900"/>
      </w:tblGrid>
      <w:tr w:rsidR="005568B1" w:rsidRPr="003D4DD0" w:rsidTr="005568B1">
        <w:trPr>
          <w:trHeight w:val="359"/>
        </w:trPr>
        <w:tc>
          <w:tcPr>
            <w:tcW w:w="660" w:type="dxa"/>
            <w:tcBorders>
              <w:top w:val="single" w:sz="4" w:space="0" w:color="auto"/>
              <w:left w:val="single" w:sz="4" w:space="0" w:color="auto"/>
              <w:bottom w:val="single" w:sz="4" w:space="0" w:color="auto"/>
              <w:right w:val="single" w:sz="4" w:space="0" w:color="auto"/>
            </w:tcBorders>
            <w:vAlign w:val="bottom"/>
          </w:tcPr>
          <w:p w:rsidR="005568B1" w:rsidRPr="003D4DD0" w:rsidRDefault="005568B1" w:rsidP="005568B1">
            <w:pPr>
              <w:jc w:val="both"/>
              <w:rPr>
                <w:rFonts w:ascii="Arial Narrow" w:hAnsi="Arial Narrow" w:cs="Arial"/>
                <w:b/>
                <w:bCs/>
                <w:sz w:val="18"/>
                <w:szCs w:val="18"/>
              </w:rPr>
            </w:pPr>
            <w:r w:rsidRPr="003D4DD0">
              <w:rPr>
                <w:rFonts w:ascii="Arial Narrow" w:hAnsi="Arial Narrow" w:cs="Arial"/>
                <w:b/>
                <w:bCs/>
                <w:sz w:val="18"/>
                <w:szCs w:val="18"/>
              </w:rPr>
              <w:t xml:space="preserve">Por.č.     </w:t>
            </w:r>
          </w:p>
        </w:tc>
        <w:tc>
          <w:tcPr>
            <w:tcW w:w="820" w:type="dxa"/>
            <w:tcBorders>
              <w:top w:val="single" w:sz="4" w:space="0" w:color="auto"/>
              <w:left w:val="nil"/>
              <w:bottom w:val="single" w:sz="4" w:space="0" w:color="auto"/>
              <w:right w:val="single" w:sz="4" w:space="0" w:color="auto"/>
            </w:tcBorders>
            <w:vAlign w:val="bottom"/>
          </w:tcPr>
          <w:p w:rsidR="005568B1" w:rsidRPr="003D4DD0" w:rsidRDefault="005568B1" w:rsidP="005568B1">
            <w:pPr>
              <w:jc w:val="both"/>
              <w:rPr>
                <w:rFonts w:ascii="Arial Narrow" w:hAnsi="Arial Narrow" w:cs="Arial"/>
                <w:b/>
                <w:bCs/>
                <w:sz w:val="18"/>
                <w:szCs w:val="18"/>
              </w:rPr>
            </w:pPr>
            <w:r w:rsidRPr="003D4DD0">
              <w:rPr>
                <w:rFonts w:ascii="Arial Narrow" w:hAnsi="Arial Narrow" w:cs="Arial"/>
                <w:b/>
                <w:bCs/>
                <w:sz w:val="18"/>
                <w:szCs w:val="18"/>
              </w:rPr>
              <w:t>% úroku</w:t>
            </w:r>
          </w:p>
        </w:tc>
        <w:tc>
          <w:tcPr>
            <w:tcW w:w="3280" w:type="dxa"/>
            <w:tcBorders>
              <w:top w:val="single" w:sz="4" w:space="0" w:color="auto"/>
              <w:left w:val="nil"/>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b/>
                <w:bCs/>
                <w:sz w:val="18"/>
                <w:szCs w:val="18"/>
              </w:rPr>
            </w:pPr>
            <w:r w:rsidRPr="003D4DD0">
              <w:rPr>
                <w:rFonts w:ascii="Arial Narrow" w:hAnsi="Arial Narrow" w:cs="Arial"/>
                <w:b/>
                <w:bCs/>
                <w:sz w:val="18"/>
                <w:szCs w:val="18"/>
              </w:rPr>
              <w:t>Bytový dom</w:t>
            </w:r>
          </w:p>
        </w:tc>
        <w:tc>
          <w:tcPr>
            <w:tcW w:w="2900" w:type="dxa"/>
            <w:tcBorders>
              <w:top w:val="single" w:sz="4" w:space="0" w:color="auto"/>
              <w:left w:val="nil"/>
              <w:bottom w:val="single" w:sz="4" w:space="0" w:color="auto"/>
              <w:right w:val="single" w:sz="4" w:space="0" w:color="auto"/>
            </w:tcBorders>
            <w:vAlign w:val="bottom"/>
          </w:tcPr>
          <w:p w:rsidR="005568B1" w:rsidRPr="003D4DD0" w:rsidRDefault="005568B1" w:rsidP="005568B1">
            <w:pPr>
              <w:jc w:val="both"/>
              <w:rPr>
                <w:rFonts w:ascii="Arial Narrow" w:hAnsi="Arial Narrow" w:cs="Arial"/>
                <w:b/>
                <w:bCs/>
                <w:sz w:val="18"/>
                <w:szCs w:val="18"/>
              </w:rPr>
            </w:pPr>
            <w:r>
              <w:rPr>
                <w:rFonts w:ascii="Arial Narrow" w:hAnsi="Arial Narrow" w:cs="Arial"/>
                <w:b/>
                <w:bCs/>
                <w:sz w:val="18"/>
                <w:szCs w:val="18"/>
              </w:rPr>
              <w:t>R</w:t>
            </w:r>
            <w:r w:rsidRPr="003D4DD0">
              <w:rPr>
                <w:rFonts w:ascii="Arial Narrow" w:hAnsi="Arial Narrow" w:cs="Arial"/>
                <w:b/>
                <w:bCs/>
                <w:sz w:val="18"/>
                <w:szCs w:val="18"/>
              </w:rPr>
              <w:t>ozsah investície</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Hlinská 2590/15,18</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ÚK, 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2</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Gerlachovská 3104/1-6</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strecha, rozvody, výťahy</w:t>
            </w:r>
          </w:p>
        </w:tc>
      </w:tr>
      <w:tr w:rsidR="005568B1" w:rsidRPr="008A7E64" w:rsidTr="005568B1">
        <w:trPr>
          <w:trHeight w:val="387"/>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3</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Smreková 3090/1</w:t>
            </w:r>
          </w:p>
        </w:tc>
        <w:tc>
          <w:tcPr>
            <w:tcW w:w="2900" w:type="dxa"/>
            <w:tcBorders>
              <w:top w:val="nil"/>
              <w:left w:val="nil"/>
              <w:bottom w:val="single" w:sz="4" w:space="0" w:color="auto"/>
              <w:right w:val="single" w:sz="4" w:space="0" w:color="auto"/>
            </w:tcBorders>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ÚK, rozvody,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4</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Borová 3205/31</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5</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Bajzova 3120/26-34</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rozvody,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6</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Lichardova 2804/20-23</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7</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Pittsburgská 1673/13-23</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rozvody, výťahy</w:t>
            </w:r>
          </w:p>
        </w:tc>
      </w:tr>
      <w:tr w:rsidR="005568B1" w:rsidRPr="008A7E64" w:rsidTr="005568B1">
        <w:trPr>
          <w:trHeight w:val="351"/>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8</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Gemerská 1776/5,6</w:t>
            </w:r>
          </w:p>
        </w:tc>
        <w:tc>
          <w:tcPr>
            <w:tcW w:w="2900" w:type="dxa"/>
            <w:tcBorders>
              <w:top w:val="nil"/>
              <w:left w:val="nil"/>
              <w:bottom w:val="single" w:sz="4" w:space="0" w:color="auto"/>
              <w:right w:val="single" w:sz="4" w:space="0" w:color="auto"/>
            </w:tcBorders>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okapový chodník, rozvody,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9</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Jarná 2596/36,38</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balkóny, rozvody</w:t>
            </w:r>
          </w:p>
        </w:tc>
      </w:tr>
      <w:tr w:rsidR="005568B1" w:rsidRPr="008A7E64" w:rsidTr="005568B1">
        <w:trPr>
          <w:trHeight w:val="368"/>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10</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Tatranská 3110/10-12</w:t>
            </w:r>
          </w:p>
        </w:tc>
        <w:tc>
          <w:tcPr>
            <w:tcW w:w="2900" w:type="dxa"/>
            <w:tcBorders>
              <w:top w:val="nil"/>
              <w:left w:val="nil"/>
              <w:bottom w:val="single" w:sz="4" w:space="0" w:color="auto"/>
              <w:right w:val="single" w:sz="4" w:space="0" w:color="auto"/>
            </w:tcBorders>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maľovanie schodísk, rozvody, výťahy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11</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Brodno 109/92</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12</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Gaštanová 3087/39</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13</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Hlinská 2614/9,12</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14</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Hlinská 2580/9,11</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okapový chodník, 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15</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Gaštanová 3075/7,9,11</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zateplenie, ÚK, TUV</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16</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Pittsburgská 2971/11,12</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17</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Puškinova 2182/1,3</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18</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Puškinova 2183/5,7</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w:t>
            </w:r>
          </w:p>
        </w:tc>
      </w:tr>
      <w:tr w:rsidR="005568B1" w:rsidRPr="008A7E64" w:rsidTr="005568B1">
        <w:trPr>
          <w:trHeight w:val="300"/>
        </w:trPr>
        <w:tc>
          <w:tcPr>
            <w:tcW w:w="660" w:type="dxa"/>
            <w:tcBorders>
              <w:top w:val="nil"/>
              <w:left w:val="single" w:sz="4" w:space="0" w:color="auto"/>
              <w:bottom w:val="single" w:sz="4" w:space="0" w:color="auto"/>
              <w:right w:val="single" w:sz="4" w:space="0" w:color="auto"/>
            </w:tcBorders>
            <w:noWrap/>
            <w:vAlign w:val="bottom"/>
          </w:tcPr>
          <w:p w:rsidR="005568B1" w:rsidRPr="003D4DD0" w:rsidRDefault="005568B1" w:rsidP="005568B1">
            <w:pPr>
              <w:jc w:val="both"/>
              <w:rPr>
                <w:rFonts w:ascii="Arial Narrow" w:hAnsi="Arial Narrow" w:cs="Arial"/>
                <w:sz w:val="18"/>
                <w:szCs w:val="18"/>
              </w:rPr>
            </w:pPr>
            <w:r w:rsidRPr="003D4DD0">
              <w:rPr>
                <w:rFonts w:ascii="Arial Narrow" w:hAnsi="Arial Narrow" w:cs="Arial"/>
                <w:sz w:val="18"/>
                <w:szCs w:val="18"/>
              </w:rPr>
              <w:t>19</w:t>
            </w:r>
          </w:p>
        </w:tc>
        <w:tc>
          <w:tcPr>
            <w:tcW w:w="820" w:type="dxa"/>
            <w:tcBorders>
              <w:top w:val="nil"/>
              <w:left w:val="nil"/>
              <w:bottom w:val="single" w:sz="4" w:space="0" w:color="auto"/>
              <w:right w:val="single" w:sz="4" w:space="0" w:color="auto"/>
            </w:tcBorders>
            <w:noWrap/>
            <w:vAlign w:val="bottom"/>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0,5%</w:t>
            </w:r>
          </w:p>
        </w:tc>
        <w:tc>
          <w:tcPr>
            <w:tcW w:w="3280" w:type="dxa"/>
            <w:tcBorders>
              <w:top w:val="nil"/>
              <w:left w:val="nil"/>
              <w:bottom w:val="single" w:sz="4" w:space="0" w:color="auto"/>
              <w:right w:val="single" w:sz="4" w:space="0" w:color="auto"/>
            </w:tcBorders>
            <w:shd w:val="clear" w:color="auto" w:fill="FFFFFF"/>
            <w:noWrap/>
            <w:vAlign w:val="center"/>
          </w:tcPr>
          <w:p w:rsidR="005568B1" w:rsidRPr="008A7E64" w:rsidRDefault="005568B1" w:rsidP="005568B1">
            <w:pPr>
              <w:jc w:val="both"/>
              <w:rPr>
                <w:rFonts w:ascii="Arial Narrow" w:hAnsi="Arial Narrow" w:cs="Arial"/>
                <w:bCs/>
                <w:sz w:val="18"/>
                <w:szCs w:val="18"/>
              </w:rPr>
            </w:pPr>
            <w:r w:rsidRPr="008A7E64">
              <w:rPr>
                <w:rFonts w:ascii="Arial Narrow" w:hAnsi="Arial Narrow" w:cs="Arial"/>
                <w:bCs/>
                <w:sz w:val="18"/>
                <w:szCs w:val="18"/>
              </w:rPr>
              <w:t>Jarná 2604/8,10</w:t>
            </w:r>
          </w:p>
        </w:tc>
        <w:tc>
          <w:tcPr>
            <w:tcW w:w="2900" w:type="dxa"/>
            <w:tcBorders>
              <w:top w:val="nil"/>
              <w:left w:val="nil"/>
              <w:bottom w:val="single" w:sz="4" w:space="0" w:color="auto"/>
              <w:right w:val="single" w:sz="4" w:space="0" w:color="auto"/>
            </w:tcBorders>
            <w:noWrap/>
            <w:vAlign w:val="center"/>
          </w:tcPr>
          <w:p w:rsidR="005568B1" w:rsidRPr="008A7E64" w:rsidRDefault="005568B1" w:rsidP="005568B1">
            <w:pPr>
              <w:jc w:val="both"/>
              <w:rPr>
                <w:rFonts w:ascii="Arial Narrow" w:hAnsi="Arial Narrow" w:cs="Arial"/>
                <w:sz w:val="18"/>
                <w:szCs w:val="18"/>
              </w:rPr>
            </w:pPr>
            <w:r w:rsidRPr="008A7E64">
              <w:rPr>
                <w:rFonts w:ascii="Arial Narrow" w:hAnsi="Arial Narrow" w:cs="Arial"/>
                <w:sz w:val="18"/>
                <w:szCs w:val="18"/>
              </w:rPr>
              <w:t>rozvody</w:t>
            </w:r>
          </w:p>
        </w:tc>
      </w:tr>
    </w:tbl>
    <w:p w:rsidR="005568B1" w:rsidRDefault="005568B1" w:rsidP="005568B1">
      <w:pPr>
        <w:jc w:val="both"/>
        <w:rPr>
          <w:rFonts w:ascii="Arial" w:hAnsi="Arial" w:cs="Arial"/>
          <w:sz w:val="24"/>
          <w:szCs w:val="24"/>
        </w:rPr>
      </w:pPr>
    </w:p>
    <w:p w:rsidR="005568B1" w:rsidRDefault="005568B1" w:rsidP="005568B1">
      <w:pPr>
        <w:jc w:val="both"/>
        <w:rPr>
          <w:rFonts w:ascii="Arial" w:hAnsi="Arial" w:cs="Arial"/>
          <w:sz w:val="24"/>
          <w:szCs w:val="24"/>
        </w:rPr>
      </w:pPr>
    </w:p>
    <w:p w:rsidR="005568B1" w:rsidRPr="002D13A0" w:rsidRDefault="005568B1" w:rsidP="005568B1">
      <w:pPr>
        <w:jc w:val="both"/>
        <w:rPr>
          <w:rFonts w:ascii="Arial" w:hAnsi="Arial" w:cs="Arial"/>
          <w:sz w:val="24"/>
          <w:szCs w:val="24"/>
        </w:rPr>
      </w:pPr>
      <w:r w:rsidRPr="002D13A0">
        <w:rPr>
          <w:rFonts w:ascii="Arial" w:hAnsi="Arial" w:cs="Arial"/>
          <w:sz w:val="24"/>
          <w:szCs w:val="24"/>
        </w:rPr>
        <w:t xml:space="preserve">V priebehu roku 2016 oddelenie pre zabezpečovanie úverov zo ŠFRB  začalo  pripravovať aj podklady k žiadostiam na rok 2017. Konkrétne sa jednalo o bytové </w:t>
      </w:r>
      <w:r w:rsidRPr="002D13A0">
        <w:rPr>
          <w:rFonts w:ascii="Arial" w:hAnsi="Arial" w:cs="Arial"/>
          <w:sz w:val="24"/>
          <w:szCs w:val="24"/>
        </w:rPr>
        <w:lastRenderedPageBreak/>
        <w:t>domy: 1. Mája č. 833, Trnavská č. 1358, Nitrianska č. 1593, Dobšinského č. 1598, Dobšinského č. 1605, Hlinská č. 1636, Ružová č. 1638,  A. Bernoláka č. 2135, č. 2200, č. 2201, Čajakova  č. 2174, Fándlyho č. 2193, Rajecká č. 2798, Závodská č. 2962, č. 3740, Levočská č. 2957, Pittsburgská č. 2970, Tatranská č. 3109, Komenského č. 2231, Bytča – Thurzova č. 968.</w:t>
      </w:r>
    </w:p>
    <w:p w:rsidR="005568B1" w:rsidRPr="002D13A0" w:rsidRDefault="005568B1" w:rsidP="005568B1">
      <w:pPr>
        <w:jc w:val="both"/>
        <w:rPr>
          <w:rFonts w:ascii="Arial" w:hAnsi="Arial" w:cs="Arial"/>
          <w:sz w:val="24"/>
          <w:szCs w:val="24"/>
        </w:rPr>
      </w:pPr>
      <w:r w:rsidRPr="002D13A0">
        <w:rPr>
          <w:rFonts w:ascii="Arial" w:hAnsi="Arial" w:cs="Arial"/>
          <w:sz w:val="24"/>
          <w:szCs w:val="24"/>
        </w:rPr>
        <w:t>Na opravy bytových domov sa z FPÚO v roku 2016 vynaložili celkovo finančné prostriedky vlastníkov vo výške 6 694 401€ (vrátane prostriedkov slúžiacich k dofinancovaniu úverov poskytnutých ŠFRB).</w:t>
      </w:r>
      <w:r w:rsidRPr="002D13A0">
        <w:rPr>
          <w:rFonts w:ascii="Arial" w:hAnsi="Arial" w:cs="Arial"/>
          <w:sz w:val="24"/>
          <w:szCs w:val="24"/>
        </w:rPr>
        <w:tab/>
      </w:r>
    </w:p>
    <w:p w:rsidR="005568B1" w:rsidRPr="002D13A0" w:rsidRDefault="005568B1" w:rsidP="005568B1">
      <w:pPr>
        <w:pStyle w:val="Normlnywebov"/>
        <w:jc w:val="both"/>
        <w:rPr>
          <w:rFonts w:ascii="Arial" w:hAnsi="Arial" w:cs="Arial"/>
        </w:rPr>
      </w:pPr>
      <w:r w:rsidRPr="002D13A0">
        <w:rPr>
          <w:rFonts w:ascii="Arial" w:hAnsi="Arial" w:cs="Arial"/>
        </w:rPr>
        <w:t xml:space="preserve">V priebehu roku 2016 sme zaznamenali celkovo 130 poistných udalostí, čo je pokles oproti roku 2015 o 49 poistných udalostí.  </w:t>
      </w:r>
    </w:p>
    <w:p w:rsidR="005568B1" w:rsidRPr="002D13A0" w:rsidRDefault="005568B1" w:rsidP="005568B1">
      <w:pPr>
        <w:jc w:val="both"/>
        <w:rPr>
          <w:rFonts w:ascii="Arial" w:hAnsi="Arial" w:cs="Arial"/>
          <w:sz w:val="24"/>
          <w:szCs w:val="24"/>
        </w:rPr>
      </w:pPr>
      <w:r w:rsidRPr="002D13A0">
        <w:rPr>
          <w:rFonts w:ascii="Arial" w:hAnsi="Arial" w:cs="Arial"/>
          <w:sz w:val="24"/>
          <w:szCs w:val="24"/>
        </w:rPr>
        <w:t>Divízia Správy majetku vyvíjala aj v roku 2016 systematické úsilie smerované do obnovy bytových domov za účelom skvalitnenia bývania pre vlastníkov v našej správe. V nastavenom priaznivom vývoji budeme pokračovať aj v budúcnosti.</w:t>
      </w:r>
    </w:p>
    <w:p w:rsidR="005568B1" w:rsidRDefault="005568B1" w:rsidP="005568B1">
      <w:pPr>
        <w:jc w:val="both"/>
        <w:rPr>
          <w:rFonts w:ascii="Arial" w:hAnsi="Arial" w:cs="Arial"/>
        </w:rPr>
      </w:pPr>
    </w:p>
    <w:p w:rsidR="005568B1" w:rsidRDefault="005568B1" w:rsidP="005568B1">
      <w:pPr>
        <w:jc w:val="both"/>
        <w:rPr>
          <w:rFonts w:ascii="Arial" w:hAnsi="Arial" w:cs="Arial"/>
        </w:rPr>
      </w:pPr>
    </w:p>
    <w:p w:rsidR="005568B1" w:rsidRDefault="005568B1" w:rsidP="005568B1">
      <w:pPr>
        <w:jc w:val="both"/>
        <w:rPr>
          <w:rFonts w:ascii="Arial" w:hAnsi="Arial" w:cs="Arial"/>
        </w:rPr>
      </w:pPr>
    </w:p>
    <w:p w:rsidR="005568B1" w:rsidRPr="00AF4276" w:rsidRDefault="005568B1" w:rsidP="005568B1">
      <w:pPr>
        <w:jc w:val="both"/>
        <w:rPr>
          <w:rFonts w:ascii="Arial" w:hAnsi="Arial" w:cs="Arial"/>
        </w:rPr>
      </w:pPr>
      <w:r w:rsidRPr="008C5621">
        <w:rPr>
          <w:rFonts w:ascii="Arial" w:hAnsi="Arial" w:cs="Arial"/>
          <w:noProof/>
          <w:lang w:eastAsia="sk-SK"/>
        </w:rPr>
        <w:drawing>
          <wp:inline distT="0" distB="0" distL="0" distR="0" wp14:anchorId="1DB0B97E" wp14:editId="1FC8DB69">
            <wp:extent cx="5760720" cy="3610377"/>
            <wp:effectExtent l="0" t="0" r="0" b="9525"/>
            <wp:docPr id="15" name="Obrázok 15" descr="C:\Users\sartorisova.BYTTERMZA\Desktop\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torisova.BYTTERMZA\Desktop\K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610377"/>
                    </a:xfrm>
                    <a:prstGeom prst="rect">
                      <a:avLst/>
                    </a:prstGeom>
                    <a:noFill/>
                    <a:ln>
                      <a:noFill/>
                    </a:ln>
                  </pic:spPr>
                </pic:pic>
              </a:graphicData>
            </a:graphic>
          </wp:inline>
        </w:drawing>
      </w:r>
    </w:p>
    <w:p w:rsidR="005568B1" w:rsidRPr="00185942" w:rsidRDefault="005568B1" w:rsidP="005568B1">
      <w:pPr>
        <w:ind w:right="563"/>
        <w:jc w:val="both"/>
        <w:rPr>
          <w:rFonts w:cs="Arial"/>
          <w:sz w:val="20"/>
          <w:szCs w:val="20"/>
        </w:rPr>
      </w:pPr>
      <w:r>
        <w:rPr>
          <w:rFonts w:ascii="Arial" w:hAnsi="Arial" w:cs="Arial"/>
          <w:smallCaps/>
          <w:color w:val="538135" w:themeColor="accent6" w:themeShade="BF"/>
          <w:sz w:val="20"/>
          <w:szCs w:val="20"/>
        </w:rPr>
        <w:tab/>
      </w:r>
      <w:r>
        <w:rPr>
          <w:rFonts w:ascii="Arial" w:hAnsi="Arial" w:cs="Arial"/>
          <w:smallCaps/>
          <w:color w:val="538135" w:themeColor="accent6" w:themeShade="BF"/>
          <w:sz w:val="20"/>
          <w:szCs w:val="20"/>
        </w:rPr>
        <w:tab/>
      </w:r>
      <w:r>
        <w:rPr>
          <w:rFonts w:ascii="Arial" w:hAnsi="Arial" w:cs="Arial"/>
          <w:smallCaps/>
          <w:color w:val="538135" w:themeColor="accent6" w:themeShade="BF"/>
          <w:sz w:val="20"/>
          <w:szCs w:val="20"/>
        </w:rPr>
        <w:tab/>
      </w:r>
      <w:r>
        <w:rPr>
          <w:rFonts w:ascii="Arial" w:hAnsi="Arial" w:cs="Arial"/>
          <w:smallCaps/>
          <w:color w:val="538135" w:themeColor="accent6" w:themeShade="BF"/>
          <w:sz w:val="20"/>
          <w:szCs w:val="20"/>
        </w:rPr>
        <w:tab/>
      </w:r>
      <w:r>
        <w:rPr>
          <w:rFonts w:ascii="Arial" w:hAnsi="Arial" w:cs="Arial"/>
          <w:smallCaps/>
          <w:color w:val="538135" w:themeColor="accent6" w:themeShade="BF"/>
          <w:sz w:val="20"/>
          <w:szCs w:val="20"/>
        </w:rPr>
        <w:tab/>
      </w:r>
      <w:r w:rsidRPr="00185942">
        <w:rPr>
          <w:rFonts w:ascii="Calibri" w:hAnsi="Calibri" w:cs="Arial"/>
          <w:sz w:val="20"/>
          <w:szCs w:val="20"/>
        </w:rPr>
        <w:t>N</w:t>
      </w:r>
      <w:r w:rsidRPr="00185942">
        <w:rPr>
          <w:rFonts w:cs="Arial"/>
          <w:sz w:val="20"/>
          <w:szCs w:val="20"/>
        </w:rPr>
        <w:t>ové klientske centrum</w:t>
      </w:r>
    </w:p>
    <w:p w:rsidR="005568B1" w:rsidRDefault="005568B1" w:rsidP="005568B1">
      <w:pPr>
        <w:ind w:right="563"/>
        <w:jc w:val="both"/>
        <w:rPr>
          <w:rFonts w:ascii="Arial" w:hAnsi="Arial" w:cs="Arial"/>
          <w:smallCaps/>
          <w:color w:val="538135" w:themeColor="accent6" w:themeShade="BF"/>
          <w:sz w:val="52"/>
          <w:szCs w:val="52"/>
        </w:rPr>
      </w:pPr>
    </w:p>
    <w:p w:rsidR="005568B1" w:rsidRDefault="005568B1" w:rsidP="005568B1">
      <w:pPr>
        <w:ind w:right="563"/>
        <w:jc w:val="both"/>
        <w:rPr>
          <w:rFonts w:ascii="Arial" w:hAnsi="Arial" w:cs="Arial"/>
          <w:smallCaps/>
          <w:color w:val="538135" w:themeColor="accent6" w:themeShade="BF"/>
          <w:sz w:val="52"/>
          <w:szCs w:val="52"/>
        </w:rPr>
      </w:pPr>
    </w:p>
    <w:p w:rsidR="005568B1" w:rsidRPr="00FE449F" w:rsidRDefault="005568B1" w:rsidP="005258DD">
      <w:pPr>
        <w:pStyle w:val="nadpisybytterm"/>
      </w:pPr>
      <w:r>
        <w:lastRenderedPageBreak/>
        <w:t>PERSONÁLNA POLITIKA</w:t>
      </w:r>
    </w:p>
    <w:p w:rsidR="005568B1" w:rsidRPr="00133E30" w:rsidRDefault="005568B1" w:rsidP="005568B1">
      <w:pPr>
        <w:rPr>
          <w:rFonts w:ascii="Arial" w:hAnsi="Arial" w:cs="Arial"/>
          <w:smallCaps/>
          <w:color w:val="538135" w:themeColor="accent6" w:themeShade="BF"/>
          <w:sz w:val="36"/>
          <w:szCs w:val="36"/>
        </w:rPr>
      </w:pPr>
      <w:r w:rsidRPr="00133E30">
        <w:rPr>
          <w:rFonts w:ascii="Arial" w:hAnsi="Arial" w:cs="Arial"/>
          <w:smallCaps/>
          <w:color w:val="538135" w:themeColor="accent6" w:themeShade="BF"/>
          <w:sz w:val="36"/>
          <w:szCs w:val="36"/>
        </w:rPr>
        <w:t>riadenie ľudských zdrojov</w:t>
      </w:r>
    </w:p>
    <w:p w:rsidR="005568B1" w:rsidRPr="002D13A0" w:rsidRDefault="005568B1" w:rsidP="005568B1">
      <w:pPr>
        <w:jc w:val="both"/>
        <w:rPr>
          <w:rFonts w:ascii="Arial" w:hAnsi="Arial" w:cs="Arial"/>
          <w:sz w:val="24"/>
          <w:szCs w:val="24"/>
        </w:rPr>
      </w:pPr>
      <w:r w:rsidRPr="002D13A0">
        <w:rPr>
          <w:rFonts w:ascii="Arial" w:hAnsi="Arial" w:cs="Arial"/>
          <w:sz w:val="24"/>
          <w:szCs w:val="24"/>
        </w:rPr>
        <w:t>V roku 2016 zamestnával  BYTTERM, a.s v priemere 183 zamestnancov. Z tohto počtu bolo v kategórii údržbár 45 zamestnancov, v kategórii kurič 21 zamestnancov, v kategórii ostatní 29 zamestnancov a v kategórii technicko-hospodárskych pracovníkov to bolo 88 zamestnancov. Medziročne sa priemerný počet zamestnancov znížil o 1 zamestnanca, štruktúra sa výrazne nezmenila, mierne vzrástol podiel údržbárov na úkor ostatných a technicko-hospodárskych pracovníkov.</w:t>
      </w:r>
    </w:p>
    <w:p w:rsidR="005568B1" w:rsidRPr="002D13A0" w:rsidRDefault="005568B1" w:rsidP="005568B1">
      <w:pPr>
        <w:jc w:val="both"/>
        <w:rPr>
          <w:rFonts w:ascii="Arial" w:hAnsi="Arial" w:cs="Arial"/>
          <w:sz w:val="24"/>
          <w:szCs w:val="24"/>
        </w:rPr>
      </w:pPr>
      <w:r w:rsidRPr="002D13A0">
        <w:rPr>
          <w:rFonts w:ascii="Arial" w:hAnsi="Arial" w:cs="Arial"/>
          <w:sz w:val="24"/>
          <w:szCs w:val="24"/>
        </w:rPr>
        <w:t>Spoločnosť BYTTERM, a.s. zamestnávala v roku 2016 v priemere 16 osôb so zdravotným postihnutím, čím si splnila povinný zákonný podiel zamestnávania zdravotne postihnutých občanov.</w:t>
      </w:r>
    </w:p>
    <w:p w:rsidR="005568B1" w:rsidRDefault="005568B1" w:rsidP="005568B1">
      <w:pPr>
        <w:jc w:val="both"/>
        <w:rPr>
          <w:rFonts w:ascii="Times New Roman" w:hAnsi="Times New Roman" w:cs="Arial"/>
          <w:sz w:val="24"/>
        </w:rPr>
      </w:pPr>
    </w:p>
    <w:tbl>
      <w:tblPr>
        <w:tblW w:w="5000" w:type="pct"/>
        <w:tblCellMar>
          <w:left w:w="70" w:type="dxa"/>
          <w:right w:w="70" w:type="dxa"/>
        </w:tblCellMar>
        <w:tblLook w:val="04A0" w:firstRow="1" w:lastRow="0" w:firstColumn="1" w:lastColumn="0" w:noHBand="0" w:noVBand="1"/>
      </w:tblPr>
      <w:tblGrid>
        <w:gridCol w:w="3645"/>
        <w:gridCol w:w="3646"/>
        <w:gridCol w:w="1769"/>
      </w:tblGrid>
      <w:tr w:rsidR="005568B1" w:rsidRPr="009756E1" w:rsidTr="005568B1">
        <w:trPr>
          <w:trHeight w:val="255"/>
        </w:trPr>
        <w:tc>
          <w:tcPr>
            <w:tcW w:w="2012" w:type="pct"/>
            <w:tcBorders>
              <w:top w:val="single" w:sz="4" w:space="0" w:color="auto"/>
              <w:left w:val="single" w:sz="4" w:space="0" w:color="auto"/>
              <w:bottom w:val="nil"/>
              <w:right w:val="single" w:sz="4" w:space="0" w:color="auto"/>
            </w:tcBorders>
            <w:shd w:val="clear" w:color="auto" w:fill="538135" w:themeFill="accent6"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FFFFFF" w:themeColor="background1"/>
                <w:sz w:val="24"/>
                <w:szCs w:val="24"/>
                <w:lang w:eastAsia="sk-SK"/>
              </w:rPr>
            </w:pPr>
            <w:r w:rsidRPr="009756E1">
              <w:rPr>
                <w:rFonts w:ascii="Times New Roman" w:eastAsia="Times New Roman" w:hAnsi="Times New Roman" w:cs="Times New Roman"/>
                <w:b/>
                <w:bCs/>
                <w:color w:val="FFFFFF" w:themeColor="background1"/>
                <w:sz w:val="24"/>
                <w:szCs w:val="24"/>
                <w:lang w:eastAsia="sk-SK"/>
              </w:rPr>
              <w:t xml:space="preserve">Štruktúra </w:t>
            </w:r>
          </w:p>
        </w:tc>
        <w:tc>
          <w:tcPr>
            <w:tcW w:w="2012" w:type="pct"/>
            <w:tcBorders>
              <w:top w:val="single" w:sz="4" w:space="0" w:color="auto"/>
              <w:left w:val="nil"/>
              <w:bottom w:val="nil"/>
              <w:right w:val="single" w:sz="4" w:space="0" w:color="auto"/>
            </w:tcBorders>
            <w:shd w:val="clear" w:color="auto" w:fill="538135" w:themeFill="accent6"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FFFFFF" w:themeColor="background1"/>
                <w:sz w:val="24"/>
                <w:szCs w:val="24"/>
                <w:lang w:eastAsia="sk-SK"/>
              </w:rPr>
            </w:pPr>
            <w:r w:rsidRPr="009756E1">
              <w:rPr>
                <w:rFonts w:ascii="Times New Roman" w:eastAsia="Times New Roman" w:hAnsi="Times New Roman" w:cs="Times New Roman"/>
                <w:b/>
                <w:bCs/>
                <w:color w:val="FFFFFF" w:themeColor="background1"/>
                <w:sz w:val="24"/>
                <w:szCs w:val="24"/>
                <w:lang w:eastAsia="sk-SK"/>
              </w:rPr>
              <w:t>Počet</w:t>
            </w:r>
          </w:p>
        </w:tc>
        <w:tc>
          <w:tcPr>
            <w:tcW w:w="97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000000"/>
                <w:sz w:val="24"/>
                <w:szCs w:val="24"/>
                <w:lang w:eastAsia="sk-SK"/>
              </w:rPr>
            </w:pPr>
            <w:r w:rsidRPr="009756E1">
              <w:rPr>
                <w:rFonts w:ascii="Times New Roman" w:eastAsia="Times New Roman" w:hAnsi="Times New Roman" w:cs="Times New Roman"/>
                <w:b/>
                <w:bCs/>
                <w:color w:val="FFFFFF" w:themeColor="background1"/>
                <w:sz w:val="24"/>
                <w:szCs w:val="24"/>
                <w:shd w:val="clear" w:color="auto" w:fill="538135" w:themeFill="accent6" w:themeFillShade="BF"/>
                <w:lang w:eastAsia="sk-SK"/>
              </w:rPr>
              <w:t>podiel</w:t>
            </w:r>
            <w:r w:rsidRPr="009756E1">
              <w:rPr>
                <w:rFonts w:ascii="Times New Roman" w:eastAsia="Times New Roman" w:hAnsi="Times New Roman" w:cs="Times New Roman"/>
                <w:b/>
                <w:bCs/>
                <w:color w:val="000000"/>
                <w:sz w:val="24"/>
                <w:szCs w:val="24"/>
                <w:lang w:eastAsia="sk-SK"/>
              </w:rPr>
              <w:t xml:space="preserve"> </w:t>
            </w:r>
          </w:p>
        </w:tc>
      </w:tr>
      <w:tr w:rsidR="005568B1" w:rsidRPr="009756E1" w:rsidTr="005568B1">
        <w:trPr>
          <w:trHeight w:val="255"/>
        </w:trPr>
        <w:tc>
          <w:tcPr>
            <w:tcW w:w="2012" w:type="pct"/>
            <w:tcBorders>
              <w:top w:val="nil"/>
              <w:left w:val="single" w:sz="4" w:space="0" w:color="auto"/>
              <w:bottom w:val="single" w:sz="4" w:space="0" w:color="auto"/>
              <w:right w:val="single" w:sz="4" w:space="0" w:color="auto"/>
            </w:tcBorders>
            <w:shd w:val="clear" w:color="auto" w:fill="538135" w:themeFill="accent6"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FFFFFF" w:themeColor="background1"/>
                <w:sz w:val="24"/>
                <w:szCs w:val="24"/>
                <w:lang w:eastAsia="sk-SK"/>
              </w:rPr>
            </w:pPr>
            <w:r w:rsidRPr="009756E1">
              <w:rPr>
                <w:rFonts w:ascii="Times New Roman" w:eastAsia="Times New Roman" w:hAnsi="Times New Roman" w:cs="Times New Roman"/>
                <w:b/>
                <w:bCs/>
                <w:color w:val="FFFFFF" w:themeColor="background1"/>
                <w:sz w:val="24"/>
                <w:szCs w:val="24"/>
                <w:lang w:eastAsia="sk-SK"/>
              </w:rPr>
              <w:t>zamestnancov</w:t>
            </w:r>
          </w:p>
        </w:tc>
        <w:tc>
          <w:tcPr>
            <w:tcW w:w="2012" w:type="pct"/>
            <w:tcBorders>
              <w:top w:val="nil"/>
              <w:left w:val="nil"/>
              <w:bottom w:val="single" w:sz="4" w:space="0" w:color="auto"/>
              <w:right w:val="single" w:sz="4" w:space="0" w:color="auto"/>
            </w:tcBorders>
            <w:shd w:val="clear" w:color="auto" w:fill="538135" w:themeFill="accent6"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FFFFFF" w:themeColor="background1"/>
                <w:sz w:val="24"/>
                <w:szCs w:val="24"/>
                <w:lang w:eastAsia="sk-SK"/>
              </w:rPr>
            </w:pPr>
            <w:r w:rsidRPr="009756E1">
              <w:rPr>
                <w:rFonts w:ascii="Times New Roman" w:eastAsia="Times New Roman" w:hAnsi="Times New Roman" w:cs="Times New Roman"/>
                <w:b/>
                <w:bCs/>
                <w:color w:val="FFFFFF" w:themeColor="background1"/>
                <w:sz w:val="24"/>
                <w:szCs w:val="24"/>
                <w:lang w:eastAsia="sk-SK"/>
              </w:rPr>
              <w:t>zamestnancov</w:t>
            </w:r>
          </w:p>
        </w:tc>
        <w:tc>
          <w:tcPr>
            <w:tcW w:w="97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rsidR="005568B1" w:rsidRPr="009756E1" w:rsidRDefault="005568B1" w:rsidP="005568B1">
            <w:pPr>
              <w:spacing w:after="0" w:line="240" w:lineRule="auto"/>
              <w:rPr>
                <w:rFonts w:ascii="Times New Roman" w:eastAsia="Times New Roman" w:hAnsi="Times New Roman" w:cs="Times New Roman"/>
                <w:b/>
                <w:bCs/>
                <w:color w:val="000000"/>
                <w:sz w:val="24"/>
                <w:szCs w:val="24"/>
                <w:lang w:eastAsia="sk-SK"/>
              </w:rPr>
            </w:pPr>
          </w:p>
        </w:tc>
      </w:tr>
      <w:tr w:rsidR="005568B1" w:rsidRPr="009756E1" w:rsidTr="005568B1">
        <w:trPr>
          <w:trHeight w:val="285"/>
        </w:trPr>
        <w:tc>
          <w:tcPr>
            <w:tcW w:w="201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 xml:space="preserve"> údržbári</w:t>
            </w:r>
          </w:p>
        </w:tc>
        <w:tc>
          <w:tcPr>
            <w:tcW w:w="2012"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Pr>
                <w:rFonts w:ascii="Times New Roman" w:eastAsia="Times New Roman" w:hAnsi="Times New Roman" w:cs="Times New Roman"/>
                <w:color w:val="333333"/>
                <w:sz w:val="24"/>
                <w:szCs w:val="24"/>
                <w:lang w:eastAsia="sk-SK"/>
              </w:rPr>
              <w:t>45</w:t>
            </w:r>
          </w:p>
        </w:tc>
        <w:tc>
          <w:tcPr>
            <w:tcW w:w="977"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2</w:t>
            </w:r>
            <w:r>
              <w:rPr>
                <w:rFonts w:ascii="Times New Roman" w:eastAsia="Times New Roman" w:hAnsi="Times New Roman" w:cs="Times New Roman"/>
                <w:color w:val="333333"/>
                <w:sz w:val="24"/>
                <w:szCs w:val="24"/>
                <w:lang w:eastAsia="sk-SK"/>
              </w:rPr>
              <w:t>5</w:t>
            </w:r>
            <w:r w:rsidRPr="009756E1">
              <w:rPr>
                <w:rFonts w:ascii="Times New Roman" w:eastAsia="Times New Roman" w:hAnsi="Times New Roman" w:cs="Times New Roman"/>
                <w:color w:val="333333"/>
                <w:sz w:val="24"/>
                <w:szCs w:val="24"/>
                <w:lang w:eastAsia="sk-SK"/>
              </w:rPr>
              <w:t>%</w:t>
            </w:r>
          </w:p>
        </w:tc>
      </w:tr>
      <w:tr w:rsidR="005568B1" w:rsidRPr="009756E1" w:rsidTr="005568B1">
        <w:trPr>
          <w:trHeight w:val="285"/>
        </w:trPr>
        <w:tc>
          <w:tcPr>
            <w:tcW w:w="201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kuriči</w:t>
            </w:r>
          </w:p>
        </w:tc>
        <w:tc>
          <w:tcPr>
            <w:tcW w:w="2012"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21</w:t>
            </w:r>
          </w:p>
        </w:tc>
        <w:tc>
          <w:tcPr>
            <w:tcW w:w="977"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11%</w:t>
            </w:r>
          </w:p>
        </w:tc>
      </w:tr>
      <w:tr w:rsidR="005568B1" w:rsidRPr="009756E1" w:rsidTr="005568B1">
        <w:trPr>
          <w:trHeight w:val="285"/>
        </w:trPr>
        <w:tc>
          <w:tcPr>
            <w:tcW w:w="201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ostatní</w:t>
            </w:r>
          </w:p>
        </w:tc>
        <w:tc>
          <w:tcPr>
            <w:tcW w:w="2012"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Pr>
                <w:rFonts w:ascii="Times New Roman" w:eastAsia="Times New Roman" w:hAnsi="Times New Roman" w:cs="Times New Roman"/>
                <w:color w:val="333333"/>
                <w:sz w:val="24"/>
                <w:szCs w:val="24"/>
                <w:lang w:eastAsia="sk-SK"/>
              </w:rPr>
              <w:t>29</w:t>
            </w:r>
          </w:p>
        </w:tc>
        <w:tc>
          <w:tcPr>
            <w:tcW w:w="977"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16%</w:t>
            </w:r>
          </w:p>
        </w:tc>
      </w:tr>
      <w:tr w:rsidR="005568B1" w:rsidRPr="009756E1" w:rsidTr="005568B1">
        <w:trPr>
          <w:trHeight w:val="285"/>
        </w:trPr>
        <w:tc>
          <w:tcPr>
            <w:tcW w:w="201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THP</w:t>
            </w:r>
          </w:p>
        </w:tc>
        <w:tc>
          <w:tcPr>
            <w:tcW w:w="2012"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Pr>
                <w:rFonts w:ascii="Times New Roman" w:eastAsia="Times New Roman" w:hAnsi="Times New Roman" w:cs="Times New Roman"/>
                <w:color w:val="333333"/>
                <w:sz w:val="24"/>
                <w:szCs w:val="24"/>
                <w:lang w:eastAsia="sk-SK"/>
              </w:rPr>
              <w:t>88</w:t>
            </w:r>
          </w:p>
        </w:tc>
        <w:tc>
          <w:tcPr>
            <w:tcW w:w="977" w:type="pct"/>
            <w:tcBorders>
              <w:top w:val="nil"/>
              <w:left w:val="nil"/>
              <w:bottom w:val="single" w:sz="4" w:space="0" w:color="auto"/>
              <w:right w:val="single" w:sz="4" w:space="0" w:color="auto"/>
            </w:tcBorders>
            <w:shd w:val="clear" w:color="auto" w:fill="auto"/>
            <w:noWrap/>
            <w:vAlign w:val="bottom"/>
            <w:hideMark/>
          </w:tcPr>
          <w:p w:rsidR="005568B1" w:rsidRPr="009756E1" w:rsidRDefault="005568B1" w:rsidP="005568B1">
            <w:pPr>
              <w:spacing w:after="0" w:line="240" w:lineRule="auto"/>
              <w:jc w:val="center"/>
              <w:rPr>
                <w:rFonts w:ascii="Times New Roman" w:eastAsia="Times New Roman" w:hAnsi="Times New Roman" w:cs="Times New Roman"/>
                <w:color w:val="333333"/>
                <w:sz w:val="24"/>
                <w:szCs w:val="24"/>
                <w:lang w:eastAsia="sk-SK"/>
              </w:rPr>
            </w:pPr>
            <w:r w:rsidRPr="009756E1">
              <w:rPr>
                <w:rFonts w:ascii="Times New Roman" w:eastAsia="Times New Roman" w:hAnsi="Times New Roman" w:cs="Times New Roman"/>
                <w:color w:val="333333"/>
                <w:sz w:val="24"/>
                <w:szCs w:val="24"/>
                <w:lang w:eastAsia="sk-SK"/>
              </w:rPr>
              <w:t>4</w:t>
            </w:r>
            <w:r>
              <w:rPr>
                <w:rFonts w:ascii="Times New Roman" w:eastAsia="Times New Roman" w:hAnsi="Times New Roman" w:cs="Times New Roman"/>
                <w:color w:val="333333"/>
                <w:sz w:val="24"/>
                <w:szCs w:val="24"/>
                <w:lang w:eastAsia="sk-SK"/>
              </w:rPr>
              <w:t>8</w:t>
            </w:r>
            <w:r w:rsidRPr="009756E1">
              <w:rPr>
                <w:rFonts w:ascii="Times New Roman" w:eastAsia="Times New Roman" w:hAnsi="Times New Roman" w:cs="Times New Roman"/>
                <w:color w:val="333333"/>
                <w:sz w:val="24"/>
                <w:szCs w:val="24"/>
                <w:lang w:eastAsia="sk-SK"/>
              </w:rPr>
              <w:t>%</w:t>
            </w:r>
          </w:p>
        </w:tc>
      </w:tr>
      <w:tr w:rsidR="005568B1" w:rsidRPr="009756E1" w:rsidTr="005568B1">
        <w:trPr>
          <w:trHeight w:val="300"/>
        </w:trPr>
        <w:tc>
          <w:tcPr>
            <w:tcW w:w="2012"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385623" w:themeColor="accent6" w:themeShade="80"/>
                <w:sz w:val="24"/>
                <w:szCs w:val="24"/>
                <w:lang w:eastAsia="sk-SK"/>
              </w:rPr>
            </w:pPr>
            <w:r w:rsidRPr="009756E1">
              <w:rPr>
                <w:rFonts w:ascii="Times New Roman" w:eastAsia="Times New Roman" w:hAnsi="Times New Roman" w:cs="Times New Roman"/>
                <w:b/>
                <w:bCs/>
                <w:color w:val="385623" w:themeColor="accent6" w:themeShade="80"/>
                <w:sz w:val="24"/>
                <w:szCs w:val="24"/>
                <w:lang w:eastAsia="sk-SK"/>
              </w:rPr>
              <w:t>Spolu</w:t>
            </w:r>
          </w:p>
        </w:tc>
        <w:tc>
          <w:tcPr>
            <w:tcW w:w="2012" w:type="pct"/>
            <w:tcBorders>
              <w:top w:val="nil"/>
              <w:left w:val="nil"/>
              <w:bottom w:val="single" w:sz="4" w:space="0" w:color="auto"/>
              <w:right w:val="single" w:sz="4" w:space="0" w:color="auto"/>
            </w:tcBorders>
            <w:shd w:val="clear" w:color="000000" w:fill="FFFFF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385623" w:themeColor="accent6" w:themeShade="80"/>
                <w:sz w:val="24"/>
                <w:szCs w:val="24"/>
                <w:lang w:eastAsia="sk-SK"/>
              </w:rPr>
            </w:pPr>
            <w:r w:rsidRPr="009756E1">
              <w:rPr>
                <w:rFonts w:ascii="Times New Roman" w:eastAsia="Times New Roman" w:hAnsi="Times New Roman" w:cs="Times New Roman"/>
                <w:b/>
                <w:bCs/>
                <w:color w:val="385623" w:themeColor="accent6" w:themeShade="80"/>
                <w:sz w:val="24"/>
                <w:szCs w:val="24"/>
                <w:lang w:eastAsia="sk-SK"/>
              </w:rPr>
              <w:t>18</w:t>
            </w:r>
            <w:r>
              <w:rPr>
                <w:rFonts w:ascii="Times New Roman" w:eastAsia="Times New Roman" w:hAnsi="Times New Roman" w:cs="Times New Roman"/>
                <w:b/>
                <w:bCs/>
                <w:color w:val="385623" w:themeColor="accent6" w:themeShade="80"/>
                <w:sz w:val="24"/>
                <w:szCs w:val="24"/>
                <w:lang w:eastAsia="sk-SK"/>
              </w:rPr>
              <w:t>3</w:t>
            </w:r>
          </w:p>
        </w:tc>
        <w:tc>
          <w:tcPr>
            <w:tcW w:w="977" w:type="pct"/>
            <w:tcBorders>
              <w:top w:val="nil"/>
              <w:left w:val="nil"/>
              <w:bottom w:val="single" w:sz="4" w:space="0" w:color="auto"/>
              <w:right w:val="single" w:sz="4" w:space="0" w:color="auto"/>
            </w:tcBorders>
            <w:shd w:val="clear" w:color="000000" w:fill="FFFFFF"/>
            <w:noWrap/>
            <w:vAlign w:val="bottom"/>
            <w:hideMark/>
          </w:tcPr>
          <w:p w:rsidR="005568B1" w:rsidRPr="009756E1" w:rsidRDefault="005568B1" w:rsidP="005568B1">
            <w:pPr>
              <w:spacing w:after="0" w:line="240" w:lineRule="auto"/>
              <w:jc w:val="center"/>
              <w:rPr>
                <w:rFonts w:ascii="Times New Roman" w:eastAsia="Times New Roman" w:hAnsi="Times New Roman" w:cs="Times New Roman"/>
                <w:b/>
                <w:bCs/>
                <w:color w:val="385623" w:themeColor="accent6" w:themeShade="80"/>
                <w:sz w:val="24"/>
                <w:szCs w:val="24"/>
                <w:lang w:eastAsia="sk-SK"/>
              </w:rPr>
            </w:pPr>
            <w:r w:rsidRPr="009756E1">
              <w:rPr>
                <w:rFonts w:ascii="Times New Roman" w:eastAsia="Times New Roman" w:hAnsi="Times New Roman" w:cs="Times New Roman"/>
                <w:b/>
                <w:bCs/>
                <w:color w:val="385623" w:themeColor="accent6" w:themeShade="80"/>
                <w:sz w:val="24"/>
                <w:szCs w:val="24"/>
                <w:lang w:eastAsia="sk-SK"/>
              </w:rPr>
              <w:t>100</w:t>
            </w:r>
          </w:p>
        </w:tc>
      </w:tr>
    </w:tbl>
    <w:p w:rsidR="005568B1" w:rsidRDefault="005568B1" w:rsidP="005568B1">
      <w:pPr>
        <w:jc w:val="both"/>
        <w:rPr>
          <w:rFonts w:ascii="Times New Roman" w:hAnsi="Times New Roman" w:cs="Arial"/>
          <w:sz w:val="24"/>
        </w:rPr>
      </w:pPr>
    </w:p>
    <w:p w:rsidR="005568B1" w:rsidRPr="00133E30" w:rsidRDefault="005568B1" w:rsidP="005568B1">
      <w:pPr>
        <w:jc w:val="both"/>
        <w:rPr>
          <w:rFonts w:ascii="Times New Roman" w:hAnsi="Times New Roman" w:cs="Arial"/>
          <w:sz w:val="24"/>
        </w:rPr>
      </w:pPr>
    </w:p>
    <w:p w:rsidR="005568B1" w:rsidRDefault="005568B1" w:rsidP="005568B1">
      <w:pPr>
        <w:rPr>
          <w:rFonts w:ascii="Times New Roman" w:hAnsi="Times New Roman" w:cs="Arial"/>
          <w:sz w:val="24"/>
          <w:szCs w:val="36"/>
        </w:rPr>
      </w:pPr>
      <w:r>
        <w:rPr>
          <w:noProof/>
          <w:lang w:eastAsia="sk-SK"/>
        </w:rPr>
        <w:drawing>
          <wp:inline distT="0" distB="0" distL="0" distR="0" wp14:anchorId="77960D4E" wp14:editId="52895216">
            <wp:extent cx="5381625" cy="315277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68B1" w:rsidRPr="002D13A0" w:rsidRDefault="005568B1" w:rsidP="005568B1">
      <w:pPr>
        <w:jc w:val="both"/>
        <w:rPr>
          <w:rFonts w:ascii="Arial" w:hAnsi="Arial" w:cs="Arial"/>
          <w:color w:val="000000" w:themeColor="text1"/>
          <w:sz w:val="24"/>
          <w:szCs w:val="24"/>
        </w:rPr>
      </w:pPr>
      <w:r w:rsidRPr="002D13A0">
        <w:rPr>
          <w:rFonts w:ascii="Arial" w:hAnsi="Arial" w:cs="Arial"/>
          <w:color w:val="000000" w:themeColor="text1"/>
          <w:sz w:val="24"/>
          <w:szCs w:val="24"/>
        </w:rPr>
        <w:t xml:space="preserve">Hlavným cieľom  personálnej politiky našej akciovej spoločnosti je starostlivosť o zamestnancov – od získavania, výberu, vzdelávania internými a externými školeniami, až po bezpečnosť pri práci alebo poskytovanie rôznych benefitov. </w:t>
      </w:r>
    </w:p>
    <w:p w:rsidR="005568B1" w:rsidRDefault="005568B1" w:rsidP="005568B1">
      <w:pPr>
        <w:jc w:val="both"/>
        <w:rPr>
          <w:rFonts w:ascii="Times New Roman" w:hAnsi="Times New Roman" w:cs="Arial"/>
          <w:color w:val="000000" w:themeColor="text1"/>
          <w:sz w:val="24"/>
        </w:rPr>
      </w:pPr>
    </w:p>
    <w:p w:rsidR="005568B1" w:rsidRDefault="005568B1" w:rsidP="005568B1">
      <w:pPr>
        <w:jc w:val="both"/>
        <w:rPr>
          <w:rFonts w:ascii="Arial" w:hAnsi="Arial" w:cs="Arial"/>
          <w:smallCaps/>
          <w:color w:val="538135" w:themeColor="accent6" w:themeShade="BF"/>
          <w:sz w:val="36"/>
          <w:szCs w:val="36"/>
        </w:rPr>
      </w:pPr>
      <w:r>
        <w:rPr>
          <w:rFonts w:ascii="Arial" w:hAnsi="Arial" w:cs="Arial"/>
          <w:smallCaps/>
          <w:color w:val="538135" w:themeColor="accent6" w:themeShade="BF"/>
          <w:sz w:val="36"/>
          <w:szCs w:val="36"/>
        </w:rPr>
        <w:t>mzdová a sociálna politika</w:t>
      </w:r>
    </w:p>
    <w:p w:rsidR="005568B1" w:rsidRPr="002D13A0" w:rsidRDefault="005568B1" w:rsidP="005568B1">
      <w:pPr>
        <w:jc w:val="both"/>
        <w:rPr>
          <w:rFonts w:ascii="Arial" w:hAnsi="Arial" w:cs="Arial"/>
          <w:b/>
          <w:i/>
          <w:color w:val="000000" w:themeColor="text1"/>
          <w:sz w:val="24"/>
          <w:szCs w:val="24"/>
        </w:rPr>
      </w:pPr>
      <w:r w:rsidRPr="002D13A0">
        <w:rPr>
          <w:rFonts w:ascii="Arial" w:hAnsi="Arial" w:cs="Arial"/>
          <w:color w:val="000000" w:themeColor="text1"/>
          <w:sz w:val="24"/>
          <w:szCs w:val="24"/>
        </w:rPr>
        <w:t xml:space="preserve">Mzdový systém  v akciovej spoločnosti BYTTERM je súčasťou platnej Kolektívnej zmluvy s  využívaním takých foriem miezd a odmien, ktoré sú použiteľné pre každú oblasť činnosti v našej spoločnosti. </w:t>
      </w:r>
    </w:p>
    <w:p w:rsidR="005568B1" w:rsidRPr="002D13A0" w:rsidRDefault="005568B1" w:rsidP="005568B1">
      <w:pPr>
        <w:jc w:val="both"/>
        <w:rPr>
          <w:rFonts w:ascii="Arial" w:hAnsi="Arial" w:cs="Arial"/>
          <w:color w:val="000000" w:themeColor="text1"/>
          <w:sz w:val="24"/>
          <w:szCs w:val="24"/>
        </w:rPr>
      </w:pPr>
      <w:r w:rsidRPr="002D13A0">
        <w:rPr>
          <w:rFonts w:ascii="Arial" w:hAnsi="Arial" w:cs="Arial"/>
          <w:color w:val="000000" w:themeColor="text1"/>
          <w:sz w:val="24"/>
          <w:szCs w:val="24"/>
        </w:rPr>
        <w:t xml:space="preserve">Mzdové náklady sa za rok 2016 čerpali vo výške </w:t>
      </w:r>
      <w:r w:rsidRPr="002D13A0">
        <w:rPr>
          <w:rFonts w:ascii="Arial" w:hAnsi="Arial" w:cs="Arial"/>
          <w:bCs/>
          <w:color w:val="000000" w:themeColor="text1"/>
          <w:sz w:val="24"/>
          <w:szCs w:val="24"/>
        </w:rPr>
        <w:t>2 070 805</w:t>
      </w:r>
      <w:r w:rsidRPr="002D13A0">
        <w:rPr>
          <w:rFonts w:ascii="Arial" w:hAnsi="Arial" w:cs="Arial"/>
          <w:b/>
          <w:bCs/>
          <w:color w:val="000000" w:themeColor="text1"/>
          <w:sz w:val="24"/>
          <w:szCs w:val="24"/>
        </w:rPr>
        <w:t xml:space="preserve"> </w:t>
      </w:r>
      <w:r w:rsidRPr="002D13A0">
        <w:rPr>
          <w:rFonts w:ascii="Arial" w:hAnsi="Arial" w:cs="Arial"/>
          <w:color w:val="000000" w:themeColor="text1"/>
          <w:sz w:val="24"/>
          <w:szCs w:val="24"/>
        </w:rPr>
        <w:t xml:space="preserve">€, čo predstavuje v porovnaní s plánom šetrenie vo výške 39 707 €, t.j. 1,9 %. </w:t>
      </w:r>
    </w:p>
    <w:p w:rsidR="005568B1" w:rsidRPr="00606585" w:rsidRDefault="005568B1" w:rsidP="005568B1">
      <w:pPr>
        <w:jc w:val="both"/>
        <w:rPr>
          <w:rFonts w:ascii="Arial" w:hAnsi="Arial" w:cs="Arial"/>
          <w:b/>
          <w:bCs/>
          <w:color w:val="000000" w:themeColor="text1"/>
          <w:sz w:val="24"/>
          <w:szCs w:val="24"/>
        </w:rPr>
      </w:pPr>
      <w:r w:rsidRPr="002D13A0">
        <w:rPr>
          <w:rFonts w:ascii="Arial" w:hAnsi="Arial" w:cs="Arial"/>
          <w:color w:val="000000" w:themeColor="text1"/>
          <w:sz w:val="24"/>
          <w:szCs w:val="24"/>
        </w:rPr>
        <w:t>Priemerná mzda za obdobie 1.-12. mesiac r. 2016 dosiahla 943 €. V porovnaní s porovnateľným obdobím minulého roka vzrástla o 3,6 %, čo vo finančnom vyjadrení predstavuje hodnotu 33 €.</w:t>
      </w:r>
    </w:p>
    <w:tbl>
      <w:tblPr>
        <w:tblW w:w="5000" w:type="pct"/>
        <w:tblCellMar>
          <w:left w:w="70" w:type="dxa"/>
          <w:right w:w="70" w:type="dxa"/>
        </w:tblCellMar>
        <w:tblLook w:val="0000" w:firstRow="0" w:lastRow="0" w:firstColumn="0" w:lastColumn="0" w:noHBand="0" w:noVBand="0"/>
      </w:tblPr>
      <w:tblGrid>
        <w:gridCol w:w="2328"/>
        <w:gridCol w:w="1180"/>
        <w:gridCol w:w="1388"/>
        <w:gridCol w:w="1388"/>
        <w:gridCol w:w="1388"/>
        <w:gridCol w:w="1388"/>
      </w:tblGrid>
      <w:tr w:rsidR="005568B1" w:rsidTr="005568B1">
        <w:trPr>
          <w:trHeight w:val="328"/>
        </w:trPr>
        <w:tc>
          <w:tcPr>
            <w:tcW w:w="1284" w:type="pct"/>
            <w:tcBorders>
              <w:bottom w:val="single" w:sz="4" w:space="0" w:color="auto"/>
              <w:right w:val="single" w:sz="4" w:space="0" w:color="auto"/>
            </w:tcBorders>
            <w:shd w:val="clear" w:color="auto" w:fill="auto"/>
            <w:noWrap/>
            <w:vAlign w:val="bottom"/>
          </w:tcPr>
          <w:p w:rsidR="005568B1" w:rsidRPr="000D0EA4" w:rsidRDefault="005568B1" w:rsidP="005568B1">
            <w:pPr>
              <w:rPr>
                <w:rFonts w:ascii="Times New Roman" w:hAnsi="Times New Roman" w:cs="Times New Roman"/>
                <w:sz w:val="24"/>
                <w:szCs w:val="24"/>
              </w:rPr>
            </w:pPr>
            <w:r w:rsidRPr="000D0EA4">
              <w:rPr>
                <w:rFonts w:ascii="Times New Roman" w:hAnsi="Times New Roman" w:cs="Times New Roman"/>
                <w:sz w:val="24"/>
                <w:szCs w:val="24"/>
              </w:rPr>
              <w:t> </w:t>
            </w:r>
          </w:p>
        </w:tc>
        <w:tc>
          <w:tcPr>
            <w:tcW w:w="651" w:type="pct"/>
            <w:tcBorders>
              <w:top w:val="single" w:sz="8" w:space="0" w:color="auto"/>
              <w:left w:val="single" w:sz="4" w:space="0" w:color="auto"/>
              <w:bottom w:val="single" w:sz="8" w:space="0" w:color="auto"/>
              <w:right w:val="single" w:sz="8" w:space="0" w:color="auto"/>
            </w:tcBorders>
            <w:shd w:val="clear" w:color="auto" w:fill="538135" w:themeFill="accent6" w:themeFillShade="BF"/>
            <w:noWrap/>
            <w:vAlign w:val="bottom"/>
          </w:tcPr>
          <w:p w:rsidR="005568B1" w:rsidRPr="000D0EA4" w:rsidRDefault="005568B1" w:rsidP="005568B1">
            <w:pPr>
              <w:jc w:val="right"/>
              <w:rPr>
                <w:rFonts w:ascii="Times New Roman" w:hAnsi="Times New Roman" w:cs="Times New Roman"/>
                <w:b/>
                <w:bCs/>
                <w:color w:val="FFFFFF" w:themeColor="background1"/>
                <w:sz w:val="24"/>
                <w:szCs w:val="24"/>
              </w:rPr>
            </w:pPr>
            <w:r w:rsidRPr="000D0EA4">
              <w:rPr>
                <w:rFonts w:ascii="Times New Roman" w:hAnsi="Times New Roman" w:cs="Times New Roman"/>
                <w:b/>
                <w:bCs/>
                <w:color w:val="FFFFFF" w:themeColor="background1"/>
                <w:sz w:val="24"/>
                <w:szCs w:val="24"/>
              </w:rPr>
              <w:t>201</w:t>
            </w:r>
            <w:r>
              <w:rPr>
                <w:rFonts w:ascii="Times New Roman" w:hAnsi="Times New Roman" w:cs="Times New Roman"/>
                <w:b/>
                <w:bCs/>
                <w:color w:val="FFFFFF" w:themeColor="background1"/>
                <w:sz w:val="24"/>
                <w:szCs w:val="24"/>
              </w:rPr>
              <w:t>6</w:t>
            </w:r>
          </w:p>
        </w:tc>
        <w:tc>
          <w:tcPr>
            <w:tcW w:w="766" w:type="pct"/>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0D0EA4" w:rsidRDefault="005568B1" w:rsidP="005568B1">
            <w:pPr>
              <w:jc w:val="right"/>
              <w:rPr>
                <w:rFonts w:ascii="Times New Roman" w:hAnsi="Times New Roman" w:cs="Times New Roman"/>
                <w:b/>
                <w:bCs/>
                <w:color w:val="FFFFFF" w:themeColor="background1"/>
                <w:sz w:val="24"/>
                <w:szCs w:val="24"/>
              </w:rPr>
            </w:pPr>
            <w:r w:rsidRPr="000D0EA4">
              <w:rPr>
                <w:rFonts w:ascii="Times New Roman" w:hAnsi="Times New Roman" w:cs="Times New Roman"/>
                <w:b/>
                <w:bCs/>
                <w:color w:val="FFFFFF" w:themeColor="background1"/>
                <w:sz w:val="24"/>
                <w:szCs w:val="24"/>
              </w:rPr>
              <w:t>201</w:t>
            </w:r>
            <w:r>
              <w:rPr>
                <w:rFonts w:ascii="Times New Roman" w:hAnsi="Times New Roman" w:cs="Times New Roman"/>
                <w:b/>
                <w:bCs/>
                <w:color w:val="FFFFFF" w:themeColor="background1"/>
                <w:sz w:val="24"/>
                <w:szCs w:val="24"/>
              </w:rPr>
              <w:t>5</w:t>
            </w:r>
          </w:p>
        </w:tc>
        <w:tc>
          <w:tcPr>
            <w:tcW w:w="766" w:type="pct"/>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0D0EA4" w:rsidRDefault="005568B1" w:rsidP="005568B1">
            <w:pPr>
              <w:jc w:val="right"/>
              <w:rPr>
                <w:rFonts w:ascii="Times New Roman" w:hAnsi="Times New Roman" w:cs="Times New Roman"/>
                <w:b/>
                <w:bCs/>
                <w:color w:val="FFFFFF" w:themeColor="background1"/>
                <w:sz w:val="24"/>
                <w:szCs w:val="24"/>
              </w:rPr>
            </w:pPr>
            <w:r w:rsidRPr="000D0EA4">
              <w:rPr>
                <w:rFonts w:ascii="Times New Roman" w:hAnsi="Times New Roman" w:cs="Times New Roman"/>
                <w:b/>
                <w:bCs/>
                <w:color w:val="FFFFFF" w:themeColor="background1"/>
                <w:sz w:val="24"/>
                <w:szCs w:val="24"/>
              </w:rPr>
              <w:t>201</w:t>
            </w:r>
            <w:r>
              <w:rPr>
                <w:rFonts w:ascii="Times New Roman" w:hAnsi="Times New Roman" w:cs="Times New Roman"/>
                <w:b/>
                <w:bCs/>
                <w:color w:val="FFFFFF" w:themeColor="background1"/>
                <w:sz w:val="24"/>
                <w:szCs w:val="24"/>
              </w:rPr>
              <w:t>4</w:t>
            </w:r>
          </w:p>
        </w:tc>
        <w:tc>
          <w:tcPr>
            <w:tcW w:w="766" w:type="pct"/>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0D0EA4" w:rsidRDefault="005568B1" w:rsidP="005568B1">
            <w:pPr>
              <w:jc w:val="right"/>
              <w:rPr>
                <w:rFonts w:ascii="Times New Roman" w:hAnsi="Times New Roman" w:cs="Times New Roman"/>
                <w:b/>
                <w:bCs/>
                <w:color w:val="FFFFFF" w:themeColor="background1"/>
                <w:sz w:val="24"/>
                <w:szCs w:val="24"/>
              </w:rPr>
            </w:pPr>
            <w:r w:rsidRPr="000D0EA4">
              <w:rPr>
                <w:rFonts w:ascii="Times New Roman" w:hAnsi="Times New Roman" w:cs="Times New Roman"/>
                <w:b/>
                <w:bCs/>
                <w:color w:val="FFFFFF" w:themeColor="background1"/>
                <w:sz w:val="24"/>
                <w:szCs w:val="24"/>
              </w:rPr>
              <w:t>201</w:t>
            </w:r>
            <w:r>
              <w:rPr>
                <w:rFonts w:ascii="Times New Roman" w:hAnsi="Times New Roman" w:cs="Times New Roman"/>
                <w:b/>
                <w:bCs/>
                <w:color w:val="FFFFFF" w:themeColor="background1"/>
                <w:sz w:val="24"/>
                <w:szCs w:val="24"/>
              </w:rPr>
              <w:t>3</w:t>
            </w:r>
          </w:p>
        </w:tc>
        <w:tc>
          <w:tcPr>
            <w:tcW w:w="766" w:type="pct"/>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0D0EA4" w:rsidRDefault="005568B1" w:rsidP="005568B1">
            <w:pPr>
              <w:jc w:val="right"/>
              <w:rPr>
                <w:rFonts w:ascii="Times New Roman" w:hAnsi="Times New Roman" w:cs="Times New Roman"/>
                <w:b/>
                <w:bCs/>
                <w:color w:val="FFFFFF" w:themeColor="background1"/>
                <w:sz w:val="24"/>
                <w:szCs w:val="24"/>
              </w:rPr>
            </w:pPr>
            <w:r w:rsidRPr="000D0EA4">
              <w:rPr>
                <w:rFonts w:ascii="Times New Roman" w:hAnsi="Times New Roman" w:cs="Times New Roman"/>
                <w:b/>
                <w:bCs/>
                <w:color w:val="FFFFFF" w:themeColor="background1"/>
                <w:sz w:val="24"/>
                <w:szCs w:val="24"/>
              </w:rPr>
              <w:t>201</w:t>
            </w:r>
            <w:r>
              <w:rPr>
                <w:rFonts w:ascii="Times New Roman" w:hAnsi="Times New Roman" w:cs="Times New Roman"/>
                <w:b/>
                <w:bCs/>
                <w:color w:val="FFFFFF" w:themeColor="background1"/>
                <w:sz w:val="24"/>
                <w:szCs w:val="24"/>
              </w:rPr>
              <w:t>2</w:t>
            </w:r>
          </w:p>
        </w:tc>
      </w:tr>
      <w:tr w:rsidR="005568B1" w:rsidTr="005568B1">
        <w:trPr>
          <w:trHeight w:val="406"/>
        </w:trPr>
        <w:tc>
          <w:tcPr>
            <w:tcW w:w="1284" w:type="pct"/>
            <w:tcBorders>
              <w:top w:val="single" w:sz="4" w:space="0" w:color="auto"/>
              <w:left w:val="single" w:sz="8" w:space="0" w:color="auto"/>
              <w:bottom w:val="single" w:sz="8" w:space="0" w:color="auto"/>
              <w:right w:val="single" w:sz="8" w:space="0" w:color="auto"/>
            </w:tcBorders>
            <w:shd w:val="clear" w:color="auto" w:fill="BFBFBF" w:themeFill="background1" w:themeFillShade="BF"/>
            <w:vAlign w:val="bottom"/>
          </w:tcPr>
          <w:p w:rsidR="005568B1" w:rsidRPr="000D0EA4" w:rsidRDefault="005568B1" w:rsidP="005568B1">
            <w:pPr>
              <w:rPr>
                <w:rFonts w:ascii="Times New Roman" w:hAnsi="Times New Roman" w:cs="Times New Roman"/>
                <w:b/>
                <w:bCs/>
                <w:color w:val="333333"/>
                <w:sz w:val="24"/>
                <w:szCs w:val="24"/>
              </w:rPr>
            </w:pPr>
            <w:r>
              <w:rPr>
                <w:rFonts w:ascii="Times New Roman" w:hAnsi="Times New Roman" w:cs="Times New Roman"/>
                <w:b/>
                <w:bCs/>
                <w:color w:val="333333"/>
                <w:sz w:val="24"/>
                <w:szCs w:val="24"/>
              </w:rPr>
              <w:t>p</w:t>
            </w:r>
            <w:r w:rsidRPr="000D0EA4">
              <w:rPr>
                <w:rFonts w:ascii="Times New Roman" w:hAnsi="Times New Roman" w:cs="Times New Roman"/>
                <w:b/>
                <w:bCs/>
                <w:color w:val="333333"/>
                <w:sz w:val="24"/>
                <w:szCs w:val="24"/>
              </w:rPr>
              <w:t>riem</w:t>
            </w:r>
            <w:r>
              <w:rPr>
                <w:rFonts w:ascii="Times New Roman" w:hAnsi="Times New Roman" w:cs="Times New Roman"/>
                <w:b/>
                <w:bCs/>
                <w:color w:val="333333"/>
                <w:sz w:val="24"/>
                <w:szCs w:val="24"/>
              </w:rPr>
              <w:t xml:space="preserve">erná </w:t>
            </w:r>
            <w:r w:rsidRPr="000D0EA4">
              <w:rPr>
                <w:rFonts w:ascii="Times New Roman" w:hAnsi="Times New Roman" w:cs="Times New Roman"/>
                <w:b/>
                <w:bCs/>
                <w:color w:val="333333"/>
                <w:sz w:val="24"/>
                <w:szCs w:val="24"/>
              </w:rPr>
              <w:t>mzda</w:t>
            </w:r>
            <w:r>
              <w:rPr>
                <w:rFonts w:ascii="Times New Roman" w:hAnsi="Times New Roman" w:cs="Times New Roman"/>
                <w:b/>
                <w:bCs/>
                <w:color w:val="333333"/>
                <w:sz w:val="24"/>
                <w:szCs w:val="24"/>
              </w:rPr>
              <w:t xml:space="preserve"> v </w:t>
            </w:r>
            <w:r w:rsidRPr="00B50316">
              <w:rPr>
                <w:rFonts w:ascii="Times New Roman" w:hAnsi="Times New Roman" w:cs="Times New Roman"/>
                <w:color w:val="000000" w:themeColor="text1"/>
                <w:sz w:val="24"/>
                <w:szCs w:val="24"/>
              </w:rPr>
              <w:t>€</w:t>
            </w:r>
          </w:p>
        </w:tc>
        <w:tc>
          <w:tcPr>
            <w:tcW w:w="651"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943</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910</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891</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838</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809</w:t>
            </w:r>
          </w:p>
        </w:tc>
      </w:tr>
      <w:tr w:rsidR="005568B1" w:rsidTr="005568B1">
        <w:trPr>
          <w:trHeight w:val="214"/>
        </w:trPr>
        <w:tc>
          <w:tcPr>
            <w:tcW w:w="1284" w:type="pct"/>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568B1" w:rsidRPr="000D0EA4" w:rsidRDefault="005568B1" w:rsidP="005568B1">
            <w:pPr>
              <w:rPr>
                <w:rFonts w:ascii="Times New Roman" w:hAnsi="Times New Roman" w:cs="Times New Roman"/>
                <w:b/>
                <w:bCs/>
                <w:color w:val="333333"/>
                <w:sz w:val="24"/>
                <w:szCs w:val="24"/>
              </w:rPr>
            </w:pPr>
            <w:r w:rsidRPr="000D0EA4">
              <w:rPr>
                <w:rFonts w:ascii="Times New Roman" w:hAnsi="Times New Roman" w:cs="Times New Roman"/>
                <w:b/>
                <w:bCs/>
                <w:color w:val="333333"/>
                <w:sz w:val="24"/>
                <w:szCs w:val="24"/>
              </w:rPr>
              <w:t>% zmena</w:t>
            </w:r>
          </w:p>
        </w:tc>
        <w:tc>
          <w:tcPr>
            <w:tcW w:w="651"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103,6</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102,1</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106,3</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103,6</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102,3</w:t>
            </w:r>
          </w:p>
        </w:tc>
      </w:tr>
      <w:tr w:rsidR="005568B1" w:rsidTr="005568B1">
        <w:trPr>
          <w:trHeight w:val="315"/>
        </w:trPr>
        <w:tc>
          <w:tcPr>
            <w:tcW w:w="1284" w:type="pct"/>
            <w:tcBorders>
              <w:top w:val="nil"/>
              <w:left w:val="single" w:sz="8" w:space="0" w:color="auto"/>
              <w:bottom w:val="single" w:sz="8" w:space="0" w:color="auto"/>
              <w:right w:val="single" w:sz="8" w:space="0" w:color="auto"/>
            </w:tcBorders>
            <w:shd w:val="clear" w:color="auto" w:fill="BFBFBF" w:themeFill="background1" w:themeFillShade="BF"/>
            <w:noWrap/>
            <w:vAlign w:val="bottom"/>
          </w:tcPr>
          <w:p w:rsidR="005568B1" w:rsidRPr="000D0EA4" w:rsidRDefault="005568B1" w:rsidP="005568B1">
            <w:pPr>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zmena v </w:t>
            </w:r>
            <w:r w:rsidRPr="00B50316">
              <w:rPr>
                <w:rFonts w:ascii="Times New Roman" w:hAnsi="Times New Roman" w:cs="Times New Roman"/>
                <w:color w:val="000000" w:themeColor="text1"/>
                <w:sz w:val="24"/>
                <w:szCs w:val="24"/>
              </w:rPr>
              <w:t>€</w:t>
            </w:r>
          </w:p>
        </w:tc>
        <w:tc>
          <w:tcPr>
            <w:tcW w:w="651"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33</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19</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53</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29</w:t>
            </w:r>
          </w:p>
        </w:tc>
        <w:tc>
          <w:tcPr>
            <w:tcW w:w="766" w:type="pct"/>
            <w:tcBorders>
              <w:top w:val="nil"/>
              <w:left w:val="nil"/>
              <w:bottom w:val="single" w:sz="8" w:space="0" w:color="auto"/>
              <w:right w:val="single" w:sz="8" w:space="0" w:color="auto"/>
            </w:tcBorders>
            <w:shd w:val="clear" w:color="auto" w:fill="auto"/>
            <w:noWrap/>
            <w:vAlign w:val="bottom"/>
          </w:tcPr>
          <w:p w:rsidR="005568B1" w:rsidRPr="000D0EA4" w:rsidRDefault="005568B1" w:rsidP="005568B1">
            <w:pPr>
              <w:jc w:val="right"/>
              <w:rPr>
                <w:rFonts w:ascii="Times New Roman" w:hAnsi="Times New Roman" w:cs="Times New Roman"/>
                <w:sz w:val="24"/>
                <w:szCs w:val="24"/>
              </w:rPr>
            </w:pPr>
            <w:r>
              <w:rPr>
                <w:rFonts w:ascii="Times New Roman" w:hAnsi="Times New Roman" w:cs="Times New Roman"/>
                <w:sz w:val="24"/>
                <w:szCs w:val="24"/>
              </w:rPr>
              <w:t>18</w:t>
            </w:r>
          </w:p>
        </w:tc>
      </w:tr>
    </w:tbl>
    <w:p w:rsidR="005568B1" w:rsidRPr="00F77E28" w:rsidRDefault="005568B1" w:rsidP="005568B1">
      <w:pPr>
        <w:jc w:val="both"/>
        <w:rPr>
          <w:rFonts w:ascii="Times New Roman" w:hAnsi="Times New Roman" w:cs="Arial"/>
          <w:color w:val="000000" w:themeColor="text1"/>
          <w:sz w:val="24"/>
        </w:rPr>
      </w:pPr>
    </w:p>
    <w:p w:rsidR="005568B1" w:rsidRPr="00606585" w:rsidRDefault="005568B1" w:rsidP="005568B1">
      <w:pPr>
        <w:jc w:val="both"/>
        <w:rPr>
          <w:rFonts w:ascii="Arial" w:hAnsi="Arial" w:cs="Arial"/>
          <w:sz w:val="24"/>
          <w:szCs w:val="24"/>
        </w:rPr>
      </w:pPr>
      <w:r w:rsidRPr="002D13A0">
        <w:rPr>
          <w:rFonts w:ascii="Arial" w:hAnsi="Arial" w:cs="Arial"/>
          <w:sz w:val="24"/>
          <w:szCs w:val="24"/>
        </w:rPr>
        <w:t xml:space="preserve">V oblasti starostlivosti o zamestnancov  realizovala spoločnosť BYTTERM, a.s. sociálnu politiku v duchu prijatého sociálneho programu  zameraného na podporu spokojnosti, na pomoc v mimoriadnych životných situáciách, </w:t>
      </w:r>
      <w:r>
        <w:rPr>
          <w:rFonts w:ascii="Arial" w:hAnsi="Arial" w:cs="Arial"/>
          <w:sz w:val="24"/>
          <w:szCs w:val="24"/>
        </w:rPr>
        <w:t>na s</w:t>
      </w:r>
      <w:r w:rsidRPr="002D13A0">
        <w:rPr>
          <w:rFonts w:ascii="Arial" w:hAnsi="Arial" w:cs="Arial"/>
          <w:sz w:val="24"/>
          <w:szCs w:val="24"/>
        </w:rPr>
        <w:t>tarostlivosť o zdravie, a to v peňažnej i nepeňažnej forme. Snahou spoločnosti je motivovať zamestnancov k podávaniu lepších výkonov a výsledkov v práci. K najvýznamnejším zamestnaneckým výhodám patrí príspevok na stravovanie a  príspevok na rekreáciu. Oblasť odmeňovania definuje Mzdový poriadok. Oba dokumenty určujú pracovné zaradenie zamestnancov, stanovujú parametre miez</w:t>
      </w:r>
      <w:r w:rsidR="00606585">
        <w:rPr>
          <w:rFonts w:ascii="Arial" w:hAnsi="Arial" w:cs="Arial"/>
          <w:sz w:val="24"/>
          <w:szCs w:val="24"/>
        </w:rPr>
        <w:t>d, a tiež druhy a formy odmien.</w:t>
      </w:r>
    </w:p>
    <w:tbl>
      <w:tblPr>
        <w:tblW w:w="5000" w:type="pct"/>
        <w:tblCellMar>
          <w:left w:w="70" w:type="dxa"/>
          <w:right w:w="70" w:type="dxa"/>
        </w:tblCellMar>
        <w:tblLook w:val="0000" w:firstRow="0" w:lastRow="0" w:firstColumn="0" w:lastColumn="0" w:noHBand="0" w:noVBand="0"/>
      </w:tblPr>
      <w:tblGrid>
        <w:gridCol w:w="6351"/>
        <w:gridCol w:w="2699"/>
      </w:tblGrid>
      <w:tr w:rsidR="005568B1" w:rsidTr="005568B1">
        <w:trPr>
          <w:trHeight w:val="315"/>
        </w:trPr>
        <w:tc>
          <w:tcPr>
            <w:tcW w:w="5000" w:type="pct"/>
            <w:gridSpan w:val="2"/>
            <w:tcBorders>
              <w:top w:val="single" w:sz="8" w:space="0" w:color="auto"/>
              <w:left w:val="single" w:sz="8" w:space="0" w:color="auto"/>
              <w:bottom w:val="nil"/>
              <w:right w:val="single" w:sz="8" w:space="0" w:color="auto"/>
            </w:tcBorders>
            <w:shd w:val="clear" w:color="auto" w:fill="538135" w:themeFill="accent6" w:themeFillShade="BF"/>
            <w:noWrap/>
            <w:vAlign w:val="bottom"/>
          </w:tcPr>
          <w:p w:rsidR="005568B1" w:rsidRPr="00134552" w:rsidRDefault="005568B1" w:rsidP="005568B1">
            <w:pPr>
              <w:jc w:val="center"/>
              <w:rPr>
                <w:rFonts w:ascii="Times New Roman" w:hAnsi="Times New Roman" w:cs="Times New Roman"/>
                <w:b/>
                <w:bCs/>
                <w:color w:val="FFFFFF" w:themeColor="background1"/>
                <w:sz w:val="24"/>
                <w:szCs w:val="24"/>
              </w:rPr>
            </w:pPr>
            <w:r w:rsidRPr="00134552">
              <w:rPr>
                <w:rFonts w:ascii="Times New Roman" w:hAnsi="Times New Roman" w:cs="Times New Roman"/>
                <w:b/>
                <w:bCs/>
                <w:color w:val="FFFFFF" w:themeColor="background1"/>
                <w:sz w:val="24"/>
                <w:szCs w:val="24"/>
              </w:rPr>
              <w:t>Čerpanie sociálneho fondu v r. 201</w:t>
            </w:r>
            <w:r>
              <w:rPr>
                <w:rFonts w:ascii="Times New Roman" w:hAnsi="Times New Roman" w:cs="Times New Roman"/>
                <w:b/>
                <w:bCs/>
                <w:color w:val="FFFFFF" w:themeColor="background1"/>
                <w:sz w:val="24"/>
                <w:szCs w:val="24"/>
              </w:rPr>
              <w:t>6</w:t>
            </w:r>
          </w:p>
        </w:tc>
      </w:tr>
      <w:tr w:rsidR="005568B1" w:rsidTr="005568B1">
        <w:trPr>
          <w:trHeight w:val="270"/>
        </w:trPr>
        <w:tc>
          <w:tcPr>
            <w:tcW w:w="3509" w:type="pct"/>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bottom"/>
          </w:tcPr>
          <w:p w:rsidR="005568B1" w:rsidRPr="00134552" w:rsidRDefault="005568B1" w:rsidP="005568B1">
            <w:pPr>
              <w:jc w:val="center"/>
              <w:rPr>
                <w:rFonts w:ascii="Times New Roman" w:hAnsi="Times New Roman" w:cs="Times New Roman"/>
                <w:b/>
                <w:bCs/>
                <w:color w:val="FFFFFF" w:themeColor="background1"/>
                <w:sz w:val="24"/>
                <w:szCs w:val="24"/>
              </w:rPr>
            </w:pPr>
            <w:r w:rsidRPr="00134552">
              <w:rPr>
                <w:rFonts w:ascii="Times New Roman" w:hAnsi="Times New Roman" w:cs="Times New Roman"/>
                <w:b/>
                <w:bCs/>
                <w:color w:val="FFFFFF" w:themeColor="background1"/>
                <w:sz w:val="24"/>
                <w:szCs w:val="24"/>
              </w:rPr>
              <w:t>Druh príspevku</w:t>
            </w:r>
          </w:p>
        </w:tc>
        <w:tc>
          <w:tcPr>
            <w:tcW w:w="1491" w:type="pct"/>
            <w:tcBorders>
              <w:top w:val="single" w:sz="8" w:space="0" w:color="auto"/>
              <w:left w:val="nil"/>
              <w:bottom w:val="single" w:sz="8" w:space="0" w:color="auto"/>
              <w:right w:val="single" w:sz="8" w:space="0" w:color="auto"/>
            </w:tcBorders>
            <w:shd w:val="clear" w:color="auto" w:fill="538135" w:themeFill="accent6" w:themeFillShade="BF"/>
            <w:noWrap/>
            <w:vAlign w:val="bottom"/>
          </w:tcPr>
          <w:p w:rsidR="005568B1" w:rsidRPr="00134552" w:rsidRDefault="005568B1" w:rsidP="005568B1">
            <w:pPr>
              <w:jc w:val="center"/>
              <w:rPr>
                <w:rFonts w:ascii="Times New Roman" w:hAnsi="Times New Roman" w:cs="Times New Roman"/>
                <w:b/>
                <w:bCs/>
                <w:color w:val="FFFFFF" w:themeColor="background1"/>
                <w:sz w:val="24"/>
                <w:szCs w:val="24"/>
              </w:rPr>
            </w:pPr>
            <w:r w:rsidRPr="00134552">
              <w:rPr>
                <w:rFonts w:ascii="Times New Roman" w:hAnsi="Times New Roman" w:cs="Times New Roman"/>
                <w:b/>
                <w:bCs/>
                <w:color w:val="FFFFFF" w:themeColor="background1"/>
                <w:sz w:val="24"/>
                <w:szCs w:val="24"/>
              </w:rPr>
              <w:t>Suma v €</w:t>
            </w:r>
          </w:p>
        </w:tc>
      </w:tr>
      <w:tr w:rsidR="005568B1" w:rsidTr="005568B1">
        <w:trPr>
          <w:trHeight w:val="255"/>
        </w:trPr>
        <w:tc>
          <w:tcPr>
            <w:tcW w:w="3509" w:type="pct"/>
            <w:tcBorders>
              <w:top w:val="single" w:sz="8" w:space="0" w:color="auto"/>
              <w:left w:val="single" w:sz="8" w:space="0" w:color="auto"/>
              <w:bottom w:val="nil"/>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Príspevok na stravu</w:t>
            </w:r>
          </w:p>
        </w:tc>
        <w:tc>
          <w:tcPr>
            <w:tcW w:w="1491"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sidRPr="00134552">
              <w:rPr>
                <w:rFonts w:ascii="Times New Roman" w:hAnsi="Times New Roman" w:cs="Times New Roman"/>
                <w:sz w:val="24"/>
                <w:szCs w:val="24"/>
              </w:rPr>
              <w:t>21 6</w:t>
            </w:r>
            <w:r>
              <w:rPr>
                <w:rFonts w:ascii="Times New Roman" w:hAnsi="Times New Roman" w:cs="Times New Roman"/>
                <w:sz w:val="24"/>
                <w:szCs w:val="24"/>
              </w:rPr>
              <w:t>94</w:t>
            </w:r>
            <w:r w:rsidRPr="00134552">
              <w:rPr>
                <w:rFonts w:ascii="Times New Roman" w:hAnsi="Times New Roman" w:cs="Times New Roman"/>
                <w:sz w:val="24"/>
                <w:szCs w:val="24"/>
              </w:rPr>
              <w:t>,</w:t>
            </w:r>
            <w:r>
              <w:rPr>
                <w:rFonts w:ascii="Times New Roman" w:hAnsi="Times New Roman" w:cs="Times New Roman"/>
                <w:sz w:val="24"/>
                <w:szCs w:val="24"/>
              </w:rPr>
              <w:t>6</w:t>
            </w:r>
            <w:r w:rsidRPr="00134552">
              <w:rPr>
                <w:rFonts w:ascii="Times New Roman" w:hAnsi="Times New Roman" w:cs="Times New Roman"/>
                <w:sz w:val="24"/>
                <w:szCs w:val="24"/>
              </w:rPr>
              <w:t>0</w:t>
            </w:r>
          </w:p>
        </w:tc>
      </w:tr>
      <w:tr w:rsidR="005568B1" w:rsidTr="005568B1">
        <w:trPr>
          <w:trHeight w:val="255"/>
        </w:trPr>
        <w:tc>
          <w:tcPr>
            <w:tcW w:w="3509"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Príspevok na cestovné</w:t>
            </w:r>
          </w:p>
        </w:tc>
        <w:tc>
          <w:tcPr>
            <w:tcW w:w="1491"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sidRPr="00134552">
              <w:rPr>
                <w:rFonts w:ascii="Times New Roman" w:hAnsi="Times New Roman" w:cs="Times New Roman"/>
                <w:sz w:val="24"/>
                <w:szCs w:val="24"/>
              </w:rPr>
              <w:t>8</w:t>
            </w:r>
            <w:r>
              <w:rPr>
                <w:rFonts w:ascii="Times New Roman" w:hAnsi="Times New Roman" w:cs="Times New Roman"/>
                <w:sz w:val="24"/>
                <w:szCs w:val="24"/>
              </w:rPr>
              <w:t> 506,41</w:t>
            </w:r>
          </w:p>
        </w:tc>
      </w:tr>
      <w:tr w:rsidR="005568B1" w:rsidTr="005568B1">
        <w:trPr>
          <w:trHeight w:val="255"/>
        </w:trPr>
        <w:tc>
          <w:tcPr>
            <w:tcW w:w="3509"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Príspevok na rekreáciu</w:t>
            </w:r>
          </w:p>
        </w:tc>
        <w:tc>
          <w:tcPr>
            <w:tcW w:w="1491"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Pr>
                <w:rFonts w:ascii="Times New Roman" w:hAnsi="Times New Roman" w:cs="Times New Roman"/>
                <w:sz w:val="24"/>
                <w:szCs w:val="24"/>
              </w:rPr>
              <w:t>34 600</w:t>
            </w:r>
            <w:r w:rsidRPr="00134552">
              <w:rPr>
                <w:rFonts w:ascii="Times New Roman" w:hAnsi="Times New Roman" w:cs="Times New Roman"/>
                <w:sz w:val="24"/>
                <w:szCs w:val="24"/>
              </w:rPr>
              <w:t>,00</w:t>
            </w:r>
          </w:p>
        </w:tc>
      </w:tr>
      <w:tr w:rsidR="005568B1" w:rsidTr="005568B1">
        <w:trPr>
          <w:trHeight w:val="255"/>
        </w:trPr>
        <w:tc>
          <w:tcPr>
            <w:tcW w:w="3509"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Sociálna výpomoc pri dlhodob. PN</w:t>
            </w:r>
          </w:p>
        </w:tc>
        <w:tc>
          <w:tcPr>
            <w:tcW w:w="1491" w:type="pct"/>
            <w:tcBorders>
              <w:top w:val="nil"/>
              <w:left w:val="single" w:sz="8" w:space="0" w:color="auto"/>
              <w:bottom w:val="nil"/>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Pr>
                <w:rFonts w:ascii="Times New Roman" w:hAnsi="Times New Roman" w:cs="Times New Roman"/>
                <w:sz w:val="24"/>
                <w:szCs w:val="24"/>
              </w:rPr>
              <w:t>332</w:t>
            </w:r>
            <w:r w:rsidRPr="00134552">
              <w:rPr>
                <w:rFonts w:ascii="Times New Roman" w:hAnsi="Times New Roman" w:cs="Times New Roman"/>
                <w:sz w:val="24"/>
                <w:szCs w:val="24"/>
              </w:rPr>
              <w:t>,00</w:t>
            </w:r>
          </w:p>
        </w:tc>
      </w:tr>
      <w:tr w:rsidR="005568B1" w:rsidTr="005568B1">
        <w:trPr>
          <w:trHeight w:val="294"/>
        </w:trPr>
        <w:tc>
          <w:tcPr>
            <w:tcW w:w="3509" w:type="pct"/>
            <w:tcBorders>
              <w:top w:val="nil"/>
              <w:left w:val="single" w:sz="8" w:space="0" w:color="auto"/>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Príspevok na detskú rekreáciu</w:t>
            </w:r>
          </w:p>
        </w:tc>
        <w:tc>
          <w:tcPr>
            <w:tcW w:w="1491" w:type="pct"/>
            <w:tcBorders>
              <w:top w:val="nil"/>
              <w:left w:val="single" w:sz="8" w:space="0" w:color="auto"/>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Pr>
                <w:rFonts w:ascii="Times New Roman" w:hAnsi="Times New Roman" w:cs="Times New Roman"/>
                <w:sz w:val="24"/>
                <w:szCs w:val="24"/>
              </w:rPr>
              <w:t>884</w:t>
            </w:r>
            <w:r w:rsidRPr="00134552">
              <w:rPr>
                <w:rFonts w:ascii="Times New Roman" w:hAnsi="Times New Roman" w:cs="Times New Roman"/>
                <w:sz w:val="24"/>
                <w:szCs w:val="24"/>
              </w:rPr>
              <w:t>,00</w:t>
            </w:r>
          </w:p>
        </w:tc>
      </w:tr>
      <w:tr w:rsidR="005568B1" w:rsidTr="005568B1">
        <w:trPr>
          <w:trHeight w:val="270"/>
        </w:trPr>
        <w:tc>
          <w:tcPr>
            <w:tcW w:w="3509" w:type="pct"/>
            <w:tcBorders>
              <w:top w:val="nil"/>
              <w:left w:val="single" w:sz="8" w:space="0" w:color="auto"/>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Regenerácia pracovnej sily</w:t>
            </w:r>
          </w:p>
        </w:tc>
        <w:tc>
          <w:tcPr>
            <w:tcW w:w="1491" w:type="pct"/>
            <w:tcBorders>
              <w:top w:val="nil"/>
              <w:left w:val="single" w:sz="8" w:space="0" w:color="auto"/>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sidRPr="00134552">
              <w:rPr>
                <w:rFonts w:ascii="Times New Roman" w:hAnsi="Times New Roman" w:cs="Times New Roman"/>
                <w:sz w:val="24"/>
                <w:szCs w:val="24"/>
              </w:rPr>
              <w:t xml:space="preserve">7 </w:t>
            </w:r>
            <w:r>
              <w:rPr>
                <w:rFonts w:ascii="Times New Roman" w:hAnsi="Times New Roman" w:cs="Times New Roman"/>
                <w:sz w:val="24"/>
                <w:szCs w:val="24"/>
              </w:rPr>
              <w:t>200</w:t>
            </w:r>
            <w:r w:rsidRPr="00134552">
              <w:rPr>
                <w:rFonts w:ascii="Times New Roman" w:hAnsi="Times New Roman" w:cs="Times New Roman"/>
                <w:sz w:val="24"/>
                <w:szCs w:val="24"/>
              </w:rPr>
              <w:t>,00</w:t>
            </w:r>
          </w:p>
        </w:tc>
      </w:tr>
      <w:tr w:rsidR="005568B1" w:rsidTr="005568B1">
        <w:trPr>
          <w:trHeight w:val="270"/>
        </w:trPr>
        <w:tc>
          <w:tcPr>
            <w:tcW w:w="3509" w:type="pct"/>
            <w:tcBorders>
              <w:left w:val="single" w:sz="8" w:space="0" w:color="auto"/>
              <w:bottom w:val="single" w:sz="8" w:space="0" w:color="auto"/>
              <w:right w:val="single" w:sz="8" w:space="0" w:color="auto"/>
            </w:tcBorders>
            <w:shd w:val="clear" w:color="auto" w:fill="auto"/>
            <w:noWrap/>
            <w:vAlign w:val="bottom"/>
          </w:tcPr>
          <w:p w:rsidR="005568B1" w:rsidRPr="00134552" w:rsidRDefault="005568B1" w:rsidP="005568B1">
            <w:pPr>
              <w:rPr>
                <w:rFonts w:ascii="Times New Roman" w:hAnsi="Times New Roman" w:cs="Times New Roman"/>
                <w:sz w:val="24"/>
                <w:szCs w:val="24"/>
              </w:rPr>
            </w:pPr>
            <w:r w:rsidRPr="00134552">
              <w:rPr>
                <w:rFonts w:ascii="Times New Roman" w:hAnsi="Times New Roman" w:cs="Times New Roman"/>
                <w:sz w:val="24"/>
                <w:szCs w:val="24"/>
              </w:rPr>
              <w:t>Príspevok  - narodenie dieťaťa</w:t>
            </w:r>
          </w:p>
        </w:tc>
        <w:tc>
          <w:tcPr>
            <w:tcW w:w="1491" w:type="pct"/>
            <w:tcBorders>
              <w:left w:val="single" w:sz="8" w:space="0" w:color="auto"/>
              <w:bottom w:val="nil"/>
              <w:right w:val="single" w:sz="8" w:space="0" w:color="auto"/>
            </w:tcBorders>
            <w:shd w:val="clear" w:color="auto" w:fill="auto"/>
            <w:noWrap/>
            <w:vAlign w:val="bottom"/>
          </w:tcPr>
          <w:p w:rsidR="005568B1" w:rsidRPr="00134552" w:rsidRDefault="005568B1" w:rsidP="005568B1">
            <w:pPr>
              <w:jc w:val="center"/>
              <w:rPr>
                <w:rFonts w:ascii="Times New Roman" w:hAnsi="Times New Roman" w:cs="Times New Roman"/>
                <w:sz w:val="24"/>
                <w:szCs w:val="24"/>
              </w:rPr>
            </w:pPr>
            <w:r w:rsidRPr="00134552">
              <w:rPr>
                <w:rFonts w:ascii="Times New Roman" w:hAnsi="Times New Roman" w:cs="Times New Roman"/>
                <w:sz w:val="24"/>
                <w:szCs w:val="24"/>
              </w:rPr>
              <w:t>210,00</w:t>
            </w:r>
          </w:p>
        </w:tc>
      </w:tr>
      <w:tr w:rsidR="005568B1" w:rsidTr="005568B1">
        <w:trPr>
          <w:trHeight w:val="330"/>
        </w:trPr>
        <w:tc>
          <w:tcPr>
            <w:tcW w:w="3509"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5568B1" w:rsidRPr="00134552" w:rsidRDefault="005568B1" w:rsidP="005568B1">
            <w:pPr>
              <w:rPr>
                <w:rFonts w:ascii="Times New Roman" w:hAnsi="Times New Roman" w:cs="Times New Roman"/>
                <w:b/>
                <w:bCs/>
                <w:color w:val="538135" w:themeColor="accent6" w:themeShade="BF"/>
                <w:sz w:val="24"/>
                <w:szCs w:val="24"/>
              </w:rPr>
            </w:pPr>
            <w:r w:rsidRPr="00134552">
              <w:rPr>
                <w:rFonts w:ascii="Times New Roman" w:hAnsi="Times New Roman" w:cs="Times New Roman"/>
                <w:b/>
                <w:bCs/>
                <w:color w:val="538135" w:themeColor="accent6" w:themeShade="BF"/>
                <w:sz w:val="24"/>
                <w:szCs w:val="24"/>
              </w:rPr>
              <w:t>Spolu</w:t>
            </w:r>
          </w:p>
        </w:tc>
        <w:tc>
          <w:tcPr>
            <w:tcW w:w="1491" w:type="pct"/>
            <w:tcBorders>
              <w:top w:val="single" w:sz="8" w:space="0" w:color="auto"/>
              <w:left w:val="nil"/>
              <w:bottom w:val="single" w:sz="8" w:space="0" w:color="auto"/>
              <w:right w:val="single" w:sz="8" w:space="0" w:color="auto"/>
            </w:tcBorders>
            <w:shd w:val="clear" w:color="auto" w:fill="FFFFFF" w:themeFill="background1"/>
            <w:noWrap/>
            <w:vAlign w:val="bottom"/>
          </w:tcPr>
          <w:p w:rsidR="005568B1" w:rsidRPr="00134552" w:rsidRDefault="005568B1" w:rsidP="005568B1">
            <w:pPr>
              <w:jc w:val="center"/>
              <w:rPr>
                <w:rFonts w:ascii="Times New Roman" w:hAnsi="Times New Roman" w:cs="Times New Roman"/>
                <w:b/>
                <w:bCs/>
                <w:color w:val="538135" w:themeColor="accent6" w:themeShade="BF"/>
                <w:sz w:val="24"/>
                <w:szCs w:val="24"/>
              </w:rPr>
            </w:pPr>
            <w:r>
              <w:rPr>
                <w:rFonts w:ascii="Times New Roman" w:hAnsi="Times New Roman" w:cs="Times New Roman"/>
                <w:b/>
                <w:bCs/>
                <w:color w:val="538135" w:themeColor="accent6" w:themeShade="BF"/>
                <w:sz w:val="24"/>
                <w:szCs w:val="24"/>
              </w:rPr>
              <w:t>73 427,01</w:t>
            </w:r>
          </w:p>
        </w:tc>
      </w:tr>
    </w:tbl>
    <w:p w:rsidR="005568B1" w:rsidRDefault="005568B1" w:rsidP="005568B1">
      <w:pPr>
        <w:jc w:val="both"/>
        <w:rPr>
          <w:rFonts w:ascii="Times New Roman" w:hAnsi="Times New Roman" w:cs="Times New Roman"/>
          <w:sz w:val="24"/>
          <w:szCs w:val="24"/>
        </w:rPr>
      </w:pPr>
    </w:p>
    <w:p w:rsidR="005568B1" w:rsidRPr="002D13A0" w:rsidRDefault="005568B1" w:rsidP="005568B1">
      <w:pPr>
        <w:jc w:val="both"/>
        <w:rPr>
          <w:rFonts w:ascii="Arial" w:hAnsi="Arial" w:cs="Arial"/>
          <w:sz w:val="24"/>
          <w:szCs w:val="24"/>
        </w:rPr>
      </w:pPr>
      <w:r w:rsidRPr="002D13A0">
        <w:rPr>
          <w:rFonts w:ascii="Arial" w:hAnsi="Arial" w:cs="Arial"/>
          <w:sz w:val="24"/>
          <w:szCs w:val="24"/>
        </w:rPr>
        <w:t>Významným benefitom, ktorý spoločnosť poskytuje zamestnancom sú aj poukážky, ktoré sa využívajú k regenerácii fyzických síl. Všetky benefity sú súčasťou sociálneho programu zakotveného v Kolektívnej zmluve.  V rámci tohto programu akciová spoločnosť poskytuje aj jeden individuálny benefit pre zamestnankyne matky z príležitosti „Dňa matiek“ vo forme jedného dňa dovolenky nad rámec zákonnej výmery.</w:t>
      </w:r>
    </w:p>
    <w:p w:rsidR="005568B1" w:rsidRDefault="005568B1" w:rsidP="005568B1">
      <w:pPr>
        <w:jc w:val="both"/>
        <w:rPr>
          <w:rFonts w:ascii="Times New Roman" w:hAnsi="Times New Roman" w:cs="Times New Roman"/>
          <w:sz w:val="24"/>
          <w:szCs w:val="24"/>
        </w:rPr>
      </w:pPr>
    </w:p>
    <w:p w:rsidR="005568B1" w:rsidRDefault="005568B1" w:rsidP="005568B1">
      <w:pPr>
        <w:jc w:val="both"/>
        <w:rPr>
          <w:rFonts w:ascii="Arial" w:hAnsi="Arial" w:cs="Arial"/>
          <w:smallCaps/>
          <w:color w:val="538135" w:themeColor="accent6" w:themeShade="BF"/>
          <w:sz w:val="36"/>
          <w:szCs w:val="36"/>
        </w:rPr>
      </w:pPr>
      <w:r>
        <w:rPr>
          <w:rFonts w:ascii="Arial" w:hAnsi="Arial" w:cs="Arial"/>
          <w:smallCaps/>
          <w:color w:val="538135" w:themeColor="accent6" w:themeShade="BF"/>
          <w:sz w:val="36"/>
          <w:szCs w:val="36"/>
        </w:rPr>
        <w:t>vzdelávanie a rozvoj zamestnancov</w:t>
      </w:r>
    </w:p>
    <w:p w:rsidR="005568B1" w:rsidRPr="002D13A0" w:rsidRDefault="005568B1" w:rsidP="005568B1">
      <w:pPr>
        <w:jc w:val="both"/>
        <w:rPr>
          <w:rFonts w:ascii="Arial" w:hAnsi="Arial" w:cs="Arial"/>
          <w:b/>
          <w:i/>
          <w:color w:val="808000"/>
          <w:sz w:val="24"/>
          <w:szCs w:val="24"/>
        </w:rPr>
      </w:pPr>
      <w:r w:rsidRPr="002D13A0">
        <w:rPr>
          <w:rFonts w:ascii="Arial" w:hAnsi="Arial" w:cs="Arial"/>
          <w:sz w:val="24"/>
          <w:szCs w:val="24"/>
        </w:rPr>
        <w:t xml:space="preserve">Popri plnení legislatívnych požiadaviek, akými sú školenia súvisiace s bezpečnosťou práce, podporuje naša spoločnosť aj mnohé odborné školenia ako i rozvoj manažérskych zručností. Dlhodobo kladený dôraz na vzdelávanie prispieva tak k zlepšeniu profesionálnych znalostí zamestnancov, potrebných na výkon práce dohodnutej v pracovnej zmluve.  </w:t>
      </w:r>
    </w:p>
    <w:p w:rsidR="005568B1" w:rsidRPr="002D13A0" w:rsidRDefault="005568B1" w:rsidP="005568B1">
      <w:pPr>
        <w:jc w:val="both"/>
        <w:rPr>
          <w:rFonts w:ascii="Arial" w:hAnsi="Arial" w:cs="Arial"/>
          <w:sz w:val="24"/>
          <w:szCs w:val="24"/>
        </w:rPr>
      </w:pPr>
      <w:r w:rsidRPr="002D13A0">
        <w:rPr>
          <w:rFonts w:ascii="Arial" w:hAnsi="Arial" w:cs="Arial"/>
          <w:sz w:val="24"/>
          <w:szCs w:val="24"/>
        </w:rPr>
        <w:t>Pre oblasť riadenia ľudských zdrojov bola  prijatá stratégia stabilizácie kľúčových zamestnancov tak z robotníckych profesií, ako aj technicko-hospodárskych zamestnancov.</w:t>
      </w:r>
    </w:p>
    <w:p w:rsidR="005568B1" w:rsidRDefault="005568B1" w:rsidP="005568B1">
      <w:pPr>
        <w:jc w:val="both"/>
        <w:rPr>
          <w:rFonts w:ascii="Arial" w:hAnsi="Arial" w:cs="Arial"/>
          <w:sz w:val="24"/>
          <w:szCs w:val="24"/>
        </w:rPr>
      </w:pPr>
      <w:r w:rsidRPr="002D13A0">
        <w:rPr>
          <w:rFonts w:ascii="Arial" w:hAnsi="Arial" w:cs="Arial"/>
          <w:sz w:val="24"/>
          <w:szCs w:val="24"/>
        </w:rPr>
        <w:t>Akciová spoločnosť sa snaží vytvárať a udržiavať pracovné prostredie vzájomnej dôvery, v ktorom sa s každým kto pracuje, dodržiava ustanovenia a povinnosti, zaobchádza s</w:t>
      </w:r>
      <w:r>
        <w:rPr>
          <w:rFonts w:ascii="Arial" w:hAnsi="Arial" w:cs="Arial"/>
          <w:sz w:val="24"/>
          <w:szCs w:val="24"/>
        </w:rPr>
        <w:t> </w:t>
      </w:r>
      <w:r w:rsidRPr="002D13A0">
        <w:rPr>
          <w:rFonts w:ascii="Arial" w:hAnsi="Arial" w:cs="Arial"/>
          <w:sz w:val="24"/>
          <w:szCs w:val="24"/>
        </w:rPr>
        <w:t>úctou</w:t>
      </w:r>
      <w:r>
        <w:rPr>
          <w:rFonts w:ascii="Arial" w:hAnsi="Arial" w:cs="Arial"/>
          <w:sz w:val="24"/>
          <w:szCs w:val="24"/>
        </w:rPr>
        <w:t xml:space="preserve"> </w:t>
      </w:r>
      <w:r w:rsidRPr="002D13A0">
        <w:rPr>
          <w:rFonts w:ascii="Arial" w:hAnsi="Arial" w:cs="Arial"/>
          <w:sz w:val="24"/>
          <w:szCs w:val="24"/>
        </w:rPr>
        <w:t>a dôstojnosťou. Všetky tieto záväzky obsahuje Kódex zames</w:t>
      </w:r>
      <w:r w:rsidR="00606585">
        <w:rPr>
          <w:rFonts w:ascii="Arial" w:hAnsi="Arial" w:cs="Arial"/>
          <w:sz w:val="24"/>
          <w:szCs w:val="24"/>
        </w:rPr>
        <w:t xml:space="preserve">tnanca akciovej spoločnosti.   </w:t>
      </w:r>
    </w:p>
    <w:p w:rsidR="00606585" w:rsidRPr="00606585" w:rsidRDefault="00606585" w:rsidP="005568B1">
      <w:pPr>
        <w:jc w:val="both"/>
        <w:rPr>
          <w:rFonts w:ascii="Arial" w:hAnsi="Arial" w:cs="Arial"/>
          <w:sz w:val="24"/>
          <w:szCs w:val="24"/>
        </w:rPr>
      </w:pPr>
    </w:p>
    <w:p w:rsidR="005568B1" w:rsidRDefault="005568B1" w:rsidP="005568B1">
      <w:pPr>
        <w:jc w:val="both"/>
        <w:rPr>
          <w:rFonts w:ascii="Arial" w:hAnsi="Arial" w:cs="Arial"/>
          <w:smallCaps/>
          <w:color w:val="538135" w:themeColor="accent6" w:themeShade="BF"/>
          <w:sz w:val="36"/>
          <w:szCs w:val="36"/>
        </w:rPr>
      </w:pPr>
      <w:r>
        <w:rPr>
          <w:rFonts w:ascii="Arial" w:hAnsi="Arial" w:cs="Arial"/>
          <w:smallCaps/>
          <w:color w:val="538135" w:themeColor="accent6" w:themeShade="BF"/>
          <w:sz w:val="36"/>
          <w:szCs w:val="36"/>
        </w:rPr>
        <w:t>bezpečnosť a ochrana zdravia pri práci</w:t>
      </w:r>
    </w:p>
    <w:p w:rsidR="005568B1" w:rsidRPr="002D13A0" w:rsidRDefault="005568B1" w:rsidP="005568B1">
      <w:pPr>
        <w:spacing w:before="120" w:after="120" w:line="240" w:lineRule="auto"/>
        <w:jc w:val="both"/>
        <w:rPr>
          <w:rFonts w:ascii="Arial" w:hAnsi="Arial" w:cs="Arial"/>
          <w:bCs/>
          <w:color w:val="2F5496" w:themeColor="accent5" w:themeShade="BF"/>
          <w:sz w:val="32"/>
          <w:szCs w:val="32"/>
        </w:rPr>
      </w:pPr>
      <w:r w:rsidRPr="002D13A0">
        <w:rPr>
          <w:rFonts w:ascii="Arial" w:hAnsi="Arial" w:cs="Arial"/>
          <w:bCs/>
          <w:color w:val="2F5496" w:themeColor="accent5" w:themeShade="BF"/>
          <w:sz w:val="32"/>
          <w:szCs w:val="32"/>
        </w:rPr>
        <w:t xml:space="preserve">Organizácia bezpečnosti a ochrany zdravia pri práci </w:t>
      </w:r>
    </w:p>
    <w:p w:rsidR="005568B1" w:rsidRPr="002D13A0" w:rsidRDefault="005568B1" w:rsidP="005568B1">
      <w:pPr>
        <w:pStyle w:val="Zarkazkladnhotextu2"/>
        <w:spacing w:before="120" w:after="120"/>
        <w:ind w:left="0"/>
        <w:rPr>
          <w:rFonts w:ascii="Arial" w:hAnsi="Arial" w:cs="Arial"/>
        </w:rPr>
      </w:pPr>
      <w:r w:rsidRPr="002D13A0">
        <w:rPr>
          <w:rFonts w:ascii="Arial" w:hAnsi="Arial" w:cs="Arial"/>
        </w:rPr>
        <w:t xml:space="preserve">Zamestnávateľ BYTTERM, a.s. si v súčinnosti s platnými právnymi predpismi na úseku bezpečnosti práce plní svoje povinnosti odborne spôsobilou osobou. V uplynulom  roku boli zamestnancom poskytované zdravé a bezpečné pracovné podmienky. Zamestnanci boli zaraďovaní na prácu so zreteľom na ich zdravotný stav, schopnosti a oprávnenia podľa osobitných predpisov v záujme vylúčenia alebo obmedzenia rizika a faktorov podmieňujúcich vznik pracovných úrazov a chorôb z povolania. </w:t>
      </w:r>
    </w:p>
    <w:p w:rsidR="005568B1" w:rsidRPr="002D13A0" w:rsidRDefault="005568B1" w:rsidP="005568B1">
      <w:pPr>
        <w:spacing w:before="120" w:after="120" w:line="240" w:lineRule="auto"/>
        <w:jc w:val="both"/>
        <w:rPr>
          <w:rFonts w:ascii="Arial" w:hAnsi="Arial" w:cs="Arial"/>
          <w:bCs/>
          <w:color w:val="2F5496" w:themeColor="accent5" w:themeShade="BF"/>
          <w:sz w:val="32"/>
          <w:szCs w:val="32"/>
        </w:rPr>
      </w:pPr>
      <w:r w:rsidRPr="002D13A0">
        <w:rPr>
          <w:rFonts w:ascii="Arial" w:hAnsi="Arial" w:cs="Arial"/>
          <w:bCs/>
          <w:color w:val="2F5496" w:themeColor="accent5" w:themeShade="BF"/>
          <w:sz w:val="32"/>
          <w:szCs w:val="32"/>
        </w:rPr>
        <w:t>Kontrolná činnosť</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 xml:space="preserve">V priebehu   roka   boli   vykonávané   kontroly   stavu bezpečnosti práce na všetkých našich pracoviskách. Kontrolná činnosť  bola zameraná na  overenie znalosti ohrozenia, nebezpečenstva a rizika pri práci zamestnancov, používanie ochranných osobných pracovných prostriedkov (OOPP), kontrolu pracovísk po stránke bezpečnosti a ochrany pred požiarmi, používanie vhodných a bezpečných pracovných postupov a pracovných prostriedkov, dodržiavanie zákazu požitia alkoholických nápojov, omamných látok a psychotropných látok, dodržiavanie zákazu fajčenia na pracoviskách, na hygienické a sociálne podmienky pri práci, na umiestnenie </w:t>
      </w:r>
      <w:r w:rsidRPr="002D13A0">
        <w:rPr>
          <w:rFonts w:ascii="Arial" w:hAnsi="Arial" w:cs="Arial"/>
          <w:sz w:val="24"/>
          <w:szCs w:val="24"/>
        </w:rPr>
        <w:lastRenderedPageBreak/>
        <w:t xml:space="preserve">a kompletnosť prostriedkov na poskytnutie predlekárskej prvej pomoci na našich pracoviskách. </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V roku 2016 bolo na našich pracoviskách vykonaných 40 plánovaných kontrol s uvedeným zameraním a týždenné kontroly BOZP pri rekonštrukčných prácach v plynových kotolniach a pri výmene ležatých rozvodov. Zisťovanie alkoholu v dychu detekčným prístrojom bolo vykonané u 100 našich zamestnancov, všetky s negatívnym výsledkom. Ďalšie kontroly boli vykonané v spoločných priestoroch bytových domov v našej správe. Nedostatky zistené pri kontrolách boli postupne odstraňované podľa ich naliehavosti a daných možností.</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V roku 2016 v našej akciovej spoločnosti nevznikol žiaden pracovný úraz. Oproti minulému roku tak počet úrazov poklesol o 4.</w:t>
      </w:r>
    </w:p>
    <w:p w:rsidR="005568B1" w:rsidRPr="002D13A0" w:rsidRDefault="005568B1" w:rsidP="005568B1">
      <w:pPr>
        <w:spacing w:before="120" w:after="120"/>
        <w:jc w:val="both"/>
        <w:rPr>
          <w:rFonts w:ascii="Times New Roman" w:hAnsi="Times New Roman"/>
          <w:color w:val="2F5496" w:themeColor="accent5" w:themeShade="BF"/>
          <w:sz w:val="32"/>
          <w:szCs w:val="32"/>
        </w:rPr>
      </w:pPr>
      <w:r w:rsidRPr="002D13A0">
        <w:rPr>
          <w:rFonts w:ascii="Arial" w:hAnsi="Arial" w:cs="Arial"/>
          <w:color w:val="2F5496" w:themeColor="accent5" w:themeShade="BF"/>
          <w:sz w:val="32"/>
          <w:szCs w:val="32"/>
        </w:rPr>
        <w:t>Ochranné osobné pracovné prostriedky</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Na pracoviskách, na ktorých nie je možné vylúčiť alebo obmedziť nebezpečenstvo pri  práci technickými prostriedkami, prostriedkami kolektívnej ochrany ani metódami organizácie práce, bezplatne poskytujeme zamestnancom na osobnú ochranu osobné ochranné pracovné prostriedky</w:t>
      </w:r>
      <w:r>
        <w:rPr>
          <w:rFonts w:ascii="Arial" w:hAnsi="Arial" w:cs="Arial"/>
          <w:sz w:val="24"/>
          <w:szCs w:val="24"/>
        </w:rPr>
        <w:t>, p</w:t>
      </w:r>
      <w:r w:rsidRPr="002D13A0">
        <w:rPr>
          <w:rFonts w:ascii="Arial" w:hAnsi="Arial" w:cs="Arial"/>
          <w:sz w:val="24"/>
          <w:szCs w:val="24"/>
        </w:rPr>
        <w:t>racovné odevy</w:t>
      </w:r>
      <w:r>
        <w:rPr>
          <w:rFonts w:ascii="Arial" w:hAnsi="Arial" w:cs="Arial"/>
          <w:sz w:val="24"/>
          <w:szCs w:val="24"/>
        </w:rPr>
        <w:t xml:space="preserve"> a </w:t>
      </w:r>
      <w:r w:rsidRPr="002D13A0">
        <w:rPr>
          <w:rFonts w:ascii="Arial" w:hAnsi="Arial" w:cs="Arial"/>
          <w:sz w:val="24"/>
          <w:szCs w:val="24"/>
        </w:rPr>
        <w:t xml:space="preserve"> čistiace a dezinfekčné prostriedky</w:t>
      </w:r>
      <w:r>
        <w:rPr>
          <w:rFonts w:ascii="Arial" w:hAnsi="Arial" w:cs="Arial"/>
          <w:sz w:val="24"/>
          <w:szCs w:val="24"/>
        </w:rPr>
        <w:t>.</w:t>
      </w:r>
      <w:r w:rsidRPr="002D13A0">
        <w:rPr>
          <w:rFonts w:ascii="Arial" w:hAnsi="Arial" w:cs="Arial"/>
          <w:sz w:val="24"/>
          <w:szCs w:val="24"/>
        </w:rPr>
        <w:t xml:space="preserve"> </w:t>
      </w:r>
    </w:p>
    <w:p w:rsidR="005568B1" w:rsidRPr="002D13A0" w:rsidRDefault="005568B1" w:rsidP="005568B1">
      <w:pPr>
        <w:spacing w:before="120" w:after="120" w:line="240" w:lineRule="auto"/>
        <w:rPr>
          <w:rFonts w:ascii="Arial" w:hAnsi="Arial" w:cs="Arial"/>
          <w:bCs/>
          <w:color w:val="2F5496" w:themeColor="accent5" w:themeShade="BF"/>
          <w:sz w:val="32"/>
          <w:szCs w:val="32"/>
        </w:rPr>
      </w:pPr>
      <w:r w:rsidRPr="002D13A0">
        <w:rPr>
          <w:rFonts w:ascii="Arial" w:hAnsi="Arial" w:cs="Arial"/>
          <w:color w:val="2F5496" w:themeColor="accent5" w:themeShade="BF"/>
          <w:sz w:val="32"/>
          <w:szCs w:val="32"/>
        </w:rPr>
        <w:t>Oboznamovanie a informovanie o BOZP</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V uplynulom roku bolo vykonaných 18 vstupných oboznámení a informovaní nových zamestnancov z oblasti bezpečnosti a ochrany zdravia pri práci (BOZP) a ochrany pred požiarmi. Opakované oboznámenie a informovanie o BOZP bolo vykonané u všetkých našich zamestnancov – vedúci zamestnanci, robotnícke profesie, práce vo výškach a nad voľnou hĺbkou, lešenári, viazači bremien, pre zdvíhacie zariadenia, vodiči z povolania a vodiči služobných vozidiel, práce s nebezpečnými chemickými látkami a azbestovým materiálom.</w:t>
      </w:r>
    </w:p>
    <w:p w:rsidR="005568B1" w:rsidRPr="002D13A0" w:rsidRDefault="005568B1" w:rsidP="005568B1">
      <w:pPr>
        <w:spacing w:before="120" w:after="120"/>
        <w:jc w:val="both"/>
        <w:rPr>
          <w:rFonts w:ascii="Arial" w:hAnsi="Arial" w:cs="Arial"/>
          <w:sz w:val="24"/>
          <w:szCs w:val="24"/>
        </w:rPr>
      </w:pPr>
      <w:r w:rsidRPr="002D13A0">
        <w:rPr>
          <w:rFonts w:ascii="Arial" w:hAnsi="Arial" w:cs="Arial"/>
          <w:sz w:val="24"/>
          <w:szCs w:val="24"/>
        </w:rPr>
        <w:t>Oboznámení o BOZP boli aj pracovníci cudzích organizácií, ktorí v priebehu roka vykonávali dodávateľskú činnosť na našich pracoviskách a bytových domoch v našej správe.</w:t>
      </w:r>
    </w:p>
    <w:p w:rsidR="005568B1" w:rsidRPr="002D13A0" w:rsidRDefault="005568B1" w:rsidP="005568B1">
      <w:pPr>
        <w:pStyle w:val="Nadpis2"/>
        <w:spacing w:before="120" w:after="120"/>
        <w:rPr>
          <w:rFonts w:ascii="Arial" w:hAnsi="Arial" w:cs="Arial"/>
          <w:b w:val="0"/>
          <w:color w:val="2F5496" w:themeColor="accent5" w:themeShade="BF"/>
          <w:sz w:val="32"/>
          <w:szCs w:val="32"/>
        </w:rPr>
      </w:pPr>
      <w:r w:rsidRPr="002D13A0">
        <w:rPr>
          <w:rFonts w:ascii="Arial" w:hAnsi="Arial" w:cs="Arial"/>
          <w:b w:val="0"/>
          <w:color w:val="2F5496" w:themeColor="accent5" w:themeShade="BF"/>
          <w:sz w:val="32"/>
          <w:szCs w:val="32"/>
        </w:rPr>
        <w:t xml:space="preserve">Ochrana pred požiarmi    </w:t>
      </w:r>
    </w:p>
    <w:p w:rsidR="005568B1" w:rsidRPr="002D13A0" w:rsidRDefault="005568B1" w:rsidP="005568B1">
      <w:pPr>
        <w:pStyle w:val="Zarkazkladnhotextu2"/>
        <w:spacing w:before="120" w:after="120"/>
        <w:ind w:left="0"/>
        <w:rPr>
          <w:rFonts w:ascii="Arial" w:hAnsi="Arial" w:cs="Arial"/>
        </w:rPr>
      </w:pPr>
      <w:r w:rsidRPr="002D13A0">
        <w:rPr>
          <w:rFonts w:ascii="Arial" w:hAnsi="Arial" w:cs="Arial"/>
        </w:rPr>
        <w:t xml:space="preserve">Ochrana pred požiarmi v BYTTERM, a.s. bola riadená v zmysle platných zákonných ustanovení o ochrane pred požiarmi. V súlade s týmito právnymi predpismi zabezpečovala naša spoločnosť plnenie povinností na úseku ochrany pred požiarmi na všetkých pracoviskách odborne spôsobilou osobou – požiarnym technikom. </w:t>
      </w:r>
    </w:p>
    <w:p w:rsidR="005568B1" w:rsidRPr="002D13A0" w:rsidRDefault="005568B1" w:rsidP="005568B1">
      <w:pPr>
        <w:spacing w:before="120" w:after="120"/>
        <w:jc w:val="both"/>
        <w:rPr>
          <w:rFonts w:ascii="Arial" w:hAnsi="Arial" w:cs="Arial"/>
          <w:bCs/>
          <w:sz w:val="24"/>
          <w:szCs w:val="24"/>
        </w:rPr>
      </w:pPr>
      <w:r w:rsidRPr="002D13A0">
        <w:rPr>
          <w:rFonts w:ascii="Arial" w:hAnsi="Arial" w:cs="Arial"/>
          <w:bCs/>
          <w:sz w:val="24"/>
          <w:szCs w:val="24"/>
        </w:rPr>
        <w:t>Preventívne protipožiarne prehliadky v našej a.s. boli plánovane vykonané techničkou PO na všetkých našich pracoviskách v počte 40 (dielne, sklady, doprava, garáže, dispečingy, kancelárske priestory administratívnej budovy, VS a PK), ako aj v spoločných priestoroch bytových domov v našej správe.</w:t>
      </w:r>
    </w:p>
    <w:p w:rsidR="005568B1" w:rsidRPr="002D13A0" w:rsidRDefault="005568B1" w:rsidP="005568B1">
      <w:pPr>
        <w:jc w:val="both"/>
        <w:rPr>
          <w:rFonts w:ascii="Arial" w:hAnsi="Arial" w:cs="Arial"/>
          <w:sz w:val="24"/>
          <w:szCs w:val="24"/>
        </w:rPr>
      </w:pPr>
      <w:r w:rsidRPr="002D13A0">
        <w:rPr>
          <w:rFonts w:ascii="Arial" w:hAnsi="Arial" w:cs="Arial"/>
          <w:sz w:val="24"/>
          <w:szCs w:val="24"/>
        </w:rPr>
        <w:t>Novelou zákona č. 314/2001 Z.z. boli zrušené protipožiarne hliadky právnickej osoby. Školenie a preskúšanie zamestnancov zabezpečujúcich ochranu pred požiarmi v mimopracovnom čase bolo vykonané u 3 zamestnancov na pracovisku vrátnica v administratívnej budove. Všetci zamestnanci boli preškolení o ochrane pred požiarmi.</w:t>
      </w:r>
    </w:p>
    <w:p w:rsidR="005568B1" w:rsidRDefault="005568B1" w:rsidP="005258DD">
      <w:pPr>
        <w:pStyle w:val="nadpisybytterm"/>
      </w:pPr>
      <w:r>
        <w:lastRenderedPageBreak/>
        <w:t>OCHRANA ŽIVOTNÉHO PROSTREDIA</w:t>
      </w:r>
    </w:p>
    <w:p w:rsidR="005568B1" w:rsidRPr="008F2DF7" w:rsidRDefault="005568B1" w:rsidP="005568B1"/>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Cieľom spoločnosti v oblasti ochrany životného prostredia je minimalizovať negatívne vplyvy výrobnej činnosti na životné prostredie.</w:t>
      </w:r>
      <w:r>
        <w:rPr>
          <w:rFonts w:ascii="Arial" w:hAnsi="Arial" w:cs="Arial"/>
          <w:sz w:val="24"/>
          <w:szCs w:val="24"/>
        </w:rPr>
        <w:t xml:space="preserve"> </w:t>
      </w:r>
      <w:r w:rsidRPr="009A4FA8">
        <w:rPr>
          <w:rFonts w:ascii="Arial" w:hAnsi="Arial" w:cs="Arial"/>
          <w:sz w:val="24"/>
          <w:szCs w:val="24"/>
        </w:rPr>
        <w:t>S využitím najnovších poznatkov</w:t>
      </w:r>
      <w:r>
        <w:rPr>
          <w:rFonts w:ascii="Arial" w:hAnsi="Arial" w:cs="Arial"/>
          <w:sz w:val="24"/>
          <w:szCs w:val="24"/>
        </w:rPr>
        <w:t xml:space="preserve"> z</w:t>
      </w:r>
      <w:r w:rsidRPr="009A4FA8">
        <w:rPr>
          <w:rFonts w:ascii="Arial" w:hAnsi="Arial" w:cs="Arial"/>
          <w:sz w:val="24"/>
          <w:szCs w:val="24"/>
        </w:rPr>
        <w:t> oblasti tepelnej energetiky preto systematicky plánujeme a každoročne realizujeme rekonštrukcie výmenníkových staníc a rozvodov tepla.</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Zároveň podporujeme pri výkone správy šetrenie energie v bytových domoch, keď v spolupráci s vlastníkmi bytových domov navrhujeme riešenia na obnovu a modernizáciu v domoch, ktorých výsledkom je  úspora energií, lepší užívateľský komfort v bytoch a zdravšie životné prostredie.</w:t>
      </w:r>
    </w:p>
    <w:p w:rsidR="005568B1" w:rsidRPr="008F2DF7" w:rsidRDefault="005568B1" w:rsidP="005568B1">
      <w:pPr>
        <w:ind w:right="403"/>
        <w:jc w:val="both"/>
        <w:rPr>
          <w:rFonts w:ascii="Times New Roman" w:hAnsi="Times New Roman" w:cs="Times New Roman"/>
          <w:color w:val="767171" w:themeColor="background2" w:themeShade="80"/>
          <w:sz w:val="32"/>
          <w:szCs w:val="32"/>
        </w:rPr>
      </w:pPr>
      <w:r w:rsidRPr="009E7067">
        <w:rPr>
          <w:rFonts w:ascii="Arial" w:hAnsi="Arial" w:cs="Arial"/>
          <w:color w:val="2F5496" w:themeColor="accent5" w:themeShade="BF"/>
          <w:sz w:val="32"/>
          <w:szCs w:val="32"/>
        </w:rPr>
        <w:t>Ochrana ovzdušia</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V oblasti ochrany ovzdušia sa riadime zákonom č. 137/2010 Z.z. o ovzduší v znení novely č. 350/2015 Z.z. a Vyhláškou MŽP č. 410/2012 Z.z..</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Naša spoločnosť prevádzkuje malé a stredné zdroje znečistenia. Toto rozdelenie sleduje limitné kapacity relevantných kategórií zdrojov, napr. spotrebu tepla alebo projektovanú hraničnú spotrebu organických rozpúšťadiel.</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K malým zdrojom znečistenia ovzdušia patria malé plynové kotolne . K stredným zdrojom znečistenia patria plynové kotolne PK1 až PK5 na Hájiku, Hájik F5-F6, Hájik F1-F4, PK Jesenského. Kotolne emitujú do vzduchu škodliviny zo spaľovania zemného plynu, ako sú napríklad oxidy dusíka, uhlíka a síry a tiež prach.</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V rámci vydaných a platných rozhodnutí  plníme všetky dané podmienky – hlavne v oblasti stanovených ukazovateľov  v emisiách do ovzdušia t.j. tuhé znečisťujúce látky, oxidu siričitého, oxidu dusíka, oxidu uhoľnatého a celkového organického uhlíka na všetkých stredných zdrojoch  znečistenia.</w:t>
      </w:r>
    </w:p>
    <w:p w:rsidR="005568B1" w:rsidRPr="009A4FA8" w:rsidRDefault="005568B1" w:rsidP="005568B1">
      <w:pPr>
        <w:ind w:right="403"/>
        <w:jc w:val="both"/>
        <w:rPr>
          <w:rFonts w:ascii="Arial" w:hAnsi="Arial" w:cs="Arial"/>
          <w:sz w:val="24"/>
          <w:szCs w:val="24"/>
        </w:rPr>
      </w:pPr>
      <w:r w:rsidRPr="009A4FA8">
        <w:rPr>
          <w:rFonts w:ascii="Arial" w:hAnsi="Arial" w:cs="Arial"/>
          <w:sz w:val="24"/>
          <w:szCs w:val="24"/>
        </w:rPr>
        <w:t>Okrem plynových kotolní naša a.s. prevádzkuje aj stredný  zdroj znečistenia - Chemickú čistiareň textílií, kde znečisťujúcou látkou je perchlóretylén,  kde  takisto spĺňame  prísne limity ochrany životného prostredia.</w:t>
      </w:r>
    </w:p>
    <w:p w:rsidR="005568B1" w:rsidRPr="009E7067" w:rsidRDefault="005568B1" w:rsidP="005568B1">
      <w:pPr>
        <w:ind w:right="403"/>
        <w:jc w:val="both"/>
        <w:rPr>
          <w:rFonts w:ascii="Times New Roman" w:hAnsi="Times New Roman" w:cs="Times New Roman"/>
          <w:color w:val="2F5496" w:themeColor="accent5" w:themeShade="BF"/>
          <w:sz w:val="32"/>
          <w:szCs w:val="32"/>
        </w:rPr>
      </w:pPr>
      <w:r w:rsidRPr="009E7067">
        <w:rPr>
          <w:rFonts w:ascii="Arial" w:hAnsi="Arial" w:cs="Arial"/>
          <w:color w:val="2F5496" w:themeColor="accent5" w:themeShade="BF"/>
          <w:sz w:val="32"/>
          <w:szCs w:val="32"/>
        </w:rPr>
        <w:t>Odpadové hospodárstvo</w:t>
      </w:r>
    </w:p>
    <w:p w:rsidR="005568B1" w:rsidRPr="009A4FA8" w:rsidRDefault="005568B1" w:rsidP="005568B1">
      <w:pPr>
        <w:ind w:right="403"/>
        <w:jc w:val="both"/>
        <w:rPr>
          <w:rFonts w:ascii="Arial" w:eastAsia="Arial Unicode MS" w:hAnsi="Arial" w:cs="Arial"/>
          <w:sz w:val="24"/>
          <w:szCs w:val="24"/>
        </w:rPr>
      </w:pPr>
      <w:r w:rsidRPr="009A4FA8">
        <w:rPr>
          <w:rFonts w:ascii="Arial" w:eastAsia="Arial Unicode MS" w:hAnsi="Arial" w:cs="Arial"/>
          <w:sz w:val="24"/>
          <w:szCs w:val="24"/>
        </w:rPr>
        <w:t>V oblasti odpadového hospodárstva BYTTERM, a.s. nakladá s odpadmi tak, ako mu to ukladá zákon o odpadoch</w:t>
      </w:r>
      <w:r w:rsidRPr="009A4FA8">
        <w:rPr>
          <w:rFonts w:ascii="Arial" w:hAnsi="Arial" w:cs="Arial"/>
          <w:sz w:val="24"/>
          <w:szCs w:val="24"/>
        </w:rPr>
        <w:t xml:space="preserve"> č. 223/2001 Z. z. v znení novely č. 79/2015 Z.z. a evidenciu a ohlasovanie vzniku odpadov zabezpečujeme v zmysle Vyhlášky č. 366/2015 Z.z.</w:t>
      </w:r>
      <w:r w:rsidRPr="009A4FA8">
        <w:rPr>
          <w:rFonts w:ascii="Arial" w:eastAsia="Arial Unicode MS" w:hAnsi="Arial" w:cs="Arial"/>
          <w:sz w:val="24"/>
          <w:szCs w:val="24"/>
        </w:rPr>
        <w:t>. Spoločnosť má zavedený systém separovaného zberu elektroodpadu.</w:t>
      </w:r>
    </w:p>
    <w:p w:rsidR="005568B1" w:rsidRPr="009A4FA8" w:rsidRDefault="005568B1" w:rsidP="005568B1">
      <w:pPr>
        <w:ind w:right="403"/>
        <w:jc w:val="both"/>
        <w:rPr>
          <w:rFonts w:ascii="Arial" w:eastAsia="Arial Unicode MS" w:hAnsi="Arial" w:cs="Arial"/>
          <w:sz w:val="24"/>
          <w:szCs w:val="24"/>
        </w:rPr>
      </w:pPr>
      <w:r w:rsidRPr="009A4FA8">
        <w:rPr>
          <w:rFonts w:ascii="Arial" w:eastAsia="Arial Unicode MS" w:hAnsi="Arial" w:cs="Arial"/>
          <w:sz w:val="24"/>
          <w:szCs w:val="24"/>
        </w:rPr>
        <w:t>Zvláštnu pozornosť venujeme kategórii nebezpečné odpady, s ktorými nakladáme na základe súhlasu OÚ ŽP v Žiline. Jedná sa o dočasné zhromažďovanie nebezpečných odpadov v mieste jeho vzniku, pričom jeho likvidáciu  zabezpečujeme prostredníctvom oprávnenej organizácie.</w:t>
      </w:r>
    </w:p>
    <w:p w:rsidR="005568B1" w:rsidRPr="008C5621" w:rsidRDefault="005568B1" w:rsidP="005258DD">
      <w:pPr>
        <w:pStyle w:val="nadpisybytterm"/>
      </w:pPr>
      <w:r w:rsidRPr="008C5621">
        <w:lastRenderedPageBreak/>
        <w:t>VYBRANÉ EKONOMICKÉ INFORMÁCIE</w:t>
      </w:r>
    </w:p>
    <w:p w:rsidR="005568B1" w:rsidRPr="008F2DF7" w:rsidRDefault="005568B1" w:rsidP="005568B1">
      <w:pPr>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analýza výsledku hospodárenia</w:t>
      </w:r>
    </w:p>
    <w:p w:rsidR="005568B1" w:rsidRPr="009A4FA8" w:rsidRDefault="005568B1" w:rsidP="005568B1">
      <w:pPr>
        <w:jc w:val="both"/>
        <w:rPr>
          <w:rFonts w:ascii="Arial" w:hAnsi="Arial" w:cs="Arial"/>
          <w:color w:val="1E6400"/>
          <w:sz w:val="36"/>
          <w:szCs w:val="36"/>
        </w:rPr>
      </w:pPr>
      <w:r w:rsidRPr="009A4FA8">
        <w:rPr>
          <w:rFonts w:ascii="Arial" w:hAnsi="Arial" w:cs="Arial"/>
          <w:sz w:val="24"/>
          <w:szCs w:val="24"/>
        </w:rPr>
        <w:t>Za rok 2016 dosiahla akciová spoločnosť hospodársky výsledok pred zdanením vo výške 848 041 EUR, čo je o 321,3 tis. EUR viac ako sa plánovalo a o 14,2 tis. EUR viac ako v roku 2015. Po transformácii účtovného zisku na daňový základ bola vyčíslená daň z príjmov vo výške 194,1 EUR a odložená daňová pohľadávka vo výške 3,9 EUR. Výsledok hospodárenia po zdanení tak predstavuje disponibilný zisk vo výške 657 797 EUR, čo je o 12,4 tis. EUR viac ako v minulom roku.</w:t>
      </w:r>
    </w:p>
    <w:p w:rsidR="005568B1" w:rsidRDefault="005568B1" w:rsidP="005568B1">
      <w:pPr>
        <w:ind w:right="423"/>
        <w:jc w:val="both"/>
      </w:pPr>
    </w:p>
    <w:p w:rsidR="005568B1" w:rsidRPr="008C5621" w:rsidRDefault="005568B1" w:rsidP="005568B1">
      <w:pPr>
        <w:ind w:right="423"/>
        <w:jc w:val="both"/>
      </w:pPr>
    </w:p>
    <w:p w:rsidR="005568B1" w:rsidRPr="008C5621" w:rsidRDefault="005568B1" w:rsidP="005568B1">
      <w:pPr>
        <w:ind w:right="423"/>
        <w:jc w:val="both"/>
      </w:pPr>
      <w:r>
        <w:rPr>
          <w:noProof/>
          <w:lang w:eastAsia="sk-SK"/>
        </w:rPr>
        <w:drawing>
          <wp:inline distT="0" distB="0" distL="0" distR="0" wp14:anchorId="791EED6E" wp14:editId="32879431">
            <wp:extent cx="5760720" cy="2526665"/>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68B1" w:rsidRDefault="005568B1" w:rsidP="005568B1">
      <w:pPr>
        <w:ind w:right="423"/>
        <w:jc w:val="both"/>
        <w:rPr>
          <w:rFonts w:ascii="Myriad Pro" w:hAnsi="Myriad Pro" w:cs="Tahoma"/>
          <w:sz w:val="24"/>
          <w:szCs w:val="24"/>
        </w:rPr>
      </w:pPr>
    </w:p>
    <w:p w:rsidR="005568B1" w:rsidRPr="008C5621" w:rsidRDefault="005568B1" w:rsidP="005568B1">
      <w:pPr>
        <w:ind w:right="423"/>
        <w:jc w:val="both"/>
        <w:rPr>
          <w:rFonts w:ascii="Myriad Pro" w:hAnsi="Myriad Pro" w:cs="Tahoma"/>
          <w:sz w:val="24"/>
          <w:szCs w:val="24"/>
        </w:rPr>
      </w:pPr>
    </w:p>
    <w:tbl>
      <w:tblPr>
        <w:tblW w:w="8444" w:type="dxa"/>
        <w:tblCellMar>
          <w:left w:w="70" w:type="dxa"/>
          <w:right w:w="70" w:type="dxa"/>
        </w:tblCellMar>
        <w:tblLook w:val="04A0" w:firstRow="1" w:lastRow="0" w:firstColumn="1" w:lastColumn="0" w:noHBand="0" w:noVBand="1"/>
      </w:tblPr>
      <w:tblGrid>
        <w:gridCol w:w="3776"/>
        <w:gridCol w:w="1716"/>
        <w:gridCol w:w="1476"/>
        <w:gridCol w:w="1476"/>
      </w:tblGrid>
      <w:tr w:rsidR="005568B1" w:rsidRPr="008C5621" w:rsidTr="005568B1">
        <w:trPr>
          <w:trHeight w:val="330"/>
        </w:trPr>
        <w:tc>
          <w:tcPr>
            <w:tcW w:w="3776" w:type="dxa"/>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4"/>
                <w:szCs w:val="24"/>
                <w:lang w:eastAsia="sk-SK"/>
              </w:rPr>
            </w:pPr>
            <w:r w:rsidRPr="008C5621">
              <w:rPr>
                <w:rFonts w:ascii="MyriadPro-Regular" w:hAnsi="MyriadPro-Regular" w:cs="MyriadPro-Regular"/>
              </w:rPr>
              <w:t>Údaje sú uvádzané v €</w:t>
            </w:r>
          </w:p>
        </w:tc>
        <w:tc>
          <w:tcPr>
            <w:tcW w:w="1716" w:type="dxa"/>
            <w:tcBorders>
              <w:top w:val="nil"/>
              <w:left w:val="nil"/>
              <w:bottom w:val="single" w:sz="8" w:space="0" w:color="auto"/>
              <w:right w:val="nil"/>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4"/>
                <w:szCs w:val="24"/>
                <w:lang w:eastAsia="sk-SK"/>
              </w:rPr>
            </w:pPr>
          </w:p>
        </w:tc>
        <w:tc>
          <w:tcPr>
            <w:tcW w:w="1476" w:type="dxa"/>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0"/>
                <w:szCs w:val="20"/>
                <w:lang w:eastAsia="sk-SK"/>
              </w:rPr>
            </w:pPr>
          </w:p>
        </w:tc>
        <w:tc>
          <w:tcPr>
            <w:tcW w:w="1476" w:type="dxa"/>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0"/>
                <w:szCs w:val="20"/>
                <w:lang w:eastAsia="sk-SK"/>
              </w:rPr>
            </w:pPr>
          </w:p>
        </w:tc>
      </w:tr>
      <w:tr w:rsidR="005568B1" w:rsidRPr="008C5621" w:rsidTr="005568B1">
        <w:trPr>
          <w:trHeight w:val="270"/>
        </w:trPr>
        <w:tc>
          <w:tcPr>
            <w:tcW w:w="3776"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hospodársky výsledok</w:t>
            </w:r>
          </w:p>
        </w:tc>
        <w:tc>
          <w:tcPr>
            <w:tcW w:w="171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EBITDA</w:t>
            </w:r>
          </w:p>
        </w:tc>
        <w:tc>
          <w:tcPr>
            <w:tcW w:w="171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1 356 090</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1 425 387</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1 455 032</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EBIT</w:t>
            </w:r>
          </w:p>
        </w:tc>
        <w:tc>
          <w:tcPr>
            <w:tcW w:w="171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784 673</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833 853</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848 041</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EBT</w:t>
            </w:r>
          </w:p>
        </w:tc>
        <w:tc>
          <w:tcPr>
            <w:tcW w:w="1716"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784 673</w:t>
            </w:r>
          </w:p>
        </w:tc>
        <w:tc>
          <w:tcPr>
            <w:tcW w:w="1476"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833 853</w:t>
            </w:r>
          </w:p>
        </w:tc>
        <w:tc>
          <w:tcPr>
            <w:tcW w:w="1476"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848 041</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EAT</w:t>
            </w:r>
          </w:p>
        </w:tc>
        <w:tc>
          <w:tcPr>
            <w:tcW w:w="1716" w:type="dxa"/>
            <w:tcBorders>
              <w:top w:val="nil"/>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609 348</w:t>
            </w:r>
          </w:p>
        </w:tc>
        <w:tc>
          <w:tcPr>
            <w:tcW w:w="1476" w:type="dxa"/>
            <w:tcBorders>
              <w:top w:val="nil"/>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645 446</w:t>
            </w:r>
          </w:p>
        </w:tc>
        <w:tc>
          <w:tcPr>
            <w:tcW w:w="1476" w:type="dxa"/>
            <w:tcBorders>
              <w:top w:val="nil"/>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657 797</w:t>
            </w:r>
          </w:p>
        </w:tc>
      </w:tr>
    </w:tbl>
    <w:p w:rsidR="005568B1" w:rsidRPr="008C5621" w:rsidRDefault="005568B1" w:rsidP="005568B1">
      <w:pPr>
        <w:ind w:right="423"/>
        <w:jc w:val="both"/>
        <w:rPr>
          <w:rFonts w:ascii="Myriad Pro" w:hAnsi="Myriad Pro" w:cs="Tahoma"/>
          <w:sz w:val="24"/>
          <w:szCs w:val="24"/>
        </w:rPr>
      </w:pPr>
    </w:p>
    <w:p w:rsidR="005568B1" w:rsidRPr="008C5621" w:rsidRDefault="005568B1" w:rsidP="005568B1">
      <w:pPr>
        <w:spacing w:line="240" w:lineRule="auto"/>
        <w:rPr>
          <w:rFonts w:ascii="Arial" w:hAnsi="Arial" w:cs="Arial"/>
        </w:rPr>
      </w:pPr>
      <w:r w:rsidRPr="008C5621">
        <w:rPr>
          <w:rFonts w:ascii="Arial" w:hAnsi="Arial" w:cs="Arial"/>
          <w:b/>
        </w:rPr>
        <w:t xml:space="preserve">EBITDA </w:t>
      </w:r>
      <w:r w:rsidRPr="008C5621">
        <w:rPr>
          <w:rFonts w:ascii="Arial" w:hAnsi="Arial" w:cs="Arial"/>
        </w:rPr>
        <w:t xml:space="preserve"> - výsledok hosp. za účtovné obdobie pred zdanením + nákladové úroky + odpisy</w:t>
      </w:r>
    </w:p>
    <w:p w:rsidR="005568B1" w:rsidRPr="008C5621" w:rsidRDefault="005568B1" w:rsidP="005568B1">
      <w:pPr>
        <w:spacing w:line="240" w:lineRule="auto"/>
        <w:rPr>
          <w:rFonts w:ascii="Arial" w:hAnsi="Arial" w:cs="Arial"/>
        </w:rPr>
      </w:pPr>
      <w:r w:rsidRPr="008C5621">
        <w:rPr>
          <w:rFonts w:ascii="Arial" w:hAnsi="Arial" w:cs="Arial"/>
          <w:b/>
        </w:rPr>
        <w:t xml:space="preserve">EBIT </w:t>
      </w:r>
      <w:r w:rsidRPr="008C5621">
        <w:rPr>
          <w:rFonts w:ascii="Arial" w:hAnsi="Arial" w:cs="Arial"/>
        </w:rPr>
        <w:t>- výsledok hospodárenia za účtovné obdobie pred zdanením + nákladové úroky</w:t>
      </w:r>
    </w:p>
    <w:p w:rsidR="005568B1" w:rsidRPr="008C5621" w:rsidRDefault="005568B1" w:rsidP="005568B1">
      <w:pPr>
        <w:spacing w:line="240" w:lineRule="auto"/>
        <w:rPr>
          <w:rFonts w:ascii="Arial" w:hAnsi="Arial" w:cs="Arial"/>
        </w:rPr>
      </w:pPr>
      <w:r w:rsidRPr="008C5621">
        <w:rPr>
          <w:rFonts w:ascii="Arial" w:hAnsi="Arial" w:cs="Arial"/>
          <w:b/>
        </w:rPr>
        <w:t>EBT</w:t>
      </w:r>
      <w:r w:rsidRPr="008C5621">
        <w:rPr>
          <w:rFonts w:ascii="Arial" w:hAnsi="Arial" w:cs="Arial"/>
        </w:rPr>
        <w:t xml:space="preserve"> - výsledok hospodárenia za účtovné obdobie pred zdanením</w:t>
      </w:r>
    </w:p>
    <w:p w:rsidR="005568B1" w:rsidRPr="008C5621" w:rsidRDefault="005568B1" w:rsidP="005568B1">
      <w:pPr>
        <w:ind w:right="423"/>
        <w:jc w:val="both"/>
        <w:rPr>
          <w:rFonts w:ascii="Arial" w:hAnsi="Arial" w:cs="Arial"/>
        </w:rPr>
      </w:pPr>
      <w:r w:rsidRPr="008C5621">
        <w:rPr>
          <w:rFonts w:ascii="Arial" w:hAnsi="Arial" w:cs="Arial"/>
          <w:b/>
        </w:rPr>
        <w:t>EAT</w:t>
      </w:r>
      <w:r w:rsidRPr="008C5621">
        <w:rPr>
          <w:rFonts w:ascii="Arial" w:hAnsi="Arial" w:cs="Arial"/>
        </w:rPr>
        <w:t xml:space="preserve"> - výsledok hospodárenia za účtovné obdobie po zdanení</w:t>
      </w:r>
    </w:p>
    <w:p w:rsidR="005568B1" w:rsidRPr="008C5621" w:rsidRDefault="005568B1" w:rsidP="005568B1">
      <w:pPr>
        <w:ind w:right="423"/>
        <w:jc w:val="both"/>
        <w:rPr>
          <w:rFonts w:ascii="Arial" w:hAnsi="Arial" w:cs="Arial"/>
        </w:rPr>
      </w:pPr>
    </w:p>
    <w:p w:rsidR="005568B1" w:rsidRDefault="005568B1" w:rsidP="005568B1">
      <w:pPr>
        <w:ind w:right="423"/>
        <w:jc w:val="both"/>
        <w:rPr>
          <w:rFonts w:ascii="Arial" w:hAnsi="Arial" w:cs="Arial"/>
          <w:smallCaps/>
          <w:color w:val="538135" w:themeColor="accent6" w:themeShade="BF"/>
          <w:sz w:val="36"/>
          <w:szCs w:val="36"/>
        </w:rPr>
      </w:pPr>
    </w:p>
    <w:p w:rsidR="005568B1" w:rsidRPr="008F2DF7" w:rsidRDefault="005568B1" w:rsidP="005568B1">
      <w:pPr>
        <w:ind w:right="423"/>
        <w:jc w:val="both"/>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plnenie plánu hospodárskeho výsledku</w:t>
      </w:r>
    </w:p>
    <w:p w:rsidR="005568B1" w:rsidRPr="008C5621" w:rsidRDefault="005568B1"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5000" w:type="pct"/>
        <w:tblCellMar>
          <w:left w:w="70" w:type="dxa"/>
          <w:right w:w="70" w:type="dxa"/>
        </w:tblCellMar>
        <w:tblLook w:val="04A0" w:firstRow="1" w:lastRow="0" w:firstColumn="1" w:lastColumn="0" w:noHBand="0" w:noVBand="1"/>
      </w:tblPr>
      <w:tblGrid>
        <w:gridCol w:w="3272"/>
        <w:gridCol w:w="1910"/>
        <w:gridCol w:w="2257"/>
        <w:gridCol w:w="1611"/>
      </w:tblGrid>
      <w:tr w:rsidR="005568B1" w:rsidRPr="008C5621" w:rsidTr="005568B1">
        <w:trPr>
          <w:trHeight w:val="270"/>
        </w:trPr>
        <w:tc>
          <w:tcPr>
            <w:tcW w:w="1808" w:type="pct"/>
            <w:tcBorders>
              <w:top w:val="single" w:sz="8" w:space="0" w:color="auto"/>
              <w:left w:val="single" w:sz="8" w:space="0" w:color="auto"/>
              <w:bottom w:val="nil"/>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divízia</w:t>
            </w:r>
          </w:p>
        </w:tc>
        <w:tc>
          <w:tcPr>
            <w:tcW w:w="1055" w:type="pct"/>
            <w:tcBorders>
              <w:top w:val="single" w:sz="8" w:space="0" w:color="auto"/>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plán 31.12.201</w:t>
            </w:r>
            <w:r>
              <w:rPr>
                <w:rFonts w:ascii="Myriad Pro" w:eastAsia="Times New Roman" w:hAnsi="Myriad Pro" w:cs="Arial"/>
                <w:sz w:val="20"/>
                <w:szCs w:val="20"/>
                <w:lang w:eastAsia="sk-SK"/>
              </w:rPr>
              <w:t>6</w:t>
            </w:r>
          </w:p>
        </w:tc>
        <w:tc>
          <w:tcPr>
            <w:tcW w:w="1247" w:type="pct"/>
            <w:tcBorders>
              <w:top w:val="single" w:sz="8" w:space="0" w:color="auto"/>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skut. 31.12.201</w:t>
            </w:r>
            <w:r>
              <w:rPr>
                <w:rFonts w:ascii="Myriad Pro" w:eastAsia="Times New Roman" w:hAnsi="Myriad Pro" w:cs="Arial"/>
                <w:sz w:val="20"/>
                <w:szCs w:val="20"/>
                <w:lang w:eastAsia="sk-SK"/>
              </w:rPr>
              <w:t>6</w:t>
            </w:r>
          </w:p>
        </w:tc>
        <w:tc>
          <w:tcPr>
            <w:tcW w:w="890" w:type="pct"/>
            <w:tcBorders>
              <w:top w:val="single" w:sz="8" w:space="0" w:color="auto"/>
              <w:left w:val="nil"/>
              <w:bottom w:val="nil"/>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rozdiel</w:t>
            </w:r>
          </w:p>
        </w:tc>
      </w:tr>
      <w:tr w:rsidR="005568B1" w:rsidRPr="008C5621" w:rsidTr="005568B1">
        <w:trPr>
          <w:trHeight w:val="285"/>
        </w:trPr>
        <w:tc>
          <w:tcPr>
            <w:tcW w:w="1808" w:type="pct"/>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 </w:t>
            </w:r>
          </w:p>
        </w:tc>
        <w:tc>
          <w:tcPr>
            <w:tcW w:w="1055" w:type="pct"/>
            <w:tcBorders>
              <w:top w:val="nil"/>
              <w:left w:val="nil"/>
              <w:bottom w:val="single" w:sz="8" w:space="0" w:color="auto"/>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 </w:t>
            </w:r>
          </w:p>
        </w:tc>
        <w:tc>
          <w:tcPr>
            <w:tcW w:w="1247" w:type="pct"/>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 </w:t>
            </w:r>
          </w:p>
        </w:tc>
        <w:tc>
          <w:tcPr>
            <w:tcW w:w="890" w:type="pct"/>
            <w:tcBorders>
              <w:top w:val="nil"/>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sidRPr="008C5621">
              <w:rPr>
                <w:rFonts w:ascii="Myriad Pro" w:eastAsia="Times New Roman" w:hAnsi="Myriad Pro" w:cs="Arial"/>
                <w:sz w:val="20"/>
                <w:szCs w:val="20"/>
                <w:lang w:eastAsia="sk-SK"/>
              </w:rPr>
              <w:t> </w:t>
            </w:r>
          </w:p>
        </w:tc>
      </w:tr>
      <w:tr w:rsidR="005568B1" w:rsidRPr="008C5621"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b/>
                <w:bCs/>
                <w:sz w:val="20"/>
                <w:szCs w:val="20"/>
                <w:lang w:eastAsia="sk-SK"/>
              </w:rPr>
            </w:pPr>
            <w:r w:rsidRPr="008C5621">
              <w:rPr>
                <w:rFonts w:ascii="Myriad Pro" w:eastAsia="Times New Roman" w:hAnsi="Myriad Pro" w:cs="Arial"/>
                <w:b/>
                <w:bCs/>
                <w:sz w:val="20"/>
                <w:szCs w:val="20"/>
                <w:lang w:eastAsia="sk-SK"/>
              </w:rPr>
              <w:t>ekonomická hrubý HV</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100,00</w:t>
            </w:r>
          </w:p>
        </w:tc>
        <w:tc>
          <w:tcPr>
            <w:tcW w:w="1247" w:type="pct"/>
            <w:tcBorders>
              <w:top w:val="single" w:sz="8" w:space="0" w:color="auto"/>
              <w:left w:val="nil"/>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-2 090,16</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-2 190,16</w:t>
            </w:r>
          </w:p>
        </w:tc>
      </w:tr>
      <w:tr w:rsidR="005568B1" w:rsidRPr="000B7BBC"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ekonomická čistý HV</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-115 776,00</w:t>
            </w:r>
          </w:p>
        </w:tc>
        <w:tc>
          <w:tcPr>
            <w:tcW w:w="1247"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-192 334,21</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-76 558,21</w:t>
            </w:r>
          </w:p>
        </w:tc>
      </w:tr>
      <w:tr w:rsidR="005568B1" w:rsidRPr="000B7BBC"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správy majetku</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1 025,00</w:t>
            </w:r>
          </w:p>
        </w:tc>
        <w:tc>
          <w:tcPr>
            <w:tcW w:w="1247"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45 148,09</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44 123,09</w:t>
            </w:r>
          </w:p>
        </w:tc>
      </w:tr>
      <w:tr w:rsidR="005568B1" w:rsidRPr="000B7BBC"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výroby a služieb</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38 749,00</w:t>
            </w:r>
          </w:p>
        </w:tc>
        <w:tc>
          <w:tcPr>
            <w:tcW w:w="1247"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128 216,47</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89 467,47</w:t>
            </w:r>
          </w:p>
        </w:tc>
      </w:tr>
      <w:tr w:rsidR="005568B1" w:rsidRPr="000B7BBC"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služieb rozvoja</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1 779,00</w:t>
            </w:r>
          </w:p>
        </w:tc>
        <w:tc>
          <w:tcPr>
            <w:tcW w:w="1247"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25 771,79</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23 992,79</w:t>
            </w:r>
          </w:p>
        </w:tc>
      </w:tr>
      <w:tr w:rsidR="005568B1" w:rsidRPr="000B7BBC" w:rsidTr="005568B1">
        <w:trPr>
          <w:trHeight w:val="255"/>
        </w:trPr>
        <w:tc>
          <w:tcPr>
            <w:tcW w:w="1808" w:type="pct"/>
            <w:tcBorders>
              <w:top w:val="nil"/>
              <w:left w:val="single" w:sz="8" w:space="0" w:color="auto"/>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tepelného hospodárstva</w:t>
            </w:r>
          </w:p>
        </w:tc>
        <w:tc>
          <w:tcPr>
            <w:tcW w:w="1055"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628 310,00</w:t>
            </w:r>
          </w:p>
        </w:tc>
        <w:tc>
          <w:tcPr>
            <w:tcW w:w="1247" w:type="pct"/>
            <w:tcBorders>
              <w:top w:val="nil"/>
              <w:left w:val="nil"/>
              <w:bottom w:val="single" w:sz="4"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726 154,89</w:t>
            </w:r>
          </w:p>
        </w:tc>
        <w:tc>
          <w:tcPr>
            <w:tcW w:w="890" w:type="pct"/>
            <w:tcBorders>
              <w:top w:val="nil"/>
              <w:left w:val="nil"/>
              <w:bottom w:val="single" w:sz="4"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97 844,89</w:t>
            </w:r>
          </w:p>
        </w:tc>
      </w:tr>
      <w:tr w:rsidR="005568B1" w:rsidRPr="000B7BBC" w:rsidTr="005568B1">
        <w:trPr>
          <w:trHeight w:val="270"/>
        </w:trPr>
        <w:tc>
          <w:tcPr>
            <w:tcW w:w="1808" w:type="pct"/>
            <w:tcBorders>
              <w:top w:val="nil"/>
              <w:left w:val="single" w:sz="8" w:space="0" w:color="auto"/>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útvar GR</w:t>
            </w:r>
          </w:p>
        </w:tc>
        <w:tc>
          <w:tcPr>
            <w:tcW w:w="1055" w:type="pct"/>
            <w:tcBorders>
              <w:top w:val="nil"/>
              <w:left w:val="nil"/>
              <w:bottom w:val="single" w:sz="8"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-143 254,00</w:t>
            </w:r>
          </w:p>
        </w:tc>
        <w:tc>
          <w:tcPr>
            <w:tcW w:w="1247" w:type="pct"/>
            <w:tcBorders>
              <w:top w:val="nil"/>
              <w:left w:val="nil"/>
              <w:bottom w:val="single" w:sz="8" w:space="0" w:color="auto"/>
              <w:right w:val="single" w:sz="4"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-75 160,14</w:t>
            </w:r>
          </w:p>
        </w:tc>
        <w:tc>
          <w:tcPr>
            <w:tcW w:w="890"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68 093,86</w:t>
            </w:r>
          </w:p>
        </w:tc>
      </w:tr>
      <w:tr w:rsidR="005568B1" w:rsidRPr="000B7BBC" w:rsidTr="005568B1">
        <w:trPr>
          <w:trHeight w:val="270"/>
        </w:trPr>
        <w:tc>
          <w:tcPr>
            <w:tcW w:w="1808" w:type="pct"/>
            <w:tcBorders>
              <w:top w:val="nil"/>
              <w:left w:val="single" w:sz="8" w:space="0" w:color="auto"/>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A.S. hrubý HV</w:t>
            </w:r>
          </w:p>
        </w:tc>
        <w:tc>
          <w:tcPr>
            <w:tcW w:w="1055"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526 709,00</w:t>
            </w:r>
          </w:p>
        </w:tc>
        <w:tc>
          <w:tcPr>
            <w:tcW w:w="1247"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848 040,94</w:t>
            </w:r>
          </w:p>
        </w:tc>
        <w:tc>
          <w:tcPr>
            <w:tcW w:w="890"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i/>
                <w:iCs/>
                <w:sz w:val="20"/>
                <w:szCs w:val="20"/>
                <w:lang w:eastAsia="sk-SK"/>
              </w:rPr>
            </w:pPr>
            <w:r>
              <w:rPr>
                <w:rFonts w:ascii="Myriad Pro" w:eastAsia="Times New Roman" w:hAnsi="Myriad Pro" w:cs="Arial"/>
                <w:i/>
                <w:iCs/>
                <w:sz w:val="20"/>
                <w:szCs w:val="20"/>
                <w:lang w:eastAsia="sk-SK"/>
              </w:rPr>
              <w:t>321 331,94</w:t>
            </w:r>
          </w:p>
        </w:tc>
      </w:tr>
      <w:tr w:rsidR="005568B1" w:rsidRPr="000B7BBC" w:rsidTr="005568B1">
        <w:trPr>
          <w:trHeight w:val="270"/>
        </w:trPr>
        <w:tc>
          <w:tcPr>
            <w:tcW w:w="1808" w:type="pct"/>
            <w:tcBorders>
              <w:top w:val="nil"/>
              <w:left w:val="single" w:sz="8" w:space="0" w:color="auto"/>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sidRPr="000B7BBC">
              <w:rPr>
                <w:rFonts w:ascii="Myriad Pro" w:eastAsia="Times New Roman" w:hAnsi="Myriad Pro" w:cs="Arial"/>
                <w:b/>
                <w:bCs/>
                <w:sz w:val="20"/>
                <w:szCs w:val="20"/>
                <w:lang w:eastAsia="sk-SK"/>
              </w:rPr>
              <w:t>A.S. čistý HV</w:t>
            </w:r>
          </w:p>
        </w:tc>
        <w:tc>
          <w:tcPr>
            <w:tcW w:w="1055"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sz w:val="20"/>
                <w:szCs w:val="20"/>
                <w:lang w:eastAsia="sk-SK"/>
              </w:rPr>
            </w:pPr>
            <w:r>
              <w:rPr>
                <w:rFonts w:ascii="Myriad Pro" w:eastAsia="Times New Roman" w:hAnsi="Myriad Pro" w:cs="Arial"/>
                <w:sz w:val="20"/>
                <w:szCs w:val="20"/>
                <w:lang w:eastAsia="sk-SK"/>
              </w:rPr>
              <w:t>410 833,00</w:t>
            </w:r>
          </w:p>
        </w:tc>
        <w:tc>
          <w:tcPr>
            <w:tcW w:w="1247"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Pr>
                <w:rFonts w:ascii="Myriad Pro" w:eastAsia="Times New Roman" w:hAnsi="Myriad Pro" w:cs="Arial"/>
                <w:b/>
                <w:bCs/>
                <w:sz w:val="20"/>
                <w:szCs w:val="20"/>
                <w:lang w:eastAsia="sk-SK"/>
              </w:rPr>
              <w:t>657 796,89</w:t>
            </w:r>
          </w:p>
        </w:tc>
        <w:tc>
          <w:tcPr>
            <w:tcW w:w="890" w:type="pct"/>
            <w:tcBorders>
              <w:top w:val="nil"/>
              <w:left w:val="nil"/>
              <w:bottom w:val="single" w:sz="8" w:space="0" w:color="auto"/>
              <w:right w:val="single" w:sz="8" w:space="0" w:color="auto"/>
            </w:tcBorders>
            <w:shd w:val="clear" w:color="auto" w:fill="auto"/>
            <w:noWrap/>
            <w:vAlign w:val="bottom"/>
            <w:hideMark/>
          </w:tcPr>
          <w:p w:rsidR="005568B1" w:rsidRPr="000B7BBC" w:rsidRDefault="005568B1" w:rsidP="005568B1">
            <w:pPr>
              <w:spacing w:after="0" w:line="240" w:lineRule="auto"/>
              <w:jc w:val="center"/>
              <w:rPr>
                <w:rFonts w:ascii="Myriad Pro" w:eastAsia="Times New Roman" w:hAnsi="Myriad Pro" w:cs="Arial"/>
                <w:b/>
                <w:bCs/>
                <w:sz w:val="20"/>
                <w:szCs w:val="20"/>
                <w:lang w:eastAsia="sk-SK"/>
              </w:rPr>
            </w:pPr>
            <w:r>
              <w:rPr>
                <w:rFonts w:ascii="Myriad Pro" w:eastAsia="Times New Roman" w:hAnsi="Myriad Pro" w:cs="Arial"/>
                <w:b/>
                <w:bCs/>
                <w:sz w:val="20"/>
                <w:szCs w:val="20"/>
                <w:lang w:eastAsia="sk-SK"/>
              </w:rPr>
              <w:t>246 963,89</w:t>
            </w:r>
          </w:p>
        </w:tc>
      </w:tr>
    </w:tbl>
    <w:p w:rsidR="005568B1" w:rsidRPr="000B7BBC" w:rsidRDefault="005568B1" w:rsidP="005568B1">
      <w:pPr>
        <w:ind w:right="423"/>
        <w:jc w:val="both"/>
        <w:rPr>
          <w:rFonts w:ascii="Myriad Pro" w:hAnsi="Myriad Pro" w:cs="Tahoma"/>
          <w:sz w:val="24"/>
          <w:szCs w:val="24"/>
        </w:rPr>
      </w:pPr>
    </w:p>
    <w:p w:rsidR="005568B1" w:rsidRPr="009A4FA8" w:rsidRDefault="005568B1" w:rsidP="005568B1">
      <w:pPr>
        <w:ind w:right="423"/>
        <w:jc w:val="both"/>
        <w:rPr>
          <w:rFonts w:ascii="Arial" w:hAnsi="Arial" w:cs="Arial"/>
          <w:sz w:val="24"/>
          <w:szCs w:val="24"/>
        </w:rPr>
      </w:pPr>
      <w:r w:rsidRPr="009A4FA8">
        <w:rPr>
          <w:rFonts w:ascii="Arial" w:hAnsi="Arial" w:cs="Arial"/>
          <w:sz w:val="24"/>
          <w:szCs w:val="24"/>
        </w:rPr>
        <w:t>V porovnaní s plánom dosiahla akciová spoločnosť v roku 2016 vyšší čistý zisk o 247 tis. EUR . Toto vyššie plnenie bolo dosiahnuté šetrením, resp. nečerpaním nákladov o 332,4 tis. EUR, t.j. o 1,9% , pri súčasnom neplnení výnosov o 85,4 tis. EUR, t.j. o 0,5%. Plán nesplnila ekonomická divízia, ktorá napriek plánovanému zisku 100 EUR dosiahla na stredisku Práčovňa a čistiareň stratu 2,1 tis. EUR. Ostatné divízie akciovej spoločnosti plán preplnili. Najväčšie prekročenie plánu dosiahla divízia tepelného hospodárstva, ktorá prekročila plánovaný zisk o 97,8 tis. EUR a divízia výroby a služieb, ktorá preplnila o 89,5 tis. EUR. Nižšia strata oproti plánovanej o 68,1 tis. EUR na Útvare GR bola dosiahnutá výnosom z predaja 2 bytov vo výške 60 tis. EUR, ako aj výnosmi z reklamy .</w:t>
      </w:r>
    </w:p>
    <w:p w:rsidR="005568B1" w:rsidRPr="008C5621" w:rsidRDefault="005568B1" w:rsidP="005568B1">
      <w:pPr>
        <w:ind w:right="423"/>
        <w:jc w:val="both"/>
        <w:rPr>
          <w:rFonts w:ascii="Myriad Pro" w:hAnsi="Myriad Pro" w:cs="Arial"/>
          <w:sz w:val="24"/>
          <w:szCs w:val="24"/>
        </w:rPr>
      </w:pPr>
    </w:p>
    <w:p w:rsidR="005568B1" w:rsidRPr="008F2DF7" w:rsidRDefault="005568B1" w:rsidP="005568B1">
      <w:pPr>
        <w:ind w:right="423"/>
        <w:jc w:val="both"/>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rentabilita čistého zisku</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Všetky ukazovatele rentability vplyvom pomalšieho rastu čistého zisku oproti rastu nákladov, výnosov a vlastného imania vykazujú medziročný pokles. Nákladová rentabilita vyjadruje , že spoločnosť získala z eura vložených nákladov 0,038 eur čistého zisku, rentabilita výnosov ukazuje, že euro výnosov prináša 0,037 eur čistého zisku a rentabilita vlastného kapitálu vyjadruje, že za euro investovaného kapitálu akcionári získali 0,108 eur čistého zisku.</w:t>
      </w:r>
    </w:p>
    <w:p w:rsidR="005568B1" w:rsidRPr="008C5621" w:rsidRDefault="005568B1" w:rsidP="005568B1">
      <w:pPr>
        <w:ind w:right="423"/>
        <w:jc w:val="both"/>
        <w:rPr>
          <w:rFonts w:ascii="Myriad Pro" w:hAnsi="Myriad Pro" w:cs="Tahoma"/>
          <w:sz w:val="24"/>
          <w:szCs w:val="24"/>
        </w:rPr>
      </w:pPr>
    </w:p>
    <w:tbl>
      <w:tblPr>
        <w:tblW w:w="8444" w:type="dxa"/>
        <w:tblCellMar>
          <w:left w:w="70" w:type="dxa"/>
          <w:right w:w="70" w:type="dxa"/>
        </w:tblCellMar>
        <w:tblLook w:val="04A0" w:firstRow="1" w:lastRow="0" w:firstColumn="1" w:lastColumn="0" w:noHBand="0" w:noVBand="1"/>
      </w:tblPr>
      <w:tblGrid>
        <w:gridCol w:w="3776"/>
        <w:gridCol w:w="1716"/>
        <w:gridCol w:w="1476"/>
        <w:gridCol w:w="1476"/>
      </w:tblGrid>
      <w:tr w:rsidR="005568B1" w:rsidRPr="008C5621" w:rsidTr="005568B1">
        <w:trPr>
          <w:trHeight w:val="270"/>
        </w:trPr>
        <w:tc>
          <w:tcPr>
            <w:tcW w:w="3776"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jc w:val="center"/>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rentabilita čistého zisku</w:t>
            </w:r>
          </w:p>
        </w:tc>
        <w:tc>
          <w:tcPr>
            <w:tcW w:w="171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76" w:type="dxa"/>
            <w:tcBorders>
              <w:top w:val="single" w:sz="8" w:space="0" w:color="auto"/>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476" w:type="dxa"/>
            <w:tcBorders>
              <w:top w:val="single" w:sz="8" w:space="0" w:color="auto"/>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nákladová (ROC)</w:t>
            </w:r>
          </w:p>
        </w:tc>
        <w:tc>
          <w:tcPr>
            <w:tcW w:w="171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3,70%</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3,89%</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3,80</w:t>
            </w:r>
            <w:r w:rsidRPr="008C5621">
              <w:rPr>
                <w:rFonts w:ascii="Arial" w:eastAsia="Times New Roman" w:hAnsi="Arial" w:cs="Arial"/>
                <w:sz w:val="20"/>
                <w:szCs w:val="20"/>
                <w:lang w:eastAsia="sk-SK"/>
              </w:rPr>
              <w:t>%</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Výnosová (ROR)</w:t>
            </w:r>
          </w:p>
        </w:tc>
        <w:tc>
          <w:tcPr>
            <w:tcW w:w="171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3,57%</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3,75%</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3,66</w:t>
            </w:r>
            <w:r w:rsidRPr="008C5621">
              <w:rPr>
                <w:rFonts w:ascii="Arial" w:eastAsia="Times New Roman" w:hAnsi="Arial" w:cs="Arial"/>
                <w:sz w:val="20"/>
                <w:szCs w:val="20"/>
                <w:lang w:eastAsia="sk-SK"/>
              </w:rPr>
              <w:t>%</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vlastného kapitálu (ROE)</w:t>
            </w:r>
          </w:p>
        </w:tc>
        <w:tc>
          <w:tcPr>
            <w:tcW w:w="1716"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10,41%</w:t>
            </w:r>
          </w:p>
        </w:tc>
        <w:tc>
          <w:tcPr>
            <w:tcW w:w="1476"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10,94%</w:t>
            </w:r>
          </w:p>
        </w:tc>
        <w:tc>
          <w:tcPr>
            <w:tcW w:w="1476"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10,78</w:t>
            </w:r>
            <w:r w:rsidRPr="008C5621">
              <w:rPr>
                <w:rFonts w:ascii="Arial" w:eastAsia="Times New Roman" w:hAnsi="Arial" w:cs="Arial"/>
                <w:sz w:val="20"/>
                <w:szCs w:val="20"/>
                <w:lang w:eastAsia="sk-SK"/>
              </w:rPr>
              <w:t>%</w:t>
            </w:r>
          </w:p>
        </w:tc>
      </w:tr>
    </w:tbl>
    <w:p w:rsidR="005568B1" w:rsidRPr="008C5621" w:rsidRDefault="005568B1" w:rsidP="005568B1">
      <w:pPr>
        <w:ind w:right="423"/>
        <w:jc w:val="both"/>
        <w:rPr>
          <w:rFonts w:ascii="Myriad Pro" w:hAnsi="Myriad Pro" w:cs="Tahoma"/>
          <w:sz w:val="24"/>
          <w:szCs w:val="24"/>
        </w:rPr>
      </w:pPr>
    </w:p>
    <w:p w:rsidR="005568B1" w:rsidRPr="009A4FA8" w:rsidRDefault="005568B1" w:rsidP="005568B1">
      <w:pPr>
        <w:spacing w:line="240" w:lineRule="auto"/>
        <w:rPr>
          <w:rFonts w:ascii="Arial" w:hAnsi="Arial" w:cs="Arial"/>
          <w:sz w:val="24"/>
          <w:szCs w:val="24"/>
        </w:rPr>
      </w:pPr>
      <w:r w:rsidRPr="009A4FA8">
        <w:rPr>
          <w:rFonts w:ascii="Arial" w:hAnsi="Arial" w:cs="Arial"/>
          <w:sz w:val="24"/>
          <w:szCs w:val="24"/>
        </w:rPr>
        <w:lastRenderedPageBreak/>
        <w:t>Nákladová rentabilita za rok 2016 počítaná z čistého zisku je o 0,09 p.b. nižšia ako v roku 2015, rentabilita výnosov za rok 2016 oproti roku 2015 poklesla o 0,09 p.b., rentabilita vlastného kapitálu je nižšia o 0,16 p.b..</w:t>
      </w:r>
    </w:p>
    <w:p w:rsidR="005568B1" w:rsidRPr="008C5621" w:rsidRDefault="005568B1" w:rsidP="005568B1">
      <w:pPr>
        <w:spacing w:line="240" w:lineRule="auto"/>
        <w:rPr>
          <w:rFonts w:ascii="Myriad Pro" w:hAnsi="Myriad Pro" w:cs="Arial"/>
          <w:sz w:val="24"/>
          <w:szCs w:val="24"/>
        </w:rPr>
      </w:pPr>
    </w:p>
    <w:p w:rsidR="005568B1" w:rsidRPr="008C5621" w:rsidRDefault="005568B1" w:rsidP="005568B1">
      <w:pPr>
        <w:spacing w:line="240" w:lineRule="auto"/>
        <w:rPr>
          <w:rFonts w:ascii="Myriad Pro" w:hAnsi="Myriad Pro" w:cs="Arial"/>
          <w:sz w:val="24"/>
          <w:szCs w:val="24"/>
        </w:rPr>
      </w:pPr>
    </w:p>
    <w:p w:rsidR="005568B1" w:rsidRPr="008C5621" w:rsidRDefault="005568B1" w:rsidP="005568B1">
      <w:pPr>
        <w:spacing w:line="240" w:lineRule="auto"/>
        <w:rPr>
          <w:rFonts w:ascii="Myriad Pro" w:hAnsi="Myriad Pro" w:cs="Arial"/>
          <w:sz w:val="24"/>
          <w:szCs w:val="24"/>
        </w:rPr>
      </w:pPr>
      <w:r>
        <w:rPr>
          <w:noProof/>
          <w:lang w:eastAsia="sk-SK"/>
        </w:rPr>
        <w:drawing>
          <wp:inline distT="0" distB="0" distL="0" distR="0" wp14:anchorId="164CDFC3" wp14:editId="1E310C04">
            <wp:extent cx="5760720" cy="227076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68B1" w:rsidRPr="008C5621" w:rsidRDefault="005568B1" w:rsidP="005568B1">
      <w:pPr>
        <w:ind w:right="423"/>
        <w:jc w:val="both"/>
        <w:rPr>
          <w:rFonts w:ascii="Myriad Pro" w:hAnsi="Myriad Pro" w:cs="Tahoma"/>
          <w:sz w:val="24"/>
          <w:szCs w:val="24"/>
        </w:rPr>
      </w:pPr>
    </w:p>
    <w:p w:rsidR="005568B1" w:rsidRPr="008F2DF7" w:rsidRDefault="005568B1" w:rsidP="005568B1">
      <w:pPr>
        <w:ind w:right="423"/>
        <w:jc w:val="both"/>
        <w:rPr>
          <w:rFonts w:ascii="Arial" w:hAnsi="Arial" w:cs="Arial"/>
          <w:smallCaps/>
          <w:color w:val="538135" w:themeColor="accent6" w:themeShade="BF"/>
          <w:sz w:val="36"/>
          <w:szCs w:val="36"/>
        </w:rPr>
      </w:pPr>
      <w:r w:rsidRPr="008F2DF7">
        <w:rPr>
          <w:rFonts w:ascii="Arial" w:hAnsi="Arial" w:cs="Arial"/>
          <w:smallCaps/>
          <w:color w:val="538135" w:themeColor="accent6" w:themeShade="BF"/>
          <w:sz w:val="36"/>
          <w:szCs w:val="36"/>
        </w:rPr>
        <w:t>návrh na rozdelenie použiteľného čistého zisku</w:t>
      </w:r>
    </w:p>
    <w:p w:rsidR="005568B1" w:rsidRPr="008C5621" w:rsidRDefault="005568B1" w:rsidP="005568B1">
      <w:pPr>
        <w:ind w:right="423"/>
        <w:jc w:val="both"/>
        <w:rPr>
          <w:rFonts w:ascii="Myriad Pro" w:hAnsi="Myriad Pro" w:cs="Tahoma"/>
          <w:sz w:val="24"/>
          <w:szCs w:val="24"/>
        </w:rPr>
      </w:pP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Predstavenstvo akciovej spoločnosti navrhuje dosiahnutý použiteľný zisk za rok 2016 vo výške 657 796,89 EUR rozdeliť nasledovne:</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1. prídel do sociálneho fondu</w:t>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t xml:space="preserve">  </w:t>
      </w:r>
      <w:r w:rsidRPr="009A4FA8">
        <w:rPr>
          <w:rFonts w:ascii="Arial" w:hAnsi="Arial" w:cs="Arial"/>
          <w:sz w:val="24"/>
          <w:szCs w:val="24"/>
        </w:rPr>
        <w:tab/>
        <w:t xml:space="preserve">  50 000,-</w:t>
      </w:r>
      <w:r w:rsidRPr="009A4FA8">
        <w:rPr>
          <w:rFonts w:ascii="Arial" w:hAnsi="Arial" w:cs="Arial"/>
          <w:sz w:val="24"/>
          <w:szCs w:val="24"/>
        </w:rPr>
        <w:tab/>
        <w:t>eur</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2. nerozdelený zisk</w:t>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r>
      <w:r w:rsidRPr="009A4FA8">
        <w:rPr>
          <w:rFonts w:ascii="Arial" w:hAnsi="Arial" w:cs="Arial"/>
          <w:sz w:val="24"/>
          <w:szCs w:val="24"/>
        </w:rPr>
        <w:tab/>
        <w:t xml:space="preserve">        </w:t>
      </w:r>
      <w:r w:rsidRPr="009A4FA8">
        <w:rPr>
          <w:rFonts w:ascii="Arial" w:hAnsi="Arial" w:cs="Arial"/>
          <w:sz w:val="24"/>
          <w:szCs w:val="24"/>
        </w:rPr>
        <w:tab/>
      </w:r>
      <w:r>
        <w:rPr>
          <w:rFonts w:ascii="Arial" w:hAnsi="Arial" w:cs="Arial"/>
          <w:sz w:val="24"/>
          <w:szCs w:val="24"/>
        </w:rPr>
        <w:tab/>
      </w:r>
      <w:r w:rsidRPr="009A4FA8">
        <w:rPr>
          <w:rFonts w:ascii="Arial" w:hAnsi="Arial" w:cs="Arial"/>
          <w:sz w:val="24"/>
          <w:szCs w:val="24"/>
        </w:rPr>
        <w:t>607 796,89</w:t>
      </w:r>
      <w:r w:rsidRPr="009A4FA8">
        <w:rPr>
          <w:rFonts w:ascii="Arial" w:hAnsi="Arial" w:cs="Arial"/>
          <w:sz w:val="24"/>
          <w:szCs w:val="24"/>
        </w:rPr>
        <w:tab/>
        <w:t>eur</w:t>
      </w:r>
    </w:p>
    <w:p w:rsidR="005568B1" w:rsidRPr="009A4FA8" w:rsidRDefault="005568B1" w:rsidP="005568B1">
      <w:pPr>
        <w:spacing w:line="240" w:lineRule="auto"/>
        <w:jc w:val="both"/>
        <w:rPr>
          <w:rFonts w:ascii="Arial" w:hAnsi="Arial" w:cs="Arial"/>
          <w:sz w:val="24"/>
          <w:szCs w:val="24"/>
        </w:rPr>
      </w:pPr>
    </w:p>
    <w:p w:rsidR="005568B1" w:rsidRPr="008C5621" w:rsidRDefault="005568B1" w:rsidP="005568B1">
      <w:pPr>
        <w:spacing w:line="240" w:lineRule="auto"/>
        <w:jc w:val="both"/>
        <w:rPr>
          <w:rFonts w:ascii="Myriad Pro" w:hAnsi="Myriad Pro" w:cs="Arial"/>
          <w:sz w:val="24"/>
          <w:szCs w:val="24"/>
        </w:rPr>
      </w:pPr>
      <w:r>
        <w:rPr>
          <w:rFonts w:ascii="Myriad Pro" w:hAnsi="Myriad Pro" w:cs="Arial"/>
          <w:noProof/>
          <w:sz w:val="24"/>
          <w:szCs w:val="24"/>
          <w:lang w:eastAsia="sk-SK"/>
        </w:rPr>
        <w:drawing>
          <wp:inline distT="0" distB="0" distL="0" distR="0" wp14:anchorId="5AA6B691" wp14:editId="48B6AC98">
            <wp:extent cx="4639310" cy="2743200"/>
            <wp:effectExtent l="0" t="0" r="889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2743200"/>
                    </a:xfrm>
                    <a:prstGeom prst="rect">
                      <a:avLst/>
                    </a:prstGeom>
                    <a:noFill/>
                  </pic:spPr>
                </pic:pic>
              </a:graphicData>
            </a:graphic>
          </wp:inline>
        </w:drawing>
      </w:r>
    </w:p>
    <w:p w:rsidR="005568B1" w:rsidRDefault="005568B1" w:rsidP="005568B1">
      <w:pPr>
        <w:ind w:right="423"/>
        <w:jc w:val="both"/>
        <w:rPr>
          <w:rFonts w:ascii="Myriad Pro" w:hAnsi="Myriad Pro" w:cs="Tahoma"/>
          <w:sz w:val="24"/>
          <w:szCs w:val="24"/>
        </w:rPr>
      </w:pPr>
    </w:p>
    <w:p w:rsidR="005568B1" w:rsidRPr="004D5EBF"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výnosy</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 xml:space="preserve">Za obdobie od 01.01.2016 do 31.12.2016 dosiahla akciová spoločnosť výnosy vo výške 17 977,5 tis. EUR, čo je o 744,4 tis. EUR, t.j. o 4,3 % viac ako v roku 2015.  </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 xml:space="preserve">95,3 % z výnosov predstavujú tržby z predaja služieb. Za rok 2016 tieto výnosy dosiahli hodnotu 17 136 tis. EUR, teda o 460,5 tis. EUR vyššiu ako v predchádzajúcom roku. </w:t>
      </w:r>
    </w:p>
    <w:p w:rsidR="005568B1" w:rsidRDefault="005568B1" w:rsidP="005568B1">
      <w:pPr>
        <w:spacing w:line="240" w:lineRule="auto"/>
        <w:jc w:val="both"/>
        <w:rPr>
          <w:rFonts w:ascii="Myriad Pro" w:hAnsi="Myriad Pro" w:cs="Arial"/>
          <w:sz w:val="24"/>
          <w:szCs w:val="24"/>
        </w:rPr>
      </w:pPr>
      <w:r>
        <w:rPr>
          <w:rFonts w:ascii="Myriad Pro" w:hAnsi="Myriad Pro" w:cs="Arial"/>
          <w:noProof/>
          <w:sz w:val="24"/>
          <w:szCs w:val="24"/>
          <w:lang w:eastAsia="sk-SK"/>
        </w:rPr>
        <w:tab/>
      </w:r>
      <w:r>
        <w:rPr>
          <w:rFonts w:ascii="Myriad Pro" w:hAnsi="Myriad Pro" w:cs="Arial"/>
          <w:noProof/>
          <w:sz w:val="24"/>
          <w:szCs w:val="24"/>
          <w:lang w:eastAsia="sk-SK"/>
        </w:rPr>
        <w:drawing>
          <wp:inline distT="0" distB="0" distL="0" distR="0" wp14:anchorId="23082DD8" wp14:editId="0BD37D28">
            <wp:extent cx="4572635" cy="255270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552700"/>
                    </a:xfrm>
                    <a:prstGeom prst="rect">
                      <a:avLst/>
                    </a:prstGeom>
                    <a:noFill/>
                  </pic:spPr>
                </pic:pic>
              </a:graphicData>
            </a:graphic>
          </wp:inline>
        </w:drawing>
      </w:r>
    </w:p>
    <w:p w:rsidR="005568B1" w:rsidRPr="009A4FA8" w:rsidRDefault="005568B1" w:rsidP="005568B1">
      <w:pPr>
        <w:jc w:val="both"/>
        <w:rPr>
          <w:rFonts w:ascii="Arial" w:hAnsi="Arial" w:cs="Arial"/>
          <w:sz w:val="24"/>
          <w:szCs w:val="24"/>
        </w:rPr>
      </w:pPr>
      <w:r w:rsidRPr="009A4FA8">
        <w:rPr>
          <w:rFonts w:ascii="Arial" w:hAnsi="Arial" w:cs="Arial"/>
          <w:sz w:val="24"/>
          <w:szCs w:val="24"/>
        </w:rPr>
        <w:t>Najvyšší podiel na týchto tržbách majú tržby z výroby tepla, ktoré dosiahli úroveň          13 689,2 tis. EUR , čo je o 138,2 tis. EUR viac ako v roku 2015. Druhou najväčšou položkou tržieb z predaja služieb sú tržby za služby na rozúčtovanie, tzn. za služby spojené s bývaním , ktoré akciová spoločnosť v rámci výkonu správy každoročne vyúčtováva vlastníkom spravovaných nehnuteľností (dozor a servis výťahov, voda na ohrev). Za rok 2016 tieto tržby dosiahli výšku 1 223,4 tis. EUR, čo je o 23,3 tis. EUR menej ako v predchádzajúcom roku. Tržby zo zákazok realizovaných v oblasti údržby spravovaných nehnuteľností dosiahli za rok 2016 úroveň 1 216,3 tis. EUR, čo je o 315,8 tis. EUR, t.j. o 35,1% viac ako v roku 2015. Tržby za správu domového a bytového fondu sa realizovali v objeme 754,7 tis. EUR, čo znamená, že vzrástli oproti minulému roku o 18,7 tis. EUR, t.j. o 2,5 %. Ostatné tržby – z práčovne, z dopravy, za reklamu a ostatné služby dosiahli za rok 2016 hodnotu 252,4 tis. EUR, čo je o 11,1 tis. EUR viac ako v predchádzajúcom roku.</w:t>
      </w:r>
    </w:p>
    <w:p w:rsidR="005568B1" w:rsidRPr="008C5621" w:rsidRDefault="005568B1" w:rsidP="005568B1">
      <w:pPr>
        <w:jc w:val="both"/>
        <w:rPr>
          <w:rFonts w:ascii="Myriad Pro" w:hAnsi="Myriad Pro" w:cs="Arial"/>
          <w:b/>
          <w:smallCaps/>
          <w:color w:val="385623" w:themeColor="accent6" w:themeShade="80"/>
          <w:sz w:val="32"/>
          <w:szCs w:val="32"/>
        </w:rPr>
      </w:pPr>
      <w:r>
        <w:rPr>
          <w:noProof/>
          <w:lang w:eastAsia="sk-SK"/>
        </w:rPr>
        <w:lastRenderedPageBreak/>
        <w:tab/>
      </w:r>
      <w:r>
        <w:rPr>
          <w:noProof/>
          <w:lang w:eastAsia="sk-SK"/>
        </w:rPr>
        <w:drawing>
          <wp:inline distT="0" distB="0" distL="0" distR="0" wp14:anchorId="4B751829" wp14:editId="662CB250">
            <wp:extent cx="4572635" cy="2409825"/>
            <wp:effectExtent l="0" t="0" r="0" b="952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409825"/>
                    </a:xfrm>
                    <a:prstGeom prst="rect">
                      <a:avLst/>
                    </a:prstGeom>
                    <a:noFill/>
                  </pic:spPr>
                </pic:pic>
              </a:graphicData>
            </a:graphic>
          </wp:inline>
        </w:drawing>
      </w:r>
    </w:p>
    <w:p w:rsidR="00DD3BB7" w:rsidRDefault="00DD3BB7" w:rsidP="005568B1">
      <w:pPr>
        <w:ind w:right="423"/>
        <w:jc w:val="both"/>
        <w:rPr>
          <w:rFonts w:ascii="MyriadPro-Regular" w:hAnsi="MyriadPro-Regular" w:cs="MyriadPro-Regular"/>
        </w:rPr>
      </w:pPr>
    </w:p>
    <w:p w:rsidR="005568B1" w:rsidRPr="008C5621" w:rsidRDefault="005568B1"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8222" w:type="dxa"/>
        <w:tblCellMar>
          <w:left w:w="70" w:type="dxa"/>
          <w:right w:w="70" w:type="dxa"/>
        </w:tblCellMar>
        <w:tblLook w:val="04A0" w:firstRow="1" w:lastRow="0" w:firstColumn="1" w:lastColumn="0" w:noHBand="0" w:noVBand="1"/>
      </w:tblPr>
      <w:tblGrid>
        <w:gridCol w:w="3776"/>
        <w:gridCol w:w="1476"/>
        <w:gridCol w:w="1476"/>
        <w:gridCol w:w="1494"/>
      </w:tblGrid>
      <w:tr w:rsidR="005568B1" w:rsidRPr="008C5621" w:rsidTr="005568B1">
        <w:trPr>
          <w:trHeight w:val="270"/>
        </w:trPr>
        <w:tc>
          <w:tcPr>
            <w:tcW w:w="3776"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tržby</w:t>
            </w:r>
          </w:p>
        </w:tc>
        <w:tc>
          <w:tcPr>
            <w:tcW w:w="1476"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494"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z výroby tepla</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13 414 432</w:t>
            </w:r>
          </w:p>
        </w:tc>
        <w:tc>
          <w:tcPr>
            <w:tcW w:w="1476"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13 550 973</w:t>
            </w:r>
          </w:p>
        </w:tc>
        <w:tc>
          <w:tcPr>
            <w:tcW w:w="1494"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13 689 220</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za správu bytov a NP</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717 417</w:t>
            </w:r>
          </w:p>
        </w:tc>
        <w:tc>
          <w:tcPr>
            <w:tcW w:w="1476"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735 994</w:t>
            </w:r>
          </w:p>
        </w:tc>
        <w:tc>
          <w:tcPr>
            <w:tcW w:w="1494"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754 700</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z údržby</w:t>
            </w:r>
          </w:p>
        </w:tc>
        <w:tc>
          <w:tcPr>
            <w:tcW w:w="1476" w:type="dxa"/>
            <w:tcBorders>
              <w:top w:val="nil"/>
              <w:left w:val="nil"/>
              <w:bottom w:val="nil"/>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678 927</w:t>
            </w:r>
          </w:p>
        </w:tc>
        <w:tc>
          <w:tcPr>
            <w:tcW w:w="1476" w:type="dxa"/>
            <w:tcBorders>
              <w:top w:val="nil"/>
              <w:left w:val="nil"/>
              <w:bottom w:val="nil"/>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900 460</w:t>
            </w:r>
          </w:p>
        </w:tc>
        <w:tc>
          <w:tcPr>
            <w:tcW w:w="1494" w:type="dxa"/>
            <w:tcBorders>
              <w:top w:val="nil"/>
              <w:left w:val="nil"/>
              <w:bottom w:val="nil"/>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1 216 264</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za služby na rozúčtovanie</w:t>
            </w:r>
          </w:p>
        </w:tc>
        <w:tc>
          <w:tcPr>
            <w:tcW w:w="1476" w:type="dxa"/>
            <w:tcBorders>
              <w:top w:val="single" w:sz="4" w:space="0" w:color="auto"/>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1 282 968</w:t>
            </w:r>
          </w:p>
        </w:tc>
        <w:tc>
          <w:tcPr>
            <w:tcW w:w="1476" w:type="dxa"/>
            <w:tcBorders>
              <w:top w:val="single" w:sz="4" w:space="0" w:color="auto"/>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1 246 674</w:t>
            </w:r>
          </w:p>
        </w:tc>
        <w:tc>
          <w:tcPr>
            <w:tcW w:w="1494" w:type="dxa"/>
            <w:tcBorders>
              <w:top w:val="single" w:sz="4" w:space="0" w:color="auto"/>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1 223 382</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ostatné tržby za služby</w:t>
            </w:r>
          </w:p>
        </w:tc>
        <w:tc>
          <w:tcPr>
            <w:tcW w:w="1476" w:type="dxa"/>
            <w:tcBorders>
              <w:top w:val="nil"/>
              <w:left w:val="nil"/>
              <w:bottom w:val="nil"/>
              <w:right w:val="single" w:sz="8" w:space="0" w:color="auto"/>
            </w:tcBorders>
            <w:shd w:val="clear" w:color="000000" w:fill="FFCC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356 109</w:t>
            </w:r>
          </w:p>
        </w:tc>
        <w:tc>
          <w:tcPr>
            <w:tcW w:w="1476" w:type="dxa"/>
            <w:tcBorders>
              <w:top w:val="nil"/>
              <w:left w:val="nil"/>
              <w:bottom w:val="nil"/>
              <w:right w:val="single" w:sz="8" w:space="0" w:color="auto"/>
            </w:tcBorders>
            <w:shd w:val="clear" w:color="000000" w:fill="FFCC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241 292</w:t>
            </w:r>
          </w:p>
        </w:tc>
        <w:tc>
          <w:tcPr>
            <w:tcW w:w="1494" w:type="dxa"/>
            <w:tcBorders>
              <w:top w:val="nil"/>
              <w:left w:val="nil"/>
              <w:bottom w:val="nil"/>
              <w:right w:val="single" w:sz="8" w:space="0" w:color="auto"/>
            </w:tcBorders>
            <w:shd w:val="clear" w:color="000000" w:fill="FFCC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252 382</w:t>
            </w:r>
          </w:p>
        </w:tc>
      </w:tr>
      <w:tr w:rsidR="005568B1" w:rsidRPr="008C5621" w:rsidTr="005568B1">
        <w:trPr>
          <w:trHeight w:val="270"/>
        </w:trPr>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spolu tržby z predaja služieb</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16 449 853</w:t>
            </w:r>
          </w:p>
        </w:tc>
        <w:tc>
          <w:tcPr>
            <w:tcW w:w="1476" w:type="dxa"/>
            <w:tcBorders>
              <w:top w:val="single" w:sz="4"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16</w:t>
            </w:r>
            <w:r>
              <w:rPr>
                <w:rFonts w:ascii="Arial" w:eastAsia="Times New Roman" w:hAnsi="Arial" w:cs="Arial"/>
                <w:b/>
                <w:bCs/>
                <w:sz w:val="20"/>
                <w:szCs w:val="20"/>
                <w:lang w:eastAsia="sk-SK"/>
              </w:rPr>
              <w:t> 675 393</w:t>
            </w:r>
          </w:p>
        </w:tc>
        <w:tc>
          <w:tcPr>
            <w:tcW w:w="1494" w:type="dxa"/>
            <w:tcBorders>
              <w:top w:val="single" w:sz="4"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17 135 948</w:t>
            </w:r>
          </w:p>
        </w:tc>
      </w:tr>
    </w:tbl>
    <w:p w:rsidR="005568B1" w:rsidRPr="008C5621" w:rsidRDefault="005568B1" w:rsidP="005568B1">
      <w:pPr>
        <w:ind w:right="423"/>
        <w:jc w:val="both"/>
        <w:rPr>
          <w:rFonts w:ascii="Myriad Pro" w:hAnsi="Myriad Pro" w:cs="Tahoma"/>
          <w:sz w:val="24"/>
          <w:szCs w:val="24"/>
        </w:rPr>
      </w:pP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Aktivácia a zmena stavu nedokončenej výroby zvýšila celkové výnosy o 617,6 tis. EUR, čo je oproti predchádzajúcemu roku nárast o 234,5 tis. EUR. Iné výnosy z hospodárskej činnosti (z predaja majetku, poplatky, náhrady od poisťovne) sa realizovali vo výške 223,9 tis. EUR, čo je o 76,6 tis. EUR viac ako v roku 2015. Finančné výnosy dosiahli výšku 64 EUR, čo je medziročný pokles o 27,3 tis. EUR, ktorý bol spôsobený účtovaním o tržbách z predaja 8 ks vlastných akcií v roku 2015.</w:t>
      </w:r>
    </w:p>
    <w:p w:rsidR="005568B1" w:rsidRPr="008C5621" w:rsidRDefault="005568B1" w:rsidP="005568B1">
      <w:pPr>
        <w:spacing w:line="240" w:lineRule="auto"/>
        <w:jc w:val="both"/>
        <w:rPr>
          <w:rFonts w:ascii="Myriad Pro" w:hAnsi="Myriad Pro" w:cs="Arial"/>
          <w:sz w:val="24"/>
          <w:szCs w:val="24"/>
        </w:rPr>
      </w:pPr>
    </w:p>
    <w:p w:rsidR="005568B1" w:rsidRPr="004D5EBF"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pridaná hodnota a produktivita práce</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Za rok 2016 bola dosiahnutá pridaná hodnota vo výške 4 457 tis. EUR, čo je o 54,6 tis. EUR viac ako v roku 2015. Čistá pridaná hodnota bola vplyvom rastu osobných nákladov nižšia o 44,5 tis. EUR, t.j. o 3,4 %.</w:t>
      </w:r>
    </w:p>
    <w:p w:rsidR="005568B1" w:rsidRPr="008C5621" w:rsidRDefault="005568B1" w:rsidP="005568B1">
      <w:pPr>
        <w:spacing w:line="240" w:lineRule="auto"/>
        <w:jc w:val="both"/>
        <w:rPr>
          <w:rFonts w:ascii="Myriad Pro" w:hAnsi="Myriad Pro" w:cs="Arial"/>
          <w:sz w:val="24"/>
          <w:szCs w:val="24"/>
        </w:rPr>
      </w:pPr>
      <w:r>
        <w:rPr>
          <w:noProof/>
          <w:lang w:eastAsia="sk-SK"/>
        </w:rPr>
        <w:lastRenderedPageBreak/>
        <w:drawing>
          <wp:inline distT="0" distB="0" distL="0" distR="0" wp14:anchorId="5BC18399" wp14:editId="29E26AF0">
            <wp:extent cx="5760720" cy="18288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Myriad Pro" w:hAnsi="Myriad Pro" w:cs="Arial"/>
          <w:sz w:val="24"/>
          <w:szCs w:val="24"/>
        </w:rPr>
        <w:tab/>
      </w:r>
    </w:p>
    <w:p w:rsidR="005568B1" w:rsidRPr="008C5621" w:rsidRDefault="005568B1" w:rsidP="005568B1">
      <w:pPr>
        <w:ind w:right="423"/>
        <w:jc w:val="both"/>
        <w:rPr>
          <w:rFonts w:ascii="MyriadPro-Regular" w:hAnsi="MyriadPro-Regular" w:cs="MyriadPro-Regular"/>
        </w:rPr>
      </w:pPr>
      <w:r w:rsidRPr="008C5621">
        <w:rPr>
          <w:rFonts w:ascii="MyriadPro-Regular" w:hAnsi="MyriadPro-Regular" w:cs="MyriadPro-Regular"/>
        </w:rPr>
        <w:t>Údaje sú uvádzané v €</w:t>
      </w:r>
    </w:p>
    <w:tbl>
      <w:tblPr>
        <w:tblW w:w="8404" w:type="dxa"/>
        <w:tblCellMar>
          <w:left w:w="70" w:type="dxa"/>
          <w:right w:w="70" w:type="dxa"/>
        </w:tblCellMar>
        <w:tblLook w:val="04A0" w:firstRow="1" w:lastRow="0" w:firstColumn="1" w:lastColumn="0" w:noHBand="0" w:noVBand="1"/>
      </w:tblPr>
      <w:tblGrid>
        <w:gridCol w:w="3760"/>
        <w:gridCol w:w="1708"/>
        <w:gridCol w:w="1468"/>
        <w:gridCol w:w="1468"/>
      </w:tblGrid>
      <w:tr w:rsidR="005568B1" w:rsidRPr="008C5621" w:rsidTr="005568B1">
        <w:trPr>
          <w:trHeight w:val="270"/>
        </w:trPr>
        <w:tc>
          <w:tcPr>
            <w:tcW w:w="3760"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4"/>
                <w:szCs w:val="24"/>
                <w:lang w:eastAsia="sk-SK"/>
              </w:rPr>
            </w:pPr>
          </w:p>
        </w:tc>
        <w:tc>
          <w:tcPr>
            <w:tcW w:w="170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pridaná hodnota</w:t>
            </w:r>
          </w:p>
        </w:tc>
        <w:tc>
          <w:tcPr>
            <w:tcW w:w="1708"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4 372 163</w:t>
            </w:r>
          </w:p>
        </w:tc>
        <w:tc>
          <w:tcPr>
            <w:tcW w:w="1468"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4 402 443</w:t>
            </w:r>
          </w:p>
        </w:tc>
        <w:tc>
          <w:tcPr>
            <w:tcW w:w="1468"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4 456 946</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 osobné náklady</w:t>
            </w:r>
          </w:p>
        </w:tc>
        <w:tc>
          <w:tcPr>
            <w:tcW w:w="170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3 031 393</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2 994 142</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3 093 751</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-dane a poplatky</w:t>
            </w:r>
          </w:p>
        </w:tc>
        <w:tc>
          <w:tcPr>
            <w:tcW w:w="1708" w:type="dxa"/>
            <w:tcBorders>
              <w:top w:val="nil"/>
              <w:left w:val="nil"/>
              <w:bottom w:val="nil"/>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86 585</w:t>
            </w:r>
          </w:p>
        </w:tc>
        <w:tc>
          <w:tcPr>
            <w:tcW w:w="1468" w:type="dxa"/>
            <w:tcBorders>
              <w:top w:val="nil"/>
              <w:left w:val="nil"/>
              <w:bottom w:val="nil"/>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81 151</w:t>
            </w:r>
          </w:p>
        </w:tc>
        <w:tc>
          <w:tcPr>
            <w:tcW w:w="1468" w:type="dxa"/>
            <w:tcBorders>
              <w:top w:val="nil"/>
              <w:left w:val="nil"/>
              <w:bottom w:val="nil"/>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80 561</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čistá pridaná hodnota</w:t>
            </w:r>
          </w:p>
        </w:tc>
        <w:tc>
          <w:tcPr>
            <w:tcW w:w="1708" w:type="dxa"/>
            <w:tcBorders>
              <w:top w:val="single" w:sz="8" w:space="0" w:color="auto"/>
              <w:left w:val="nil"/>
              <w:bottom w:val="single" w:sz="8"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1 254 185</w:t>
            </w:r>
          </w:p>
        </w:tc>
        <w:tc>
          <w:tcPr>
            <w:tcW w:w="1468" w:type="dxa"/>
            <w:tcBorders>
              <w:top w:val="single" w:sz="8" w:space="0" w:color="auto"/>
              <w:left w:val="nil"/>
              <w:bottom w:val="single" w:sz="8"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1 327 150</w:t>
            </w:r>
          </w:p>
        </w:tc>
        <w:tc>
          <w:tcPr>
            <w:tcW w:w="1468" w:type="dxa"/>
            <w:tcBorders>
              <w:top w:val="single" w:sz="8" w:space="0" w:color="auto"/>
              <w:left w:val="nil"/>
              <w:bottom w:val="single" w:sz="8"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1 282 634</w:t>
            </w:r>
          </w:p>
        </w:tc>
      </w:tr>
    </w:tbl>
    <w:p w:rsidR="005568B1" w:rsidRPr="008C5621" w:rsidRDefault="005568B1" w:rsidP="005568B1">
      <w:pPr>
        <w:rPr>
          <w:rFonts w:ascii="Myriad Pro" w:hAnsi="Myriad Pro" w:cs="Arial"/>
          <w:b/>
          <w:smallCaps/>
          <w:color w:val="385623" w:themeColor="accent6" w:themeShade="80"/>
          <w:sz w:val="32"/>
          <w:szCs w:val="32"/>
        </w:rPr>
      </w:pPr>
    </w:p>
    <w:p w:rsidR="005568B1" w:rsidRPr="008C5621" w:rsidRDefault="005568B1" w:rsidP="005568B1">
      <w:pPr>
        <w:ind w:right="423"/>
        <w:jc w:val="both"/>
        <w:rPr>
          <w:rFonts w:ascii="Myriad Pro" w:hAnsi="Myriad Pro" w:cs="Tahoma"/>
          <w:sz w:val="24"/>
          <w:szCs w:val="24"/>
        </w:rPr>
      </w:pPr>
    </w:p>
    <w:p w:rsidR="005568B1" w:rsidRDefault="005568B1" w:rsidP="005568B1">
      <w:pPr>
        <w:rPr>
          <w:rFonts w:ascii="Myriad Pro" w:hAnsi="Myriad Pro" w:cs="Tahoma"/>
          <w:sz w:val="24"/>
          <w:szCs w:val="24"/>
        </w:rPr>
      </w:pPr>
      <w:r>
        <w:rPr>
          <w:noProof/>
          <w:lang w:eastAsia="sk-SK"/>
        </w:rPr>
        <w:drawing>
          <wp:inline distT="0" distB="0" distL="0" distR="0" wp14:anchorId="6E2D314E" wp14:editId="56C97F69">
            <wp:extent cx="5760720" cy="262636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68B1" w:rsidRPr="008C5621" w:rsidRDefault="005568B1" w:rsidP="005568B1">
      <w:pPr>
        <w:rPr>
          <w:rFonts w:ascii="Myriad Pro" w:hAnsi="Myriad Pro" w:cs="Tahoma"/>
          <w:sz w:val="24"/>
          <w:szCs w:val="24"/>
        </w:rPr>
      </w:pPr>
    </w:p>
    <w:tbl>
      <w:tblPr>
        <w:tblW w:w="8404" w:type="dxa"/>
        <w:tblCellMar>
          <w:left w:w="70" w:type="dxa"/>
          <w:right w:w="70" w:type="dxa"/>
        </w:tblCellMar>
        <w:tblLook w:val="04A0" w:firstRow="1" w:lastRow="0" w:firstColumn="1" w:lastColumn="0" w:noHBand="0" w:noVBand="1"/>
      </w:tblPr>
      <w:tblGrid>
        <w:gridCol w:w="3760"/>
        <w:gridCol w:w="1708"/>
        <w:gridCol w:w="1468"/>
        <w:gridCol w:w="1468"/>
      </w:tblGrid>
      <w:tr w:rsidR="005568B1" w:rsidRPr="008C5621" w:rsidTr="005568B1">
        <w:trPr>
          <w:trHeight w:val="270"/>
        </w:trPr>
        <w:tc>
          <w:tcPr>
            <w:tcW w:w="3760"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4"/>
                <w:szCs w:val="24"/>
                <w:lang w:eastAsia="sk-SK"/>
              </w:rPr>
            </w:pPr>
          </w:p>
        </w:tc>
        <w:tc>
          <w:tcPr>
            <w:tcW w:w="170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 xml:space="preserve">priemerný prepočítaný stav </w:t>
            </w:r>
          </w:p>
        </w:tc>
        <w:tc>
          <w:tcPr>
            <w:tcW w:w="170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191</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184</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 xml:space="preserve">183 </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pridaná hodnota</w:t>
            </w:r>
          </w:p>
        </w:tc>
        <w:tc>
          <w:tcPr>
            <w:tcW w:w="170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4 372 163</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4 402 443</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4 456 946</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pridaná hodnota na zamestnanca</w:t>
            </w:r>
          </w:p>
        </w:tc>
        <w:tc>
          <w:tcPr>
            <w:tcW w:w="1708"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22 891</w:t>
            </w:r>
          </w:p>
        </w:tc>
        <w:tc>
          <w:tcPr>
            <w:tcW w:w="1468"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23 926</w:t>
            </w:r>
          </w:p>
        </w:tc>
        <w:tc>
          <w:tcPr>
            <w:tcW w:w="1468"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24 355</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obrat (výroba + tržby za tovar)</w:t>
            </w:r>
          </w:p>
        </w:tc>
        <w:tc>
          <w:tcPr>
            <w:tcW w:w="170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16 932 770</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17 058 508</w:t>
            </w:r>
          </w:p>
        </w:tc>
        <w:tc>
          <w:tcPr>
            <w:tcW w:w="1468" w:type="dxa"/>
            <w:tcBorders>
              <w:top w:val="nil"/>
              <w:left w:val="nil"/>
              <w:bottom w:val="single" w:sz="4"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17 753 593</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obrat na zamestnanca</w:t>
            </w:r>
          </w:p>
        </w:tc>
        <w:tc>
          <w:tcPr>
            <w:tcW w:w="1708"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88 653</w:t>
            </w:r>
          </w:p>
        </w:tc>
        <w:tc>
          <w:tcPr>
            <w:tcW w:w="1468"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92 709</w:t>
            </w:r>
          </w:p>
        </w:tc>
        <w:tc>
          <w:tcPr>
            <w:tcW w:w="1468" w:type="dxa"/>
            <w:tcBorders>
              <w:top w:val="nil"/>
              <w:left w:val="nil"/>
              <w:bottom w:val="single" w:sz="8"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97 014</w:t>
            </w:r>
          </w:p>
        </w:tc>
      </w:tr>
    </w:tbl>
    <w:p w:rsidR="005568B1" w:rsidRPr="008C5621" w:rsidRDefault="005568B1" w:rsidP="005568B1">
      <w:pPr>
        <w:rPr>
          <w:rFonts w:ascii="Myriad Pro" w:hAnsi="Myriad Pro" w:cs="Tahoma"/>
          <w:sz w:val="24"/>
          <w:szCs w:val="24"/>
        </w:rPr>
      </w:pP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lastRenderedPageBreak/>
        <w:t>Pridaná hodnota na zamestnanca vplyvom poklesu počtu zamestnancov ako aj nárastu celkovej pridanej hodnoty medziročne vzrástla o 428,58 EUR na zamestnanca, t.j. o 1,8%, obrat na zamestnanca vplyvom rastu obratu a zároveň poklesu počtu zamestnancov vzrástol o 4 304,89 EUR, čo predstavuje medziročný nárast o 4,6%.</w:t>
      </w:r>
    </w:p>
    <w:p w:rsidR="005568B1" w:rsidRPr="008C5621" w:rsidRDefault="005568B1" w:rsidP="005568B1">
      <w:pPr>
        <w:rPr>
          <w:rFonts w:ascii="Myriad Pro" w:hAnsi="Myriad Pro" w:cs="Tahoma"/>
          <w:sz w:val="24"/>
          <w:szCs w:val="24"/>
        </w:rPr>
      </w:pPr>
    </w:p>
    <w:p w:rsidR="005568B1" w:rsidRPr="004D5EBF"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náklady</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 xml:space="preserve">Za obdobie roka 2016 boli čerpané náklady v celkovej výške 17 319,7 tis. EUR, teda o 732 tis. EUR vyššej ako v roku 2015, čo predstavuje medziročný nárast o 4,4%. </w:t>
      </w:r>
    </w:p>
    <w:p w:rsidR="005568B1" w:rsidRPr="008C5621" w:rsidRDefault="005568B1" w:rsidP="005568B1">
      <w:pPr>
        <w:spacing w:line="240" w:lineRule="auto"/>
        <w:jc w:val="both"/>
        <w:rPr>
          <w:rFonts w:ascii="Myriad Pro" w:hAnsi="Myriad Pro" w:cs="Arial"/>
          <w:sz w:val="24"/>
          <w:szCs w:val="24"/>
        </w:rPr>
      </w:pPr>
    </w:p>
    <w:p w:rsidR="005568B1" w:rsidRPr="008C5621" w:rsidRDefault="005568B1" w:rsidP="005568B1">
      <w:pPr>
        <w:spacing w:line="240" w:lineRule="auto"/>
        <w:jc w:val="both"/>
        <w:rPr>
          <w:rFonts w:ascii="Myriad Pro" w:hAnsi="Myriad Pro" w:cs="Arial"/>
          <w:sz w:val="24"/>
          <w:szCs w:val="24"/>
        </w:rPr>
      </w:pPr>
    </w:p>
    <w:tbl>
      <w:tblPr>
        <w:tblW w:w="8080" w:type="dxa"/>
        <w:tblCellMar>
          <w:left w:w="70" w:type="dxa"/>
          <w:right w:w="70" w:type="dxa"/>
        </w:tblCellMar>
        <w:tblLook w:val="04A0" w:firstRow="1" w:lastRow="0" w:firstColumn="1" w:lastColumn="0" w:noHBand="0" w:noVBand="1"/>
      </w:tblPr>
      <w:tblGrid>
        <w:gridCol w:w="3760"/>
        <w:gridCol w:w="1468"/>
        <w:gridCol w:w="1468"/>
        <w:gridCol w:w="1384"/>
      </w:tblGrid>
      <w:tr w:rsidR="005568B1" w:rsidRPr="008C5621" w:rsidTr="005568B1">
        <w:trPr>
          <w:trHeight w:val="270"/>
        </w:trPr>
        <w:tc>
          <w:tcPr>
            <w:tcW w:w="3760" w:type="dxa"/>
            <w:tcBorders>
              <w:top w:val="nil"/>
              <w:left w:val="nil"/>
              <w:bottom w:val="nil"/>
              <w:right w:val="single" w:sz="4" w:space="0" w:color="auto"/>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4"/>
                <w:szCs w:val="24"/>
                <w:lang w:eastAsia="sk-SK"/>
              </w:rPr>
            </w:pPr>
          </w:p>
        </w:tc>
        <w:tc>
          <w:tcPr>
            <w:tcW w:w="146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2014</w:t>
            </w:r>
          </w:p>
        </w:tc>
        <w:tc>
          <w:tcPr>
            <w:tcW w:w="1468"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2015</w:t>
            </w:r>
          </w:p>
        </w:tc>
        <w:tc>
          <w:tcPr>
            <w:tcW w:w="1384" w:type="dxa"/>
            <w:tcBorders>
              <w:top w:val="single" w:sz="8" w:space="0" w:color="auto"/>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sz w:val="20"/>
                <w:szCs w:val="20"/>
                <w:lang w:eastAsia="sk-SK"/>
              </w:rPr>
            </w:pPr>
            <w:r>
              <w:rPr>
                <w:rFonts w:ascii="Arial" w:eastAsia="Times New Roman" w:hAnsi="Arial" w:cs="Arial"/>
                <w:b/>
                <w:bCs/>
                <w:sz w:val="20"/>
                <w:szCs w:val="20"/>
                <w:lang w:eastAsia="sk-SK"/>
              </w:rPr>
              <w:t>2016</w:t>
            </w:r>
          </w:p>
        </w:tc>
      </w:tr>
      <w:tr w:rsidR="005568B1" w:rsidRPr="008C5621" w:rsidTr="005568B1">
        <w:trPr>
          <w:trHeight w:val="27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spotreba materiálu a energií</w:t>
            </w:r>
          </w:p>
        </w:tc>
        <w:tc>
          <w:tcPr>
            <w:tcW w:w="1468"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11 432 204</w:t>
            </w:r>
          </w:p>
        </w:tc>
        <w:tc>
          <w:tcPr>
            <w:tcW w:w="1468"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11 559 722</w:t>
            </w:r>
          </w:p>
        </w:tc>
        <w:tc>
          <w:tcPr>
            <w:tcW w:w="1384" w:type="dxa"/>
            <w:tcBorders>
              <w:top w:val="nil"/>
              <w:left w:val="nil"/>
              <w:bottom w:val="single" w:sz="4" w:space="0" w:color="auto"/>
              <w:right w:val="single" w:sz="8" w:space="0" w:color="auto"/>
            </w:tcBorders>
            <w:shd w:val="clear" w:color="000000" w:fill="9999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11 913 804</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služby</w:t>
            </w:r>
          </w:p>
        </w:tc>
        <w:tc>
          <w:tcPr>
            <w:tcW w:w="1468"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1 128 403</w:t>
            </w:r>
          </w:p>
        </w:tc>
        <w:tc>
          <w:tcPr>
            <w:tcW w:w="1468"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1 096 343</w:t>
            </w:r>
          </w:p>
        </w:tc>
        <w:tc>
          <w:tcPr>
            <w:tcW w:w="1384" w:type="dxa"/>
            <w:tcBorders>
              <w:top w:val="nil"/>
              <w:left w:val="nil"/>
              <w:bottom w:val="single" w:sz="4" w:space="0" w:color="auto"/>
              <w:right w:val="single" w:sz="8" w:space="0" w:color="auto"/>
            </w:tcBorders>
            <w:shd w:val="clear" w:color="000000" w:fill="9933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1 382 843</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osobné náklady</w:t>
            </w:r>
          </w:p>
        </w:tc>
        <w:tc>
          <w:tcPr>
            <w:tcW w:w="1468"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3 031 393</w:t>
            </w:r>
          </w:p>
        </w:tc>
        <w:tc>
          <w:tcPr>
            <w:tcW w:w="1468"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2 994 142</w:t>
            </w:r>
          </w:p>
        </w:tc>
        <w:tc>
          <w:tcPr>
            <w:tcW w:w="1384" w:type="dxa"/>
            <w:tcBorders>
              <w:top w:val="nil"/>
              <w:left w:val="nil"/>
              <w:bottom w:val="single" w:sz="4" w:space="0" w:color="auto"/>
              <w:right w:val="single" w:sz="8" w:space="0" w:color="auto"/>
            </w:tcBorders>
            <w:shd w:val="clear" w:color="000000" w:fill="FFFFCC"/>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3 093 751</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odpisy a ZC predaného majetku</w:t>
            </w:r>
          </w:p>
        </w:tc>
        <w:tc>
          <w:tcPr>
            <w:tcW w:w="1468" w:type="dxa"/>
            <w:tcBorders>
              <w:top w:val="nil"/>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573 716</w:t>
            </w:r>
          </w:p>
        </w:tc>
        <w:tc>
          <w:tcPr>
            <w:tcW w:w="1468" w:type="dxa"/>
            <w:tcBorders>
              <w:top w:val="nil"/>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592 212</w:t>
            </w:r>
          </w:p>
        </w:tc>
        <w:tc>
          <w:tcPr>
            <w:tcW w:w="1384" w:type="dxa"/>
            <w:tcBorders>
              <w:top w:val="nil"/>
              <w:left w:val="nil"/>
              <w:bottom w:val="single" w:sz="4"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607 632</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ostatné a finančné náklady</w:t>
            </w:r>
          </w:p>
        </w:tc>
        <w:tc>
          <w:tcPr>
            <w:tcW w:w="1468" w:type="dxa"/>
            <w:tcBorders>
              <w:top w:val="nil"/>
              <w:left w:val="nil"/>
              <w:bottom w:val="single" w:sz="4" w:space="0" w:color="auto"/>
              <w:right w:val="single" w:sz="8" w:space="0" w:color="auto"/>
            </w:tcBorders>
            <w:shd w:val="clear" w:color="000000" w:fill="6600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137 277</w:t>
            </w:r>
          </w:p>
        </w:tc>
        <w:tc>
          <w:tcPr>
            <w:tcW w:w="1468" w:type="dxa"/>
            <w:tcBorders>
              <w:top w:val="nil"/>
              <w:left w:val="nil"/>
              <w:bottom w:val="single" w:sz="4" w:space="0" w:color="auto"/>
              <w:right w:val="single" w:sz="8" w:space="0" w:color="auto"/>
            </w:tcBorders>
            <w:shd w:val="clear" w:color="000000" w:fill="6600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156 884</w:t>
            </w:r>
          </w:p>
        </w:tc>
        <w:tc>
          <w:tcPr>
            <w:tcW w:w="1384" w:type="dxa"/>
            <w:tcBorders>
              <w:top w:val="nil"/>
              <w:left w:val="nil"/>
              <w:bottom w:val="single" w:sz="4" w:space="0" w:color="auto"/>
              <w:right w:val="single" w:sz="8" w:space="0" w:color="auto"/>
            </w:tcBorders>
            <w:shd w:val="clear" w:color="000000" w:fill="660066"/>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131 467</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daň z príjmov a odložená daň</w:t>
            </w:r>
          </w:p>
        </w:tc>
        <w:tc>
          <w:tcPr>
            <w:tcW w:w="1468" w:type="dxa"/>
            <w:tcBorders>
              <w:top w:val="nil"/>
              <w:left w:val="nil"/>
              <w:bottom w:val="single" w:sz="4" w:space="0" w:color="auto"/>
              <w:right w:val="single" w:sz="8" w:space="0" w:color="auto"/>
            </w:tcBorders>
            <w:shd w:val="clear" w:color="000000" w:fill="FF8080"/>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175 325</w:t>
            </w:r>
          </w:p>
        </w:tc>
        <w:tc>
          <w:tcPr>
            <w:tcW w:w="1468" w:type="dxa"/>
            <w:tcBorders>
              <w:top w:val="nil"/>
              <w:left w:val="nil"/>
              <w:bottom w:val="single" w:sz="4" w:space="0" w:color="auto"/>
              <w:right w:val="single" w:sz="8" w:space="0" w:color="auto"/>
            </w:tcBorders>
            <w:shd w:val="clear" w:color="000000" w:fill="FF8080"/>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188 407</w:t>
            </w:r>
          </w:p>
        </w:tc>
        <w:tc>
          <w:tcPr>
            <w:tcW w:w="1384" w:type="dxa"/>
            <w:tcBorders>
              <w:top w:val="nil"/>
              <w:left w:val="nil"/>
              <w:bottom w:val="single" w:sz="4" w:space="0" w:color="auto"/>
              <w:right w:val="single" w:sz="8" w:space="0" w:color="auto"/>
            </w:tcBorders>
            <w:shd w:val="clear" w:color="000000" w:fill="FF8080"/>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190 244</w:t>
            </w:r>
          </w:p>
        </w:tc>
      </w:tr>
      <w:tr w:rsidR="005568B1" w:rsidRPr="008C5621" w:rsidTr="005568B1">
        <w:trPr>
          <w:trHeight w:val="27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sidRPr="008C5621">
              <w:rPr>
                <w:rFonts w:ascii="Arial" w:eastAsia="Times New Roman" w:hAnsi="Arial" w:cs="Arial"/>
                <w:sz w:val="20"/>
                <w:szCs w:val="20"/>
                <w:lang w:eastAsia="sk-SK"/>
              </w:rPr>
              <w:t>náklady spolu</w:t>
            </w:r>
          </w:p>
        </w:tc>
        <w:tc>
          <w:tcPr>
            <w:tcW w:w="1468" w:type="dxa"/>
            <w:tcBorders>
              <w:top w:val="nil"/>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16 478 318</w:t>
            </w:r>
          </w:p>
        </w:tc>
        <w:tc>
          <w:tcPr>
            <w:tcW w:w="1468" w:type="dxa"/>
            <w:tcBorders>
              <w:top w:val="nil"/>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16 587 710</w:t>
            </w:r>
          </w:p>
        </w:tc>
        <w:tc>
          <w:tcPr>
            <w:tcW w:w="1384" w:type="dxa"/>
            <w:tcBorders>
              <w:top w:val="nil"/>
              <w:left w:val="nil"/>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17 319 741</w:t>
            </w:r>
          </w:p>
        </w:tc>
      </w:tr>
    </w:tbl>
    <w:p w:rsidR="005568B1" w:rsidRPr="008C5621" w:rsidRDefault="005568B1" w:rsidP="005568B1">
      <w:pPr>
        <w:rPr>
          <w:rFonts w:ascii="Myriad Pro" w:hAnsi="Myriad Pro" w:cs="Arial"/>
          <w:b/>
          <w:smallCaps/>
          <w:color w:val="385623" w:themeColor="accent6" w:themeShade="80"/>
          <w:sz w:val="32"/>
          <w:szCs w:val="32"/>
        </w:rPr>
      </w:pP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Najväčšou položkou v čerpaných nákladoch boli náklady na spotrebovaný materiál a energie vo výške 11 913,8 tis. EUR , ktoré tvorili 68,8% nákladov. V roku 2016 bola spotreba materiálu a energií o 3,1% , t.j. 354,1 tis. EUR vyššia ako v predchádzajúcom roku, a to najmä v dôsledku vyšších nákladov na nákup pary a priameho materiálu.</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Náklady na služby boli v roku 2016 čerpané vo výške 1 382,8 tis. EUR, čo predstavuje nárast o 286,5 tis. EUR, t.j. o 26,1%, spôsobený najmä rastom nákladov na opravy a udržiavanie a poddodávky.</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Osobné náklady predstavujú 17,9% nákladov a za rok 2016 dosiahli úroveň 3 093,8 tis. EUR, čo je 99,6 tis. EUR, t.j. 3,3% viac ako v predchádzajúcom účtovnom období.</w:t>
      </w:r>
    </w:p>
    <w:p w:rsidR="005568B1" w:rsidRPr="009A4FA8" w:rsidRDefault="005568B1" w:rsidP="005568B1">
      <w:pPr>
        <w:spacing w:line="240" w:lineRule="auto"/>
        <w:jc w:val="both"/>
        <w:rPr>
          <w:rFonts w:ascii="Arial" w:hAnsi="Arial" w:cs="Arial"/>
          <w:sz w:val="24"/>
          <w:szCs w:val="24"/>
        </w:rPr>
      </w:pPr>
      <w:r w:rsidRPr="009A4FA8">
        <w:rPr>
          <w:rFonts w:ascii="Arial" w:hAnsi="Arial" w:cs="Arial"/>
          <w:sz w:val="24"/>
          <w:szCs w:val="24"/>
        </w:rPr>
        <w:t>Za rok 2016 boli zúčtované odpisy majetku vo výške 607 tis. EUR a ZC predaného materiálu vo výške 0,6 tis. EUR, čo predstavuje oproti minulému roku nárast o 15,4 tis. EUR, t.j. o 2,6%.</w:t>
      </w:r>
    </w:p>
    <w:p w:rsidR="005568B1" w:rsidRDefault="005568B1" w:rsidP="005568B1">
      <w:pPr>
        <w:spacing w:line="240" w:lineRule="auto"/>
        <w:jc w:val="both"/>
        <w:rPr>
          <w:rFonts w:ascii="Arial" w:hAnsi="Arial" w:cs="Arial"/>
          <w:sz w:val="24"/>
          <w:szCs w:val="24"/>
        </w:rPr>
      </w:pPr>
      <w:r w:rsidRPr="009A4FA8">
        <w:rPr>
          <w:rFonts w:ascii="Arial" w:hAnsi="Arial" w:cs="Arial"/>
          <w:sz w:val="24"/>
          <w:szCs w:val="24"/>
        </w:rPr>
        <w:t>Ostatné  a finančné náklady boli čerpané vo výške 131,5 tis. EUR, čo je  o 25,4 tis. menej ako v minulom roku.</w:t>
      </w:r>
    </w:p>
    <w:p w:rsidR="005568B1" w:rsidRPr="009A4FA8" w:rsidRDefault="005568B1" w:rsidP="005568B1">
      <w:pPr>
        <w:spacing w:line="240" w:lineRule="auto"/>
        <w:jc w:val="both"/>
        <w:rPr>
          <w:rFonts w:ascii="Arial" w:hAnsi="Arial" w:cs="Arial"/>
          <w:sz w:val="24"/>
          <w:szCs w:val="24"/>
        </w:rPr>
      </w:pPr>
    </w:p>
    <w:p w:rsidR="005568B1" w:rsidRDefault="005568B1" w:rsidP="005568B1">
      <w:pPr>
        <w:rPr>
          <w:rFonts w:ascii="Myriad Pro" w:hAnsi="Myriad Pro" w:cs="Tahoma"/>
          <w:sz w:val="24"/>
          <w:szCs w:val="24"/>
        </w:rPr>
      </w:pPr>
    </w:p>
    <w:p w:rsidR="005568B1" w:rsidRPr="008C5621" w:rsidRDefault="005568B1" w:rsidP="005568B1">
      <w:pPr>
        <w:rPr>
          <w:rFonts w:ascii="Myriad Pro" w:hAnsi="Myriad Pro" w:cs="Tahoma"/>
          <w:sz w:val="24"/>
          <w:szCs w:val="24"/>
        </w:rPr>
      </w:pPr>
      <w:r>
        <w:rPr>
          <w:rFonts w:ascii="Myriad Pro" w:hAnsi="Myriad Pro" w:cs="Tahoma"/>
          <w:sz w:val="24"/>
          <w:szCs w:val="24"/>
        </w:rPr>
        <w:lastRenderedPageBreak/>
        <w:tab/>
      </w:r>
      <w:r>
        <w:rPr>
          <w:noProof/>
          <w:lang w:eastAsia="sk-SK"/>
        </w:rPr>
        <w:drawing>
          <wp:inline distT="0" distB="0" distL="0" distR="0" wp14:anchorId="0B29C593" wp14:editId="5C8D577E">
            <wp:extent cx="4572000" cy="2505075"/>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68B1" w:rsidRDefault="005568B1" w:rsidP="005568B1">
      <w:pPr>
        <w:spacing w:line="240" w:lineRule="auto"/>
        <w:jc w:val="both"/>
        <w:rPr>
          <w:rFonts w:ascii="Arial" w:hAnsi="Arial" w:cs="Arial"/>
          <w:sz w:val="24"/>
          <w:szCs w:val="24"/>
        </w:rPr>
      </w:pPr>
      <w:r w:rsidRPr="009A4FA8">
        <w:rPr>
          <w:rFonts w:ascii="Arial" w:hAnsi="Arial" w:cs="Arial"/>
          <w:sz w:val="24"/>
          <w:szCs w:val="24"/>
        </w:rPr>
        <w:t>Náklady na daň z príjmov a odloženú daň boli v roku 2016 zúčtované vo výške 190,2 tis. EUR a menia sa v závislosti od výšky pripočítateľných a odpočítateľných položiek k základu dane. Za rok 2016 bola výška pripočítateľných položiek stanovená na 88 tis. EUR (nadspotreba PHL, reprezentačné, tvorba rezerv a opravných položiek, rozdiel medzi účtovnými a daňovo uznanými odpismi, strata z rekreačného zariadenia, náklady na pracovné podmienky nad rozsah stanovený zákonom č. 595/2003 Z.z., daňovo neuznaná časť paušalizovaných nákladov, neuhradené nájomné a poradenské služby) a výška odpočítateľných položiek na 53,7 tis. EUR (zrušenie opravných položiek a rezerv, náklady za 2015 uhradené v roku 2016, prijaté bankové úroky).Celkovo sú náklady na daň z príjmov a odloženú daň vplyvom nižšej odloženej daňovej pohľadávky medziročne vyššie o 1,8 tis. EUR, t.j. o 1%.</w:t>
      </w:r>
    </w:p>
    <w:p w:rsidR="005568B1" w:rsidRDefault="005568B1" w:rsidP="005568B1">
      <w:pPr>
        <w:spacing w:line="240" w:lineRule="auto"/>
        <w:jc w:val="both"/>
        <w:rPr>
          <w:rFonts w:ascii="Arial" w:hAnsi="Arial" w:cs="Arial"/>
          <w:sz w:val="24"/>
          <w:szCs w:val="24"/>
        </w:rPr>
      </w:pPr>
    </w:p>
    <w:p w:rsidR="005568B1" w:rsidRPr="009A4FA8" w:rsidRDefault="005568B1" w:rsidP="005568B1">
      <w:pPr>
        <w:spacing w:line="240" w:lineRule="auto"/>
        <w:jc w:val="both"/>
        <w:rPr>
          <w:rFonts w:ascii="Arial" w:hAnsi="Arial" w:cs="Arial"/>
          <w:sz w:val="24"/>
          <w:szCs w:val="24"/>
        </w:rPr>
      </w:pPr>
    </w:p>
    <w:p w:rsidR="005568B1" w:rsidRPr="004D5EBF"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aktíva a pasíva</w:t>
      </w:r>
    </w:p>
    <w:tbl>
      <w:tblPr>
        <w:tblW w:w="5000" w:type="pct"/>
        <w:tblCellMar>
          <w:left w:w="70" w:type="dxa"/>
          <w:right w:w="70" w:type="dxa"/>
        </w:tblCellMar>
        <w:tblLook w:val="04A0" w:firstRow="1" w:lastRow="0" w:firstColumn="1" w:lastColumn="0" w:noHBand="0" w:noVBand="1"/>
      </w:tblPr>
      <w:tblGrid>
        <w:gridCol w:w="4275"/>
        <w:gridCol w:w="1592"/>
        <w:gridCol w:w="1592"/>
        <w:gridCol w:w="1591"/>
      </w:tblGrid>
      <w:tr w:rsidR="005568B1" w:rsidRPr="008C5621" w:rsidTr="005568B1">
        <w:trPr>
          <w:trHeight w:val="270"/>
        </w:trPr>
        <w:tc>
          <w:tcPr>
            <w:tcW w:w="23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AKTÍVA</w:t>
            </w:r>
          </w:p>
        </w:tc>
        <w:tc>
          <w:tcPr>
            <w:tcW w:w="897" w:type="pct"/>
            <w:tcBorders>
              <w:top w:val="single" w:sz="8" w:space="0" w:color="auto"/>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4</w:t>
            </w:r>
          </w:p>
        </w:tc>
        <w:tc>
          <w:tcPr>
            <w:tcW w:w="897" w:type="pct"/>
            <w:tcBorders>
              <w:top w:val="single" w:sz="8" w:space="0" w:color="auto"/>
              <w:left w:val="nil"/>
              <w:bottom w:val="single" w:sz="8" w:space="0" w:color="auto"/>
              <w:right w:val="single" w:sz="8"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5</w:t>
            </w:r>
          </w:p>
        </w:tc>
        <w:tc>
          <w:tcPr>
            <w:tcW w:w="896" w:type="pct"/>
            <w:tcBorders>
              <w:top w:val="single" w:sz="8" w:space="0" w:color="auto"/>
              <w:left w:val="nil"/>
              <w:bottom w:val="single" w:sz="8" w:space="0" w:color="auto"/>
              <w:right w:val="single" w:sz="8"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6</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E801A3" w:rsidRDefault="005568B1" w:rsidP="005568B1">
            <w:pPr>
              <w:spacing w:after="0" w:line="240" w:lineRule="auto"/>
              <w:rPr>
                <w:rFonts w:ascii="Arial" w:eastAsia="Times New Roman" w:hAnsi="Arial" w:cs="Arial"/>
                <w:b/>
                <w:sz w:val="20"/>
                <w:szCs w:val="20"/>
                <w:lang w:eastAsia="sk-SK"/>
              </w:rPr>
            </w:pPr>
            <w:r>
              <w:rPr>
                <w:rFonts w:ascii="Arial" w:eastAsia="Times New Roman" w:hAnsi="Arial" w:cs="Arial"/>
                <w:b/>
                <w:sz w:val="20"/>
                <w:szCs w:val="20"/>
                <w:lang w:eastAsia="sk-SK"/>
              </w:rPr>
              <w:t>stále aktíva</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4 107 588</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4 337 227</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sidRPr="00B46A44">
              <w:rPr>
                <w:rFonts w:ascii="Arial" w:eastAsia="Times New Roman" w:hAnsi="Arial" w:cs="Arial"/>
                <w:b/>
                <w:sz w:val="20"/>
                <w:szCs w:val="20"/>
                <w:lang w:eastAsia="sk-SK"/>
              </w:rPr>
              <w:t>4</w:t>
            </w:r>
            <w:r>
              <w:rPr>
                <w:rFonts w:ascii="Arial" w:eastAsia="Times New Roman" w:hAnsi="Arial" w:cs="Arial"/>
                <w:b/>
                <w:sz w:val="20"/>
                <w:szCs w:val="20"/>
                <w:lang w:eastAsia="sk-SK"/>
              </w:rPr>
              <w:t> 966 157</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b/>
                <w:sz w:val="20"/>
                <w:szCs w:val="20"/>
                <w:lang w:eastAsia="sk-SK"/>
              </w:rPr>
              <w:t>o</w:t>
            </w:r>
            <w:r w:rsidRPr="00E801A3">
              <w:rPr>
                <w:rFonts w:ascii="Arial" w:eastAsia="Times New Roman" w:hAnsi="Arial" w:cs="Arial"/>
                <w:b/>
                <w:sz w:val="20"/>
                <w:szCs w:val="20"/>
                <w:lang w:eastAsia="sk-SK"/>
              </w:rPr>
              <w:t>bežné aktíva</w:t>
            </w:r>
            <w:r>
              <w:rPr>
                <w:rFonts w:ascii="Arial" w:eastAsia="Times New Roman" w:hAnsi="Arial" w:cs="Arial"/>
                <w:sz w:val="20"/>
                <w:szCs w:val="20"/>
                <w:lang w:eastAsia="sk-SK"/>
              </w:rPr>
              <w:t xml:space="preserve"> </w:t>
            </w:r>
          </w:p>
        </w:tc>
        <w:tc>
          <w:tcPr>
            <w:tcW w:w="897" w:type="pct"/>
            <w:tcBorders>
              <w:top w:val="nil"/>
              <w:left w:val="nil"/>
              <w:bottom w:val="single" w:sz="4" w:space="0" w:color="auto"/>
              <w:right w:val="single" w:sz="4" w:space="0" w:color="auto"/>
            </w:tcBorders>
            <w:shd w:val="clear" w:color="000000" w:fill="CCFFFF"/>
            <w:noWrap/>
            <w:vAlign w:val="bottom"/>
          </w:tcPr>
          <w:p w:rsidR="005568B1" w:rsidRPr="00B46A44" w:rsidRDefault="005568B1" w:rsidP="005568B1">
            <w:pPr>
              <w:spacing w:after="0" w:line="240" w:lineRule="auto"/>
              <w:jc w:val="right"/>
              <w:rPr>
                <w:rFonts w:ascii="Arial" w:eastAsia="Times New Roman" w:hAnsi="Arial" w:cs="Arial"/>
                <w:b/>
                <w:sz w:val="20"/>
                <w:szCs w:val="20"/>
                <w:lang w:eastAsia="sk-SK"/>
              </w:rPr>
            </w:pPr>
            <w:r w:rsidRPr="00B46A44">
              <w:rPr>
                <w:rFonts w:ascii="Arial" w:eastAsia="Times New Roman" w:hAnsi="Arial" w:cs="Arial"/>
                <w:b/>
                <w:sz w:val="20"/>
                <w:szCs w:val="20"/>
                <w:lang w:eastAsia="sk-SK"/>
              </w:rPr>
              <w:t>3 602 412</w:t>
            </w:r>
          </w:p>
        </w:tc>
        <w:tc>
          <w:tcPr>
            <w:tcW w:w="897" w:type="pct"/>
            <w:tcBorders>
              <w:top w:val="nil"/>
              <w:left w:val="nil"/>
              <w:bottom w:val="single" w:sz="4" w:space="0" w:color="auto"/>
              <w:right w:val="single" w:sz="4" w:space="0" w:color="auto"/>
            </w:tcBorders>
            <w:shd w:val="clear" w:color="000000" w:fill="FFFF99"/>
            <w:noWrap/>
            <w:vAlign w:val="bottom"/>
          </w:tcPr>
          <w:p w:rsidR="005568B1" w:rsidRPr="00B46A44" w:rsidRDefault="005568B1" w:rsidP="005568B1">
            <w:pPr>
              <w:spacing w:after="0" w:line="240" w:lineRule="auto"/>
              <w:jc w:val="right"/>
              <w:rPr>
                <w:rFonts w:ascii="Arial" w:eastAsia="Times New Roman" w:hAnsi="Arial" w:cs="Arial"/>
                <w:b/>
                <w:sz w:val="20"/>
                <w:szCs w:val="20"/>
                <w:lang w:eastAsia="sk-SK"/>
              </w:rPr>
            </w:pPr>
            <w:r w:rsidRPr="00B46A44">
              <w:rPr>
                <w:rFonts w:ascii="Arial" w:eastAsia="Times New Roman" w:hAnsi="Arial" w:cs="Arial"/>
                <w:b/>
                <w:sz w:val="20"/>
                <w:szCs w:val="20"/>
                <w:lang w:eastAsia="sk-SK"/>
              </w:rPr>
              <w:t>3 715 561</w:t>
            </w:r>
          </w:p>
        </w:tc>
        <w:tc>
          <w:tcPr>
            <w:tcW w:w="896" w:type="pct"/>
            <w:tcBorders>
              <w:top w:val="nil"/>
              <w:left w:val="nil"/>
              <w:bottom w:val="single" w:sz="4" w:space="0" w:color="auto"/>
              <w:right w:val="single" w:sz="4" w:space="0" w:color="auto"/>
            </w:tcBorders>
            <w:shd w:val="clear" w:color="000000" w:fill="C6E0B4"/>
            <w:noWrap/>
            <w:vAlign w:val="bottom"/>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3 273 030</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z toho: </w:t>
            </w:r>
            <w:r w:rsidRPr="008C5621">
              <w:rPr>
                <w:rFonts w:ascii="Arial" w:eastAsia="Times New Roman" w:hAnsi="Arial" w:cs="Arial"/>
                <w:sz w:val="20"/>
                <w:szCs w:val="20"/>
                <w:lang w:eastAsia="sk-SK"/>
              </w:rPr>
              <w:t>zásoby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57 238</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68 125</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117 615</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pohľadávky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1 820 326</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2 034 994</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2 168 377</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krát. fin</w:t>
            </w: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maj</w:t>
            </w:r>
            <w:r>
              <w:rPr>
                <w:rFonts w:ascii="Arial" w:eastAsia="Times New Roman" w:hAnsi="Arial" w:cs="Arial"/>
                <w:sz w:val="20"/>
                <w:szCs w:val="20"/>
                <w:lang w:eastAsia="sk-SK"/>
              </w:rPr>
              <w:t>.</w:t>
            </w:r>
            <w:r w:rsidRPr="008C5621">
              <w:rPr>
                <w:rFonts w:ascii="Arial" w:eastAsia="Times New Roman" w:hAnsi="Arial" w:cs="Arial"/>
                <w:sz w:val="20"/>
                <w:szCs w:val="20"/>
                <w:lang w:eastAsia="sk-SK"/>
              </w:rPr>
              <w:t xml:space="preserve"> a</w:t>
            </w:r>
            <w:r>
              <w:rPr>
                <w:rFonts w:ascii="Arial" w:eastAsia="Times New Roman" w:hAnsi="Arial" w:cs="Arial"/>
                <w:sz w:val="20"/>
                <w:szCs w:val="20"/>
                <w:lang w:eastAsia="sk-SK"/>
              </w:rPr>
              <w:t> </w:t>
            </w:r>
            <w:r w:rsidRPr="008C5621">
              <w:rPr>
                <w:rFonts w:ascii="Arial" w:eastAsia="Times New Roman" w:hAnsi="Arial" w:cs="Arial"/>
                <w:sz w:val="20"/>
                <w:szCs w:val="20"/>
                <w:lang w:eastAsia="sk-SK"/>
              </w:rPr>
              <w:t>fin</w:t>
            </w:r>
            <w:r>
              <w:rPr>
                <w:rFonts w:ascii="Arial" w:eastAsia="Times New Roman" w:hAnsi="Arial" w:cs="Arial"/>
                <w:sz w:val="20"/>
                <w:szCs w:val="20"/>
                <w:lang w:eastAsia="sk-SK"/>
              </w:rPr>
              <w:t>.</w:t>
            </w:r>
            <w:r w:rsidRPr="008C5621">
              <w:rPr>
                <w:rFonts w:ascii="Arial" w:eastAsia="Times New Roman" w:hAnsi="Arial" w:cs="Arial"/>
                <w:sz w:val="20"/>
                <w:szCs w:val="20"/>
                <w:lang w:eastAsia="sk-SK"/>
              </w:rPr>
              <w:t xml:space="preserve"> účty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1 724 848</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1 612 442</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987 038</w:t>
            </w:r>
          </w:p>
        </w:tc>
      </w:tr>
      <w:tr w:rsidR="005568B1" w:rsidRPr="008C5621" w:rsidTr="005568B1">
        <w:trPr>
          <w:trHeight w:val="270"/>
        </w:trPr>
        <w:tc>
          <w:tcPr>
            <w:tcW w:w="2310" w:type="pct"/>
            <w:tcBorders>
              <w:top w:val="nil"/>
              <w:left w:val="single" w:sz="4" w:space="0" w:color="auto"/>
              <w:bottom w:val="nil"/>
              <w:right w:val="single" w:sz="4" w:space="0" w:color="auto"/>
            </w:tcBorders>
            <w:shd w:val="clear" w:color="auto" w:fill="auto"/>
            <w:noWrap/>
            <w:vAlign w:val="bottom"/>
            <w:hideMark/>
          </w:tcPr>
          <w:p w:rsidR="005568B1" w:rsidRPr="00E801A3" w:rsidRDefault="005568B1" w:rsidP="005568B1">
            <w:pPr>
              <w:spacing w:after="0" w:line="240" w:lineRule="auto"/>
              <w:rPr>
                <w:rFonts w:ascii="Arial" w:eastAsia="Times New Roman" w:hAnsi="Arial" w:cs="Arial"/>
                <w:b/>
                <w:sz w:val="20"/>
                <w:szCs w:val="20"/>
                <w:lang w:eastAsia="sk-SK"/>
              </w:rPr>
            </w:pPr>
            <w:r w:rsidRPr="00E801A3">
              <w:rPr>
                <w:rFonts w:ascii="Arial" w:eastAsia="Times New Roman" w:hAnsi="Arial" w:cs="Arial"/>
                <w:b/>
                <w:sz w:val="20"/>
                <w:szCs w:val="20"/>
                <w:lang w:eastAsia="sk-SK"/>
              </w:rPr>
              <w:t>ostatné aktíva</w:t>
            </w:r>
          </w:p>
        </w:tc>
        <w:tc>
          <w:tcPr>
            <w:tcW w:w="897" w:type="pct"/>
            <w:tcBorders>
              <w:top w:val="nil"/>
              <w:left w:val="nil"/>
              <w:bottom w:val="nil"/>
              <w:right w:val="single" w:sz="4" w:space="0" w:color="auto"/>
            </w:tcBorders>
            <w:shd w:val="clear" w:color="000000" w:fill="CCFFFF"/>
            <w:noWrap/>
            <w:vAlign w:val="bottom"/>
            <w:hideMark/>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28 222</w:t>
            </w:r>
          </w:p>
        </w:tc>
        <w:tc>
          <w:tcPr>
            <w:tcW w:w="897" w:type="pct"/>
            <w:tcBorders>
              <w:top w:val="nil"/>
              <w:left w:val="nil"/>
              <w:bottom w:val="nil"/>
              <w:right w:val="single" w:sz="4" w:space="0" w:color="auto"/>
            </w:tcBorders>
            <w:shd w:val="clear" w:color="000000" w:fill="FFFF99"/>
            <w:noWrap/>
            <w:vAlign w:val="bottom"/>
            <w:hideMark/>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86 197</w:t>
            </w:r>
          </w:p>
        </w:tc>
        <w:tc>
          <w:tcPr>
            <w:tcW w:w="896" w:type="pct"/>
            <w:tcBorders>
              <w:top w:val="nil"/>
              <w:left w:val="nil"/>
              <w:bottom w:val="nil"/>
              <w:right w:val="single" w:sz="4" w:space="0" w:color="auto"/>
            </w:tcBorders>
            <w:shd w:val="clear" w:color="000000" w:fill="C6E0B4"/>
            <w:noWrap/>
            <w:vAlign w:val="bottom"/>
            <w:hideMark/>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84 257</w:t>
            </w:r>
          </w:p>
        </w:tc>
      </w:tr>
      <w:tr w:rsidR="005568B1" w:rsidRPr="008C5621" w:rsidTr="005568B1">
        <w:trPr>
          <w:trHeight w:val="270"/>
        </w:trPr>
        <w:tc>
          <w:tcPr>
            <w:tcW w:w="23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AKTÍVA SPOLU</w:t>
            </w:r>
          </w:p>
        </w:tc>
        <w:tc>
          <w:tcPr>
            <w:tcW w:w="897" w:type="pct"/>
            <w:tcBorders>
              <w:top w:val="single" w:sz="8" w:space="0" w:color="auto"/>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7 738 222</w:t>
            </w:r>
          </w:p>
        </w:tc>
        <w:tc>
          <w:tcPr>
            <w:tcW w:w="897" w:type="pct"/>
            <w:tcBorders>
              <w:top w:val="single" w:sz="8" w:space="0" w:color="auto"/>
              <w:left w:val="nil"/>
              <w:bottom w:val="single" w:sz="8" w:space="0" w:color="auto"/>
              <w:right w:val="single" w:sz="8"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8 138 985</w:t>
            </w:r>
          </w:p>
        </w:tc>
        <w:tc>
          <w:tcPr>
            <w:tcW w:w="896" w:type="pct"/>
            <w:tcBorders>
              <w:top w:val="single" w:sz="8" w:space="0" w:color="auto"/>
              <w:left w:val="nil"/>
              <w:bottom w:val="single" w:sz="8" w:space="0" w:color="auto"/>
              <w:right w:val="single" w:sz="8"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8 323 444</w:t>
            </w:r>
          </w:p>
        </w:tc>
      </w:tr>
      <w:tr w:rsidR="005568B1" w:rsidRPr="008C5621" w:rsidTr="005568B1">
        <w:trPr>
          <w:trHeight w:val="270"/>
        </w:trPr>
        <w:tc>
          <w:tcPr>
            <w:tcW w:w="2310" w:type="pct"/>
            <w:tcBorders>
              <w:top w:val="nil"/>
              <w:left w:val="nil"/>
              <w:bottom w:val="nil"/>
              <w:right w:val="nil"/>
            </w:tcBorders>
            <w:shd w:val="clear" w:color="auto" w:fill="auto"/>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p>
        </w:tc>
        <w:tc>
          <w:tcPr>
            <w:tcW w:w="897" w:type="pct"/>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0"/>
                <w:szCs w:val="20"/>
                <w:lang w:eastAsia="sk-SK"/>
              </w:rPr>
            </w:pPr>
          </w:p>
        </w:tc>
        <w:tc>
          <w:tcPr>
            <w:tcW w:w="897" w:type="pct"/>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0"/>
                <w:szCs w:val="20"/>
                <w:lang w:eastAsia="sk-SK"/>
              </w:rPr>
            </w:pPr>
          </w:p>
        </w:tc>
        <w:tc>
          <w:tcPr>
            <w:tcW w:w="896" w:type="pct"/>
            <w:tcBorders>
              <w:top w:val="nil"/>
              <w:left w:val="nil"/>
              <w:bottom w:val="nil"/>
              <w:right w:val="nil"/>
            </w:tcBorders>
            <w:shd w:val="clear" w:color="auto" w:fill="auto"/>
            <w:noWrap/>
            <w:vAlign w:val="bottom"/>
            <w:hideMark/>
          </w:tcPr>
          <w:p w:rsidR="005568B1" w:rsidRPr="008C5621" w:rsidRDefault="005568B1" w:rsidP="005568B1">
            <w:pPr>
              <w:spacing w:after="0" w:line="240" w:lineRule="auto"/>
              <w:rPr>
                <w:rFonts w:ascii="Times New Roman" w:eastAsia="Times New Roman" w:hAnsi="Times New Roman" w:cs="Times New Roman"/>
                <w:sz w:val="20"/>
                <w:szCs w:val="20"/>
                <w:lang w:eastAsia="sk-SK"/>
              </w:rPr>
            </w:pPr>
          </w:p>
        </w:tc>
      </w:tr>
      <w:tr w:rsidR="005568B1" w:rsidRPr="008C5621" w:rsidTr="005568B1">
        <w:trPr>
          <w:trHeight w:val="270"/>
        </w:trPr>
        <w:tc>
          <w:tcPr>
            <w:tcW w:w="23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PASÍVA</w:t>
            </w:r>
          </w:p>
        </w:tc>
        <w:tc>
          <w:tcPr>
            <w:tcW w:w="897" w:type="pct"/>
            <w:tcBorders>
              <w:top w:val="single" w:sz="8" w:space="0" w:color="auto"/>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4</w:t>
            </w:r>
          </w:p>
        </w:tc>
        <w:tc>
          <w:tcPr>
            <w:tcW w:w="897" w:type="pct"/>
            <w:tcBorders>
              <w:top w:val="single" w:sz="8" w:space="0" w:color="auto"/>
              <w:left w:val="nil"/>
              <w:bottom w:val="single" w:sz="8" w:space="0" w:color="auto"/>
              <w:right w:val="single" w:sz="8"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5</w:t>
            </w:r>
          </w:p>
        </w:tc>
        <w:tc>
          <w:tcPr>
            <w:tcW w:w="896" w:type="pct"/>
            <w:tcBorders>
              <w:top w:val="single" w:sz="8" w:space="0" w:color="auto"/>
              <w:left w:val="nil"/>
              <w:bottom w:val="single" w:sz="8" w:space="0" w:color="auto"/>
              <w:right w:val="single" w:sz="8"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sidRPr="008C5621">
              <w:rPr>
                <w:rFonts w:ascii="Arial" w:eastAsia="Times New Roman" w:hAnsi="Arial" w:cs="Arial"/>
                <w:b/>
                <w:bCs/>
                <w:i/>
                <w:iCs/>
                <w:sz w:val="20"/>
                <w:szCs w:val="20"/>
                <w:lang w:eastAsia="sk-SK"/>
              </w:rPr>
              <w:t>31.12.201</w:t>
            </w:r>
            <w:r>
              <w:rPr>
                <w:rFonts w:ascii="Arial" w:eastAsia="Times New Roman" w:hAnsi="Arial" w:cs="Arial"/>
                <w:b/>
                <w:bCs/>
                <w:i/>
                <w:iCs/>
                <w:sz w:val="20"/>
                <w:szCs w:val="20"/>
                <w:lang w:eastAsia="sk-SK"/>
              </w:rPr>
              <w:t>6</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tcPr>
          <w:p w:rsidR="005568B1" w:rsidRPr="00E801A3" w:rsidRDefault="005568B1" w:rsidP="005568B1">
            <w:pPr>
              <w:spacing w:after="0" w:line="240" w:lineRule="auto"/>
              <w:rPr>
                <w:rFonts w:ascii="Arial" w:eastAsia="Times New Roman" w:hAnsi="Arial" w:cs="Arial"/>
                <w:b/>
                <w:sz w:val="20"/>
                <w:szCs w:val="20"/>
                <w:lang w:eastAsia="sk-SK"/>
              </w:rPr>
            </w:pPr>
            <w:r w:rsidRPr="00E801A3">
              <w:rPr>
                <w:rFonts w:ascii="Arial" w:eastAsia="Times New Roman" w:hAnsi="Arial" w:cs="Arial"/>
                <w:b/>
                <w:sz w:val="20"/>
                <w:szCs w:val="20"/>
                <w:lang w:eastAsia="sk-SK"/>
              </w:rPr>
              <w:t>vlastné imanie</w:t>
            </w:r>
          </w:p>
        </w:tc>
        <w:tc>
          <w:tcPr>
            <w:tcW w:w="897" w:type="pct"/>
            <w:tcBorders>
              <w:top w:val="nil"/>
              <w:left w:val="nil"/>
              <w:bottom w:val="single" w:sz="4" w:space="0" w:color="auto"/>
              <w:right w:val="single" w:sz="4" w:space="0" w:color="auto"/>
            </w:tcBorders>
            <w:shd w:val="clear" w:color="000000" w:fill="CCFFFF"/>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5 856 230</w:t>
            </w:r>
          </w:p>
        </w:tc>
        <w:tc>
          <w:tcPr>
            <w:tcW w:w="897" w:type="pct"/>
            <w:tcBorders>
              <w:top w:val="nil"/>
              <w:left w:val="nil"/>
              <w:bottom w:val="single" w:sz="4" w:space="0" w:color="auto"/>
              <w:right w:val="single" w:sz="4" w:space="0" w:color="auto"/>
            </w:tcBorders>
            <w:shd w:val="clear" w:color="000000" w:fill="FFFF99"/>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5 898 675</w:t>
            </w:r>
          </w:p>
        </w:tc>
        <w:tc>
          <w:tcPr>
            <w:tcW w:w="896" w:type="pct"/>
            <w:tcBorders>
              <w:top w:val="nil"/>
              <w:left w:val="nil"/>
              <w:bottom w:val="single" w:sz="4" w:space="0" w:color="auto"/>
              <w:right w:val="single" w:sz="4" w:space="0" w:color="auto"/>
            </w:tcBorders>
            <w:shd w:val="clear" w:color="000000" w:fill="C6E0B4"/>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6 102 352</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z toho: </w:t>
            </w:r>
            <w:r w:rsidRPr="008C5621">
              <w:rPr>
                <w:rFonts w:ascii="Arial" w:eastAsia="Times New Roman" w:hAnsi="Arial" w:cs="Arial"/>
                <w:sz w:val="20"/>
                <w:szCs w:val="20"/>
                <w:lang w:eastAsia="sk-SK"/>
              </w:rPr>
              <w:t>základné imanie</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262 944</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235 056</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225 760</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kapitálové fondy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419 899</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sidRPr="008C5621">
              <w:rPr>
                <w:rFonts w:ascii="Arial" w:eastAsia="Times New Roman" w:hAnsi="Arial" w:cs="Arial"/>
                <w:sz w:val="20"/>
                <w:szCs w:val="20"/>
                <w:lang w:eastAsia="sk-SK"/>
              </w:rPr>
              <w:t>419 899</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sidRPr="008C5621">
              <w:rPr>
                <w:rFonts w:ascii="Arial" w:eastAsia="Times New Roman" w:hAnsi="Arial" w:cs="Arial"/>
                <w:sz w:val="20"/>
                <w:szCs w:val="20"/>
                <w:lang w:eastAsia="sk-SK"/>
              </w:rPr>
              <w:t>419 899</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zák. rez</w:t>
            </w:r>
            <w:r>
              <w:rPr>
                <w:rFonts w:ascii="Arial" w:eastAsia="Times New Roman" w:hAnsi="Arial" w:cs="Arial"/>
                <w:sz w:val="20"/>
                <w:szCs w:val="20"/>
                <w:lang w:eastAsia="sk-SK"/>
              </w:rPr>
              <w:t>.</w:t>
            </w:r>
            <w:r w:rsidRPr="008C5621">
              <w:rPr>
                <w:rFonts w:ascii="Arial" w:eastAsia="Times New Roman" w:hAnsi="Arial" w:cs="Arial"/>
                <w:sz w:val="20"/>
                <w:szCs w:val="20"/>
                <w:lang w:eastAsia="sk-SK"/>
              </w:rPr>
              <w:t xml:space="preserve"> fond a</w:t>
            </w:r>
            <w:r>
              <w:rPr>
                <w:rFonts w:ascii="Arial" w:eastAsia="Times New Roman" w:hAnsi="Arial" w:cs="Arial"/>
                <w:sz w:val="20"/>
                <w:szCs w:val="20"/>
                <w:lang w:eastAsia="sk-SK"/>
              </w:rPr>
              <w:t> </w:t>
            </w:r>
            <w:r w:rsidRPr="008C5621">
              <w:rPr>
                <w:rFonts w:ascii="Arial" w:eastAsia="Times New Roman" w:hAnsi="Arial" w:cs="Arial"/>
                <w:sz w:val="20"/>
                <w:szCs w:val="20"/>
                <w:lang w:eastAsia="sk-SK"/>
              </w:rPr>
              <w:t>ost</w:t>
            </w:r>
            <w:r>
              <w:rPr>
                <w:rFonts w:ascii="Arial" w:eastAsia="Times New Roman" w:hAnsi="Arial" w:cs="Arial"/>
                <w:sz w:val="20"/>
                <w:szCs w:val="20"/>
                <w:lang w:eastAsia="sk-SK"/>
              </w:rPr>
              <w:t>.</w:t>
            </w:r>
            <w:r w:rsidRPr="008C5621">
              <w:rPr>
                <w:rFonts w:ascii="Arial" w:eastAsia="Times New Roman" w:hAnsi="Arial" w:cs="Arial"/>
                <w:sz w:val="20"/>
                <w:szCs w:val="20"/>
                <w:lang w:eastAsia="sk-SK"/>
              </w:rPr>
              <w:t xml:space="preserve"> </w:t>
            </w:r>
            <w:r>
              <w:rPr>
                <w:rFonts w:ascii="Arial" w:eastAsia="Times New Roman" w:hAnsi="Arial" w:cs="Arial"/>
                <w:sz w:val="20"/>
                <w:szCs w:val="20"/>
                <w:lang w:eastAsia="sk-SK"/>
              </w:rPr>
              <w:t>f.</w:t>
            </w:r>
            <w:r w:rsidRPr="008C5621">
              <w:rPr>
                <w:rFonts w:ascii="Arial" w:eastAsia="Times New Roman" w:hAnsi="Arial" w:cs="Arial"/>
                <w:sz w:val="20"/>
                <w:szCs w:val="20"/>
                <w:lang w:eastAsia="sk-SK"/>
              </w:rPr>
              <w:t xml:space="preserve"> zo zisku</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3 339 655</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3 148 789</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sidRPr="008C5621">
              <w:rPr>
                <w:rFonts w:ascii="Arial" w:eastAsia="Times New Roman" w:hAnsi="Arial" w:cs="Arial"/>
                <w:sz w:val="20"/>
                <w:szCs w:val="20"/>
                <w:lang w:eastAsia="sk-SK"/>
              </w:rPr>
              <w:t>3 148 789</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HV minulých rokov</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1 224 384</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1 449 485</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1 650 107</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HV bež. účt. obd.</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609 348</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645 446</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657 797</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tcPr>
          <w:p w:rsidR="005568B1" w:rsidRPr="00E801A3" w:rsidRDefault="005568B1" w:rsidP="005568B1">
            <w:pPr>
              <w:spacing w:after="0" w:line="240" w:lineRule="auto"/>
              <w:rPr>
                <w:rFonts w:ascii="Arial" w:eastAsia="Times New Roman" w:hAnsi="Arial" w:cs="Arial"/>
                <w:b/>
                <w:sz w:val="20"/>
                <w:szCs w:val="20"/>
                <w:lang w:eastAsia="sk-SK"/>
              </w:rPr>
            </w:pPr>
            <w:r w:rsidRPr="00E801A3">
              <w:rPr>
                <w:rFonts w:ascii="Arial" w:eastAsia="Times New Roman" w:hAnsi="Arial" w:cs="Arial"/>
                <w:b/>
                <w:sz w:val="20"/>
                <w:szCs w:val="20"/>
                <w:lang w:eastAsia="sk-SK"/>
              </w:rPr>
              <w:t>cudzie zdroje</w:t>
            </w:r>
          </w:p>
        </w:tc>
        <w:tc>
          <w:tcPr>
            <w:tcW w:w="897" w:type="pct"/>
            <w:tcBorders>
              <w:top w:val="nil"/>
              <w:left w:val="nil"/>
              <w:bottom w:val="single" w:sz="4" w:space="0" w:color="auto"/>
              <w:right w:val="single" w:sz="4" w:space="0" w:color="auto"/>
            </w:tcBorders>
            <w:shd w:val="clear" w:color="000000" w:fill="CCFFFF"/>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1 518 105</w:t>
            </w:r>
          </w:p>
        </w:tc>
        <w:tc>
          <w:tcPr>
            <w:tcW w:w="897" w:type="pct"/>
            <w:tcBorders>
              <w:top w:val="nil"/>
              <w:left w:val="nil"/>
              <w:bottom w:val="single" w:sz="4" w:space="0" w:color="auto"/>
              <w:right w:val="single" w:sz="4" w:space="0" w:color="auto"/>
            </w:tcBorders>
            <w:shd w:val="clear" w:color="000000" w:fill="FFFF99"/>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1 880 882</w:t>
            </w:r>
          </w:p>
        </w:tc>
        <w:tc>
          <w:tcPr>
            <w:tcW w:w="896" w:type="pct"/>
            <w:tcBorders>
              <w:top w:val="nil"/>
              <w:left w:val="nil"/>
              <w:bottom w:val="single" w:sz="4" w:space="0" w:color="auto"/>
              <w:right w:val="single" w:sz="4" w:space="0" w:color="auto"/>
            </w:tcBorders>
            <w:shd w:val="clear" w:color="000000" w:fill="C6E0B4"/>
            <w:noWrap/>
            <w:vAlign w:val="bottom"/>
          </w:tcPr>
          <w:p w:rsidR="005568B1" w:rsidRPr="00E801A3"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2 000 783</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z toho: </w:t>
            </w:r>
            <w:r w:rsidRPr="008C5621">
              <w:rPr>
                <w:rFonts w:ascii="Arial" w:eastAsia="Times New Roman" w:hAnsi="Arial" w:cs="Arial"/>
                <w:sz w:val="20"/>
                <w:szCs w:val="20"/>
                <w:lang w:eastAsia="sk-SK"/>
              </w:rPr>
              <w:t>rezervy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128 762</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142 290</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140 417</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lastRenderedPageBreak/>
              <w:t xml:space="preserve">                       </w:t>
            </w:r>
            <w:r w:rsidRPr="008C5621">
              <w:rPr>
                <w:rFonts w:ascii="Arial" w:eastAsia="Times New Roman" w:hAnsi="Arial" w:cs="Arial"/>
                <w:sz w:val="20"/>
                <w:szCs w:val="20"/>
                <w:lang w:eastAsia="sk-SK"/>
              </w:rPr>
              <w:t>dlhodobé záväzky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53 689</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37 688</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36 281</w:t>
            </w:r>
          </w:p>
        </w:tc>
      </w:tr>
      <w:tr w:rsidR="005568B1" w:rsidRPr="008C5621" w:rsidTr="005568B1">
        <w:trPr>
          <w:trHeight w:val="255"/>
        </w:trPr>
        <w:tc>
          <w:tcPr>
            <w:tcW w:w="2310" w:type="pct"/>
            <w:tcBorders>
              <w:top w:val="nil"/>
              <w:left w:val="single" w:sz="4" w:space="0" w:color="auto"/>
              <w:bottom w:val="single" w:sz="4" w:space="0" w:color="auto"/>
              <w:right w:val="single" w:sz="4"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8C5621">
              <w:rPr>
                <w:rFonts w:ascii="Arial" w:eastAsia="Times New Roman" w:hAnsi="Arial" w:cs="Arial"/>
                <w:sz w:val="20"/>
                <w:szCs w:val="20"/>
                <w:lang w:eastAsia="sk-SK"/>
              </w:rPr>
              <w:t>krátkodobé záväzky</w:t>
            </w:r>
          </w:p>
        </w:tc>
        <w:tc>
          <w:tcPr>
            <w:tcW w:w="897" w:type="pct"/>
            <w:tcBorders>
              <w:top w:val="nil"/>
              <w:left w:val="nil"/>
              <w:bottom w:val="single" w:sz="4" w:space="0" w:color="auto"/>
              <w:right w:val="single" w:sz="4"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1 335 654</w:t>
            </w:r>
          </w:p>
        </w:tc>
        <w:tc>
          <w:tcPr>
            <w:tcW w:w="897" w:type="pct"/>
            <w:tcBorders>
              <w:top w:val="nil"/>
              <w:left w:val="nil"/>
              <w:bottom w:val="single" w:sz="4" w:space="0" w:color="auto"/>
              <w:right w:val="single" w:sz="4"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1 700 904</w:t>
            </w:r>
          </w:p>
        </w:tc>
        <w:tc>
          <w:tcPr>
            <w:tcW w:w="896" w:type="pct"/>
            <w:tcBorders>
              <w:top w:val="nil"/>
              <w:left w:val="nil"/>
              <w:bottom w:val="single" w:sz="4" w:space="0" w:color="auto"/>
              <w:right w:val="single" w:sz="4"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sz w:val="20"/>
                <w:szCs w:val="20"/>
                <w:lang w:eastAsia="sk-SK"/>
              </w:rPr>
            </w:pPr>
            <w:r>
              <w:rPr>
                <w:rFonts w:ascii="Arial" w:eastAsia="Times New Roman" w:hAnsi="Arial" w:cs="Arial"/>
                <w:sz w:val="20"/>
                <w:szCs w:val="20"/>
                <w:lang w:eastAsia="sk-SK"/>
              </w:rPr>
              <w:t>1 824 085</w:t>
            </w:r>
          </w:p>
        </w:tc>
      </w:tr>
      <w:tr w:rsidR="005568B1" w:rsidRPr="008C5621" w:rsidTr="005568B1">
        <w:trPr>
          <w:trHeight w:val="270"/>
        </w:trPr>
        <w:tc>
          <w:tcPr>
            <w:tcW w:w="2310" w:type="pct"/>
            <w:tcBorders>
              <w:top w:val="nil"/>
              <w:left w:val="single" w:sz="4" w:space="0" w:color="auto"/>
              <w:bottom w:val="nil"/>
              <w:right w:val="single" w:sz="4" w:space="0" w:color="auto"/>
            </w:tcBorders>
            <w:shd w:val="clear" w:color="auto" w:fill="auto"/>
            <w:noWrap/>
            <w:vAlign w:val="bottom"/>
            <w:hideMark/>
          </w:tcPr>
          <w:p w:rsidR="005568B1" w:rsidRPr="00B46A44" w:rsidRDefault="005568B1" w:rsidP="005568B1">
            <w:pPr>
              <w:spacing w:after="0" w:line="240" w:lineRule="auto"/>
              <w:rPr>
                <w:rFonts w:ascii="Arial" w:eastAsia="Times New Roman" w:hAnsi="Arial" w:cs="Arial"/>
                <w:b/>
                <w:sz w:val="20"/>
                <w:szCs w:val="20"/>
                <w:lang w:eastAsia="sk-SK"/>
              </w:rPr>
            </w:pPr>
            <w:r w:rsidRPr="00B46A44">
              <w:rPr>
                <w:rFonts w:ascii="Arial" w:eastAsia="Times New Roman" w:hAnsi="Arial" w:cs="Arial"/>
                <w:b/>
                <w:sz w:val="20"/>
                <w:szCs w:val="20"/>
                <w:lang w:eastAsia="sk-SK"/>
              </w:rPr>
              <w:t>ostatné pasíva</w:t>
            </w:r>
          </w:p>
        </w:tc>
        <w:tc>
          <w:tcPr>
            <w:tcW w:w="897" w:type="pct"/>
            <w:tcBorders>
              <w:top w:val="nil"/>
              <w:left w:val="nil"/>
              <w:bottom w:val="nil"/>
              <w:right w:val="single" w:sz="4" w:space="0" w:color="auto"/>
            </w:tcBorders>
            <w:shd w:val="clear" w:color="000000" w:fill="CCFFFF"/>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363 887</w:t>
            </w:r>
          </w:p>
        </w:tc>
        <w:tc>
          <w:tcPr>
            <w:tcW w:w="897" w:type="pct"/>
            <w:tcBorders>
              <w:top w:val="nil"/>
              <w:left w:val="nil"/>
              <w:bottom w:val="nil"/>
              <w:right w:val="single" w:sz="4" w:space="0" w:color="auto"/>
            </w:tcBorders>
            <w:shd w:val="clear" w:color="000000" w:fill="FFFF99"/>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359 428</w:t>
            </w:r>
          </w:p>
        </w:tc>
        <w:tc>
          <w:tcPr>
            <w:tcW w:w="896" w:type="pct"/>
            <w:tcBorders>
              <w:top w:val="nil"/>
              <w:left w:val="nil"/>
              <w:bottom w:val="nil"/>
              <w:right w:val="single" w:sz="4" w:space="0" w:color="auto"/>
            </w:tcBorders>
            <w:shd w:val="clear" w:color="000000" w:fill="C6E0B4"/>
            <w:noWrap/>
            <w:vAlign w:val="bottom"/>
            <w:hideMark/>
          </w:tcPr>
          <w:p w:rsidR="005568B1" w:rsidRPr="00B46A44" w:rsidRDefault="005568B1" w:rsidP="005568B1">
            <w:pPr>
              <w:spacing w:after="0" w:line="240" w:lineRule="auto"/>
              <w:jc w:val="right"/>
              <w:rPr>
                <w:rFonts w:ascii="Arial" w:eastAsia="Times New Roman" w:hAnsi="Arial" w:cs="Arial"/>
                <w:b/>
                <w:sz w:val="20"/>
                <w:szCs w:val="20"/>
                <w:lang w:eastAsia="sk-SK"/>
              </w:rPr>
            </w:pPr>
            <w:r>
              <w:rPr>
                <w:rFonts w:ascii="Arial" w:eastAsia="Times New Roman" w:hAnsi="Arial" w:cs="Arial"/>
                <w:b/>
                <w:sz w:val="20"/>
                <w:szCs w:val="20"/>
                <w:lang w:eastAsia="sk-SK"/>
              </w:rPr>
              <w:t>220 309</w:t>
            </w:r>
          </w:p>
        </w:tc>
      </w:tr>
      <w:tr w:rsidR="005568B1" w:rsidRPr="008C5621" w:rsidTr="005568B1">
        <w:trPr>
          <w:trHeight w:val="270"/>
        </w:trPr>
        <w:tc>
          <w:tcPr>
            <w:tcW w:w="231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68B1" w:rsidRPr="008C5621" w:rsidRDefault="005568B1" w:rsidP="005568B1">
            <w:pPr>
              <w:spacing w:after="0" w:line="240" w:lineRule="auto"/>
              <w:rPr>
                <w:rFonts w:ascii="Arial" w:eastAsia="Times New Roman" w:hAnsi="Arial" w:cs="Arial"/>
                <w:b/>
                <w:bCs/>
                <w:sz w:val="20"/>
                <w:szCs w:val="20"/>
                <w:lang w:eastAsia="sk-SK"/>
              </w:rPr>
            </w:pPr>
            <w:r w:rsidRPr="008C5621">
              <w:rPr>
                <w:rFonts w:ascii="Arial" w:eastAsia="Times New Roman" w:hAnsi="Arial" w:cs="Arial"/>
                <w:b/>
                <w:bCs/>
                <w:sz w:val="20"/>
                <w:szCs w:val="20"/>
                <w:lang w:eastAsia="sk-SK"/>
              </w:rPr>
              <w:t>PASÍVA SPOLU</w:t>
            </w:r>
          </w:p>
        </w:tc>
        <w:tc>
          <w:tcPr>
            <w:tcW w:w="897" w:type="pct"/>
            <w:tcBorders>
              <w:top w:val="single" w:sz="8" w:space="0" w:color="auto"/>
              <w:left w:val="nil"/>
              <w:bottom w:val="single" w:sz="8" w:space="0" w:color="auto"/>
              <w:right w:val="single" w:sz="8" w:space="0" w:color="auto"/>
            </w:tcBorders>
            <w:shd w:val="clear" w:color="000000" w:fill="CCFFFF"/>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7 738 222</w:t>
            </w:r>
          </w:p>
        </w:tc>
        <w:tc>
          <w:tcPr>
            <w:tcW w:w="897" w:type="pct"/>
            <w:tcBorders>
              <w:top w:val="single" w:sz="8" w:space="0" w:color="auto"/>
              <w:left w:val="nil"/>
              <w:bottom w:val="single" w:sz="8" w:space="0" w:color="auto"/>
              <w:right w:val="single" w:sz="8" w:space="0" w:color="auto"/>
            </w:tcBorders>
            <w:shd w:val="clear" w:color="000000" w:fill="FFFF99"/>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8 138 985</w:t>
            </w:r>
          </w:p>
        </w:tc>
        <w:tc>
          <w:tcPr>
            <w:tcW w:w="896" w:type="pct"/>
            <w:tcBorders>
              <w:top w:val="single" w:sz="8" w:space="0" w:color="auto"/>
              <w:left w:val="nil"/>
              <w:bottom w:val="single" w:sz="8" w:space="0" w:color="auto"/>
              <w:right w:val="single" w:sz="8" w:space="0" w:color="auto"/>
            </w:tcBorders>
            <w:shd w:val="clear" w:color="000000" w:fill="C6E0B4"/>
            <w:noWrap/>
            <w:vAlign w:val="bottom"/>
            <w:hideMark/>
          </w:tcPr>
          <w:p w:rsidR="005568B1" w:rsidRPr="008C5621" w:rsidRDefault="005568B1" w:rsidP="005568B1">
            <w:pPr>
              <w:spacing w:after="0" w:line="240" w:lineRule="auto"/>
              <w:jc w:val="right"/>
              <w:rPr>
                <w:rFonts w:ascii="Arial" w:eastAsia="Times New Roman" w:hAnsi="Arial" w:cs="Arial"/>
                <w:b/>
                <w:bCs/>
                <w:i/>
                <w:iCs/>
                <w:sz w:val="20"/>
                <w:szCs w:val="20"/>
                <w:lang w:eastAsia="sk-SK"/>
              </w:rPr>
            </w:pPr>
            <w:r>
              <w:rPr>
                <w:rFonts w:ascii="Arial" w:eastAsia="Times New Roman" w:hAnsi="Arial" w:cs="Arial"/>
                <w:b/>
                <w:bCs/>
                <w:i/>
                <w:iCs/>
                <w:sz w:val="20"/>
                <w:szCs w:val="20"/>
                <w:lang w:eastAsia="sk-SK"/>
              </w:rPr>
              <w:t>8 323 444</w:t>
            </w:r>
          </w:p>
        </w:tc>
      </w:tr>
    </w:tbl>
    <w:p w:rsidR="005568B1" w:rsidRDefault="005568B1" w:rsidP="005568B1">
      <w:pPr>
        <w:spacing w:after="120" w:line="240" w:lineRule="auto"/>
        <w:jc w:val="both"/>
        <w:rPr>
          <w:rFonts w:ascii="Arial" w:eastAsia="Times New Roman" w:hAnsi="Arial" w:cs="Arial"/>
          <w:sz w:val="24"/>
          <w:szCs w:val="24"/>
        </w:rPr>
      </w:pPr>
    </w:p>
    <w:p w:rsidR="005568B1" w:rsidRPr="009A4FA8" w:rsidRDefault="005568B1" w:rsidP="005568B1">
      <w:pPr>
        <w:spacing w:after="120" w:line="240" w:lineRule="auto"/>
        <w:jc w:val="both"/>
        <w:rPr>
          <w:rFonts w:ascii="Arial" w:eastAsia="Times New Roman" w:hAnsi="Arial" w:cs="Arial"/>
          <w:sz w:val="24"/>
          <w:szCs w:val="24"/>
        </w:rPr>
      </w:pPr>
      <w:r w:rsidRPr="009A4FA8">
        <w:rPr>
          <w:rFonts w:ascii="Arial" w:eastAsia="Times New Roman" w:hAnsi="Arial" w:cs="Arial"/>
          <w:sz w:val="24"/>
          <w:szCs w:val="24"/>
        </w:rPr>
        <w:t xml:space="preserve">Medziročne došlo k nárastu majetku spoločnosti BYTTERM, a.s.  o 184,4 tis. EUR. Stále aktíva vzrástli  o 628,9 tis. EUR najmä vplyvom rastu dlhodobého hmotného majetku. Obežné aktíva medziročne poklesli o 442,5 tis. EUR predovšetkým z dôvodu poklesu finančného majetku a účtov (investícia do obnovy administratívnej budovy, umorenie vlastných akcií). Ostatné aktíva (náklady a príjmy budúcich období) medziročne poklesli o 1,9 tis. EUR. Štruktúra majetku sa zmenila v prospech stálych aktív, podiel ktorých vzrástol z 53,3% na 59,7 % na úkor finančného majetku, podiel ktorého poklesol o 8 p.b. na 11,9% z celkových aktív. </w:t>
      </w:r>
    </w:p>
    <w:p w:rsidR="005568B1" w:rsidRPr="008C5621" w:rsidRDefault="005568B1" w:rsidP="005568B1">
      <w:pPr>
        <w:spacing w:after="120" w:line="240" w:lineRule="auto"/>
        <w:jc w:val="both"/>
        <w:rPr>
          <w:rFonts w:ascii="Myriad Pro" w:eastAsia="Times New Roman" w:hAnsi="Myriad Pro" w:cs="Arial"/>
          <w:sz w:val="24"/>
          <w:szCs w:val="24"/>
        </w:rPr>
      </w:pPr>
    </w:p>
    <w:p w:rsidR="005568B1" w:rsidRPr="008C5621" w:rsidRDefault="005568B1" w:rsidP="005568B1">
      <w:pPr>
        <w:spacing w:after="120" w:line="240" w:lineRule="auto"/>
        <w:jc w:val="both"/>
        <w:rPr>
          <w:rFonts w:ascii="Myriad Pro" w:eastAsia="Times New Roman" w:hAnsi="Myriad Pro" w:cs="Arial"/>
          <w:sz w:val="24"/>
          <w:szCs w:val="24"/>
        </w:rPr>
      </w:pPr>
      <w:r>
        <w:rPr>
          <w:rFonts w:ascii="Century Schoolbook" w:eastAsia="Times New Roman" w:hAnsi="Century Schoolbook" w:cs="Times New Roman"/>
          <w:noProof/>
          <w:color w:val="414751"/>
          <w:sz w:val="20"/>
          <w:szCs w:val="20"/>
          <w:lang w:eastAsia="sk-SK"/>
        </w:rPr>
        <w:tab/>
      </w:r>
      <w:r>
        <w:rPr>
          <w:noProof/>
          <w:lang w:eastAsia="sk-SK"/>
        </w:rPr>
        <w:drawing>
          <wp:inline distT="0" distB="0" distL="0" distR="0" wp14:anchorId="3562545E" wp14:editId="184B5A97">
            <wp:extent cx="4572000" cy="2247900"/>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68B1" w:rsidRDefault="005568B1" w:rsidP="005568B1">
      <w:pPr>
        <w:spacing w:after="120" w:line="240" w:lineRule="auto"/>
        <w:jc w:val="both"/>
        <w:rPr>
          <w:rFonts w:ascii="Arial" w:eastAsia="Times New Roman" w:hAnsi="Arial" w:cs="Arial"/>
          <w:sz w:val="24"/>
          <w:szCs w:val="24"/>
        </w:rPr>
      </w:pPr>
    </w:p>
    <w:p w:rsidR="005568B1" w:rsidRPr="009A4FA8" w:rsidRDefault="005568B1" w:rsidP="005568B1">
      <w:pPr>
        <w:spacing w:after="120" w:line="240" w:lineRule="auto"/>
        <w:jc w:val="both"/>
        <w:rPr>
          <w:rFonts w:ascii="Arial" w:eastAsia="Times New Roman" w:hAnsi="Arial" w:cs="Arial"/>
          <w:sz w:val="24"/>
          <w:szCs w:val="24"/>
        </w:rPr>
      </w:pPr>
      <w:r w:rsidRPr="009A4FA8">
        <w:rPr>
          <w:rFonts w:ascii="Arial" w:eastAsia="Times New Roman" w:hAnsi="Arial" w:cs="Arial"/>
          <w:sz w:val="24"/>
          <w:szCs w:val="24"/>
        </w:rPr>
        <w:t xml:space="preserve">Majetok akciovej spoločnosti v celkovej výške 8 323,4 tis. EUR bol krytý vlastnými a cudzími zdrojmi. Vlastné imanie BYTTERM, a.s. vo výške 6 102,4 tis. EUR predstavuje 73,3 % celkových zdrojov krytia, pričom medziročne vzrástlo o 203,7 tis. EUR vplyvom rastu hospodárskych výsledkov minulých rokov ako aj bežného účtovného obdobia. Základom vlastného imania sú fondy zo zisku a hospodárske výsledky minulých rokov a bežného obdobia , ktoré predstavujú 89,4 % vlastného imania, základné imanie k 31.12.2016 tvorí 3,7 % vlastného imania a kapitálové fondy sa na ňom podieľajú 6,9 %. Cudzie zdroje sa podieľajú 24 % na celkových zdrojoch, pričom vzrástli o 119,9 tis. EUR v dôsledku nárastu krátkodobých záväzkov o 123,2 tis. EUR (nevyfakturované dodávky za energie, ktoré budú vysporiadané v roku 2017), pri súčasnom poklese dlhodobých záväzkov o 1,4 tis. EUR a rezerv o 1,9 tis. EUR.      V štruktúre záväzkov sa v dôsledku nárastu HV minulých rokov medziročne mierne zvýšil podiel vlastného imania o 0,8 p.b. na úkor cudzích zdrojov a kvôli nižším preplatkom z vyúčtovania ceny tepla za rok 2016 sa medziročne znížil  podiel ostatných pasív zo 4,4 % na 2,7% z celkových pasív. </w:t>
      </w:r>
    </w:p>
    <w:p w:rsidR="005568B1" w:rsidRPr="008C5621" w:rsidRDefault="005568B1" w:rsidP="005568B1">
      <w:pPr>
        <w:spacing w:after="120" w:line="240" w:lineRule="auto"/>
        <w:jc w:val="both"/>
        <w:rPr>
          <w:rFonts w:ascii="Myriad Pro" w:eastAsia="Times New Roman" w:hAnsi="Myriad Pro" w:cs="Arial"/>
          <w:sz w:val="24"/>
          <w:szCs w:val="24"/>
        </w:rPr>
      </w:pPr>
    </w:p>
    <w:p w:rsidR="005568B1" w:rsidRPr="008C5621" w:rsidRDefault="005568B1" w:rsidP="005568B1">
      <w:pPr>
        <w:spacing w:after="120" w:line="240" w:lineRule="auto"/>
        <w:jc w:val="both"/>
        <w:rPr>
          <w:rFonts w:ascii="Myriad Pro" w:eastAsia="Times New Roman" w:hAnsi="Myriad Pro" w:cs="Arial"/>
          <w:sz w:val="24"/>
          <w:szCs w:val="24"/>
        </w:rPr>
      </w:pPr>
      <w:r>
        <w:rPr>
          <w:rFonts w:ascii="Century Schoolbook" w:eastAsia="Times New Roman" w:hAnsi="Century Schoolbook" w:cs="Times New Roman"/>
          <w:noProof/>
          <w:color w:val="414751"/>
          <w:sz w:val="20"/>
          <w:szCs w:val="20"/>
          <w:lang w:eastAsia="sk-SK"/>
        </w:rPr>
        <w:lastRenderedPageBreak/>
        <w:tab/>
      </w:r>
      <w:r>
        <w:rPr>
          <w:rFonts w:ascii="Century Schoolbook" w:eastAsia="Times New Roman" w:hAnsi="Century Schoolbook" w:cs="Times New Roman"/>
          <w:noProof/>
          <w:color w:val="414751"/>
          <w:sz w:val="20"/>
          <w:szCs w:val="20"/>
          <w:lang w:eastAsia="sk-SK"/>
        </w:rPr>
        <w:drawing>
          <wp:inline distT="0" distB="0" distL="0" distR="0" wp14:anchorId="1DDF0E6D" wp14:editId="11392E96">
            <wp:extent cx="4572635" cy="274320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5568B1" w:rsidRPr="008C5621" w:rsidRDefault="005568B1" w:rsidP="005568B1">
      <w:pPr>
        <w:spacing w:after="120" w:line="240" w:lineRule="auto"/>
        <w:jc w:val="both"/>
        <w:rPr>
          <w:rFonts w:ascii="Myriad Pro" w:eastAsia="Times New Roman" w:hAnsi="Myriad Pro" w:cs="Arial"/>
          <w:sz w:val="24"/>
          <w:szCs w:val="24"/>
        </w:rPr>
      </w:pPr>
    </w:p>
    <w:p w:rsidR="005568B1" w:rsidRPr="008C5621" w:rsidRDefault="005568B1" w:rsidP="005568B1">
      <w:pPr>
        <w:rPr>
          <w:rFonts w:ascii="Myriad Pro" w:hAnsi="Myriad Pro" w:cs="Arial"/>
          <w:b/>
          <w:smallCaps/>
          <w:color w:val="385623" w:themeColor="accent6" w:themeShade="80"/>
          <w:sz w:val="32"/>
          <w:szCs w:val="32"/>
        </w:rPr>
      </w:pPr>
    </w:p>
    <w:p w:rsidR="005568B1" w:rsidRPr="004D5EBF"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finančná situácia</w:t>
      </w:r>
    </w:p>
    <w:p w:rsidR="005568B1" w:rsidRDefault="005568B1" w:rsidP="005568B1">
      <w:pPr>
        <w:spacing w:line="240" w:lineRule="auto"/>
        <w:jc w:val="both"/>
        <w:rPr>
          <w:rFonts w:ascii="Arial" w:hAnsi="Arial" w:cs="Arial"/>
          <w:sz w:val="24"/>
          <w:szCs w:val="24"/>
        </w:rPr>
      </w:pPr>
      <w:r w:rsidRPr="008C5621">
        <w:rPr>
          <w:rFonts w:ascii="Arial" w:hAnsi="Arial" w:cs="Arial"/>
          <w:sz w:val="24"/>
          <w:szCs w:val="24"/>
        </w:rPr>
        <w:t>Finančná situácia akciovej spoločnosti bola v roku 201</w:t>
      </w:r>
      <w:r>
        <w:rPr>
          <w:rFonts w:ascii="Arial" w:hAnsi="Arial" w:cs="Arial"/>
          <w:sz w:val="24"/>
          <w:szCs w:val="24"/>
        </w:rPr>
        <w:t>6 napriek vyšším výdajom na investície</w:t>
      </w:r>
      <w:r w:rsidRPr="008C5621">
        <w:rPr>
          <w:rFonts w:ascii="Arial" w:hAnsi="Arial" w:cs="Arial"/>
          <w:sz w:val="24"/>
          <w:szCs w:val="24"/>
        </w:rPr>
        <w:t xml:space="preserve"> stabilizovaná. Naše záväzky boli uhrádzané priebežne, po splatnosti k 31.12.201</w:t>
      </w:r>
      <w:r>
        <w:rPr>
          <w:rFonts w:ascii="Arial" w:hAnsi="Arial" w:cs="Arial"/>
          <w:sz w:val="24"/>
          <w:szCs w:val="24"/>
        </w:rPr>
        <w:t>6</w:t>
      </w:r>
      <w:r w:rsidRPr="008C5621">
        <w:rPr>
          <w:rFonts w:ascii="Arial" w:hAnsi="Arial" w:cs="Arial"/>
          <w:sz w:val="24"/>
          <w:szCs w:val="24"/>
        </w:rPr>
        <w:t xml:space="preserve"> evidujeme záväzky vo výške </w:t>
      </w:r>
      <w:r>
        <w:rPr>
          <w:rFonts w:ascii="Arial" w:hAnsi="Arial" w:cs="Arial"/>
          <w:sz w:val="24"/>
          <w:szCs w:val="24"/>
        </w:rPr>
        <w:t>11,9</w:t>
      </w:r>
      <w:r w:rsidRPr="008C5621">
        <w:rPr>
          <w:rFonts w:ascii="Arial" w:hAnsi="Arial" w:cs="Arial"/>
          <w:sz w:val="24"/>
          <w:szCs w:val="24"/>
        </w:rPr>
        <w:t xml:space="preserve"> tis. EUR, čo je  </w:t>
      </w:r>
      <w:r>
        <w:rPr>
          <w:rFonts w:ascii="Arial" w:hAnsi="Arial" w:cs="Arial"/>
          <w:sz w:val="24"/>
          <w:szCs w:val="24"/>
        </w:rPr>
        <w:t>0,83</w:t>
      </w:r>
      <w:r w:rsidRPr="008C5621">
        <w:rPr>
          <w:rFonts w:ascii="Arial" w:hAnsi="Arial" w:cs="Arial"/>
          <w:sz w:val="24"/>
          <w:szCs w:val="24"/>
        </w:rPr>
        <w:t xml:space="preserve"> % </w:t>
      </w:r>
      <w:r>
        <w:rPr>
          <w:rFonts w:ascii="Arial" w:hAnsi="Arial" w:cs="Arial"/>
          <w:sz w:val="24"/>
          <w:szCs w:val="24"/>
        </w:rPr>
        <w:t xml:space="preserve">zo záväzkov z obchodného styku, </w:t>
      </w:r>
      <w:r w:rsidRPr="008C5621">
        <w:rPr>
          <w:rFonts w:ascii="Arial" w:hAnsi="Arial" w:cs="Arial"/>
          <w:sz w:val="24"/>
          <w:szCs w:val="24"/>
        </w:rPr>
        <w:t xml:space="preserve">pričom </w:t>
      </w:r>
      <w:r>
        <w:rPr>
          <w:rFonts w:ascii="Arial" w:hAnsi="Arial" w:cs="Arial"/>
          <w:sz w:val="24"/>
          <w:szCs w:val="24"/>
        </w:rPr>
        <w:t>95,7</w:t>
      </w:r>
      <w:r w:rsidRPr="008C5621">
        <w:rPr>
          <w:rFonts w:ascii="Arial" w:hAnsi="Arial" w:cs="Arial"/>
          <w:sz w:val="24"/>
          <w:szCs w:val="24"/>
        </w:rPr>
        <w:t xml:space="preserve">% z nich bolo po splatnosti do 30 dní. </w:t>
      </w:r>
    </w:p>
    <w:p w:rsidR="005568B1" w:rsidRDefault="005568B1" w:rsidP="005568B1">
      <w:pPr>
        <w:spacing w:line="240" w:lineRule="auto"/>
        <w:jc w:val="both"/>
        <w:rPr>
          <w:rFonts w:ascii="Arial" w:hAnsi="Arial" w:cs="Arial"/>
          <w:sz w:val="24"/>
          <w:szCs w:val="24"/>
        </w:rPr>
      </w:pPr>
      <w:r w:rsidRPr="008C5621">
        <w:rPr>
          <w:rFonts w:ascii="Arial" w:hAnsi="Arial" w:cs="Arial"/>
          <w:sz w:val="24"/>
          <w:szCs w:val="24"/>
        </w:rPr>
        <w:t xml:space="preserve">Pohľadávky sa darilo vymáhať vo vysokej miere, len </w:t>
      </w:r>
      <w:r>
        <w:rPr>
          <w:rFonts w:ascii="Arial" w:hAnsi="Arial" w:cs="Arial"/>
          <w:sz w:val="24"/>
          <w:szCs w:val="24"/>
        </w:rPr>
        <w:t>5,27</w:t>
      </w:r>
      <w:r w:rsidRPr="008C5621">
        <w:rPr>
          <w:rFonts w:ascii="Arial" w:hAnsi="Arial" w:cs="Arial"/>
          <w:sz w:val="24"/>
          <w:szCs w:val="24"/>
        </w:rPr>
        <w:t xml:space="preserve">% pohľadávok z obchodného styku  predstavujú pohľadávky po splatnosti, pričom </w:t>
      </w:r>
      <w:r>
        <w:rPr>
          <w:rFonts w:ascii="Arial" w:hAnsi="Arial" w:cs="Arial"/>
          <w:sz w:val="24"/>
          <w:szCs w:val="24"/>
        </w:rPr>
        <w:t>34,9</w:t>
      </w:r>
      <w:r w:rsidRPr="008C5621">
        <w:rPr>
          <w:rFonts w:ascii="Arial" w:hAnsi="Arial" w:cs="Arial"/>
          <w:sz w:val="24"/>
          <w:szCs w:val="24"/>
        </w:rPr>
        <w:t xml:space="preserve">% z nich je po splatnosti do 180 dní. </w:t>
      </w:r>
      <w:r>
        <w:rPr>
          <w:rFonts w:ascii="Arial" w:hAnsi="Arial" w:cs="Arial"/>
          <w:sz w:val="24"/>
          <w:szCs w:val="24"/>
        </w:rPr>
        <w:t>Mierny m</w:t>
      </w:r>
      <w:r w:rsidRPr="008C5621">
        <w:rPr>
          <w:rFonts w:ascii="Arial" w:hAnsi="Arial" w:cs="Arial"/>
          <w:sz w:val="24"/>
          <w:szCs w:val="24"/>
        </w:rPr>
        <w:t xml:space="preserve">edziročný nárast pohľadávok po splatnosti </w:t>
      </w:r>
      <w:r>
        <w:rPr>
          <w:rFonts w:ascii="Arial" w:hAnsi="Arial" w:cs="Arial"/>
          <w:sz w:val="24"/>
          <w:szCs w:val="24"/>
        </w:rPr>
        <w:t>o 8,9 tis. EUR,                     t.j. o 8,2 % bol spôsobený nárastom pohľadávok po splatnosti do 30 dní voči bytovým domom a doúčtovaním úrokov z omeškania k pohľadávkam starším ako 360 dní.</w:t>
      </w:r>
      <w:r w:rsidRPr="008C5621">
        <w:rPr>
          <w:rFonts w:ascii="Arial" w:hAnsi="Arial" w:cs="Arial"/>
          <w:sz w:val="24"/>
          <w:szCs w:val="24"/>
        </w:rPr>
        <w:t xml:space="preserve"> K všetkým pohľadávkam starším ako 360 dní v celkovej výške </w:t>
      </w:r>
      <w:r>
        <w:rPr>
          <w:rFonts w:ascii="Arial" w:hAnsi="Arial" w:cs="Arial"/>
          <w:sz w:val="24"/>
          <w:szCs w:val="24"/>
        </w:rPr>
        <w:t>72,6</w:t>
      </w:r>
      <w:r w:rsidRPr="008C5621">
        <w:rPr>
          <w:rFonts w:ascii="Arial" w:hAnsi="Arial" w:cs="Arial"/>
          <w:sz w:val="24"/>
          <w:szCs w:val="24"/>
        </w:rPr>
        <w:t xml:space="preserve"> tis. EUR sú vytvorené opravné položky v zmysle zákona o dani z príjmov.</w:t>
      </w:r>
    </w:p>
    <w:p w:rsidR="005568B1" w:rsidRPr="009E7067" w:rsidRDefault="005568B1" w:rsidP="005568B1">
      <w:pPr>
        <w:ind w:right="563"/>
        <w:jc w:val="both"/>
        <w:rPr>
          <w:rFonts w:ascii="Arial" w:hAnsi="Arial" w:cs="Arial"/>
          <w:color w:val="2F5496" w:themeColor="accent5" w:themeShade="BF"/>
          <w:sz w:val="32"/>
          <w:szCs w:val="32"/>
        </w:rPr>
      </w:pPr>
      <w:r w:rsidRPr="009E7067">
        <w:rPr>
          <w:rFonts w:ascii="Arial" w:hAnsi="Arial" w:cs="Arial"/>
          <w:color w:val="2F5496" w:themeColor="accent5" w:themeShade="BF"/>
          <w:sz w:val="32"/>
          <w:szCs w:val="32"/>
        </w:rPr>
        <w:t>Ukazovatele likvidity</w:t>
      </w:r>
    </w:p>
    <w:p w:rsidR="005568B1" w:rsidRPr="008C5621" w:rsidRDefault="005568B1" w:rsidP="005568B1">
      <w:pPr>
        <w:spacing w:line="240" w:lineRule="auto"/>
        <w:jc w:val="both"/>
        <w:rPr>
          <w:rFonts w:ascii="Arial" w:hAnsi="Arial" w:cs="Arial"/>
          <w:sz w:val="24"/>
          <w:szCs w:val="24"/>
          <w:lang w:val="cs-CZ"/>
        </w:rPr>
      </w:pPr>
      <w:r w:rsidRPr="008C5621">
        <w:rPr>
          <w:rFonts w:ascii="Arial" w:hAnsi="Arial" w:cs="Arial"/>
          <w:b/>
          <w:sz w:val="24"/>
          <w:szCs w:val="24"/>
        </w:rPr>
        <w:t>pohotová likvidita</w:t>
      </w:r>
      <w:r w:rsidRPr="008C5621">
        <w:rPr>
          <w:rFonts w:ascii="Arial" w:hAnsi="Arial" w:cs="Arial"/>
          <w:sz w:val="24"/>
          <w:szCs w:val="24"/>
        </w:rPr>
        <w:t xml:space="preserve"> = finančné účty/krátkodobé záväzky=</w:t>
      </w:r>
      <w:r w:rsidRPr="008C5621">
        <w:rPr>
          <w:rFonts w:ascii="Arial" w:hAnsi="Arial" w:cs="Arial"/>
          <w:sz w:val="24"/>
          <w:szCs w:val="24"/>
          <w:lang w:val="en-US"/>
        </w:rPr>
        <w:t xml:space="preserve"> </w:t>
      </w:r>
      <w:r w:rsidRPr="008C5621">
        <w:rPr>
          <w:rFonts w:ascii="Arial" w:hAnsi="Arial" w:cs="Arial"/>
          <w:b/>
          <w:sz w:val="24"/>
          <w:szCs w:val="24"/>
          <w:lang w:val="en-US"/>
        </w:rPr>
        <w:t>0,</w:t>
      </w:r>
      <w:r>
        <w:rPr>
          <w:rFonts w:ascii="Arial" w:hAnsi="Arial" w:cs="Arial"/>
          <w:b/>
          <w:sz w:val="24"/>
          <w:szCs w:val="24"/>
          <w:lang w:val="en-US"/>
        </w:rPr>
        <w:t>54</w:t>
      </w:r>
    </w:p>
    <w:p w:rsidR="005568B1" w:rsidRPr="008C5621" w:rsidRDefault="005568B1" w:rsidP="005568B1">
      <w:pPr>
        <w:spacing w:line="240" w:lineRule="auto"/>
        <w:jc w:val="both"/>
        <w:rPr>
          <w:rFonts w:ascii="Arial" w:hAnsi="Arial" w:cs="Arial"/>
          <w:sz w:val="24"/>
          <w:szCs w:val="24"/>
        </w:rPr>
      </w:pPr>
      <w:r w:rsidRPr="008C5621">
        <w:rPr>
          <w:rFonts w:ascii="Arial" w:hAnsi="Arial" w:cs="Arial"/>
          <w:b/>
          <w:sz w:val="24"/>
          <w:szCs w:val="24"/>
          <w:lang w:val="cs-CZ"/>
        </w:rPr>
        <w:t>bežná likvidita</w:t>
      </w:r>
      <w:r w:rsidRPr="008C5621">
        <w:rPr>
          <w:rFonts w:ascii="Arial" w:hAnsi="Arial" w:cs="Arial"/>
          <w:sz w:val="24"/>
          <w:szCs w:val="24"/>
          <w:lang w:val="cs-CZ"/>
        </w:rPr>
        <w:t xml:space="preserve"> </w:t>
      </w:r>
      <w:r w:rsidRPr="008C5621">
        <w:rPr>
          <w:rFonts w:ascii="Arial" w:hAnsi="Arial" w:cs="Arial"/>
          <w:sz w:val="24"/>
          <w:szCs w:val="24"/>
        </w:rPr>
        <w:t xml:space="preserve">= krát. fin. majetok + fin. účty + pohľadávky/krátkodobé záväzky </w:t>
      </w:r>
      <w:r w:rsidRPr="008C5621">
        <w:rPr>
          <w:rFonts w:ascii="Arial" w:hAnsi="Arial" w:cs="Arial"/>
          <w:sz w:val="24"/>
          <w:szCs w:val="24"/>
          <w:lang w:val="cs-CZ"/>
        </w:rPr>
        <w:t>=</w:t>
      </w:r>
      <w:r w:rsidRPr="008C5621">
        <w:rPr>
          <w:rFonts w:ascii="Arial" w:hAnsi="Arial" w:cs="Arial"/>
          <w:sz w:val="24"/>
          <w:szCs w:val="24"/>
        </w:rPr>
        <w:t xml:space="preserve"> </w:t>
      </w:r>
      <w:r>
        <w:rPr>
          <w:rFonts w:ascii="Arial" w:hAnsi="Arial" w:cs="Arial"/>
          <w:b/>
          <w:sz w:val="24"/>
          <w:szCs w:val="24"/>
        </w:rPr>
        <w:t>1,73</w:t>
      </w:r>
    </w:p>
    <w:p w:rsidR="005568B1" w:rsidRPr="008C5621" w:rsidRDefault="005568B1" w:rsidP="005568B1">
      <w:pPr>
        <w:spacing w:line="240" w:lineRule="auto"/>
        <w:jc w:val="both"/>
        <w:rPr>
          <w:rFonts w:ascii="Arial" w:hAnsi="Arial" w:cs="Arial"/>
          <w:sz w:val="24"/>
          <w:szCs w:val="24"/>
        </w:rPr>
      </w:pPr>
      <w:r w:rsidRPr="008C5621">
        <w:rPr>
          <w:rFonts w:ascii="Arial" w:hAnsi="Arial" w:cs="Arial"/>
          <w:b/>
          <w:sz w:val="24"/>
          <w:szCs w:val="24"/>
        </w:rPr>
        <w:t>celková likvidita</w:t>
      </w:r>
      <w:r w:rsidRPr="008C5621">
        <w:rPr>
          <w:rFonts w:ascii="Arial" w:hAnsi="Arial" w:cs="Arial"/>
          <w:sz w:val="24"/>
          <w:szCs w:val="24"/>
        </w:rPr>
        <w:t xml:space="preserve"> </w:t>
      </w:r>
      <w:r w:rsidRPr="008C5621">
        <w:rPr>
          <w:rFonts w:ascii="Arial" w:hAnsi="Arial" w:cs="Arial"/>
          <w:sz w:val="24"/>
          <w:szCs w:val="24"/>
          <w:lang w:val="cs-CZ"/>
        </w:rPr>
        <w:t>=</w:t>
      </w:r>
      <w:r w:rsidRPr="008C5621">
        <w:rPr>
          <w:rFonts w:ascii="Arial" w:hAnsi="Arial" w:cs="Arial"/>
          <w:sz w:val="24"/>
          <w:szCs w:val="24"/>
        </w:rPr>
        <w:t xml:space="preserve"> obežný majetok/krátkodobé záväzky </w:t>
      </w:r>
      <w:r w:rsidRPr="008C5621">
        <w:rPr>
          <w:rFonts w:ascii="Arial" w:hAnsi="Arial" w:cs="Arial"/>
          <w:sz w:val="24"/>
          <w:szCs w:val="24"/>
          <w:lang w:val="cs-CZ"/>
        </w:rPr>
        <w:t xml:space="preserve">= </w:t>
      </w:r>
      <w:r>
        <w:rPr>
          <w:rFonts w:ascii="Arial" w:hAnsi="Arial" w:cs="Arial"/>
          <w:b/>
          <w:sz w:val="24"/>
          <w:szCs w:val="24"/>
        </w:rPr>
        <w:t>1,79</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ab/>
      </w:r>
    </w:p>
    <w:p w:rsidR="005568B1" w:rsidRPr="008C5621" w:rsidRDefault="005568B1" w:rsidP="005568B1">
      <w:pPr>
        <w:spacing w:line="240" w:lineRule="auto"/>
        <w:jc w:val="both"/>
        <w:rPr>
          <w:rFonts w:ascii="Arial" w:hAnsi="Arial" w:cs="Arial"/>
          <w:sz w:val="24"/>
          <w:szCs w:val="24"/>
        </w:rPr>
      </w:pPr>
      <w:r>
        <w:rPr>
          <w:rFonts w:ascii="Arial" w:hAnsi="Arial" w:cs="Arial"/>
          <w:sz w:val="24"/>
          <w:szCs w:val="24"/>
        </w:rPr>
        <w:t xml:space="preserve">Napriek poklesu stavu finančného majetku sú aj </w:t>
      </w:r>
      <w:r w:rsidRPr="008C5621">
        <w:rPr>
          <w:rFonts w:ascii="Arial" w:hAnsi="Arial" w:cs="Arial"/>
          <w:sz w:val="24"/>
          <w:szCs w:val="24"/>
        </w:rPr>
        <w:t>za rok 201</w:t>
      </w:r>
      <w:r>
        <w:rPr>
          <w:rFonts w:ascii="Arial" w:hAnsi="Arial" w:cs="Arial"/>
          <w:sz w:val="24"/>
          <w:szCs w:val="24"/>
        </w:rPr>
        <w:t xml:space="preserve">6 </w:t>
      </w:r>
      <w:r w:rsidRPr="008C5621">
        <w:rPr>
          <w:rFonts w:ascii="Arial" w:hAnsi="Arial" w:cs="Arial"/>
          <w:sz w:val="24"/>
          <w:szCs w:val="24"/>
        </w:rPr>
        <w:t xml:space="preserve"> </w:t>
      </w:r>
      <w:r>
        <w:rPr>
          <w:rFonts w:ascii="Arial" w:hAnsi="Arial" w:cs="Arial"/>
          <w:sz w:val="24"/>
          <w:szCs w:val="24"/>
        </w:rPr>
        <w:t>v</w:t>
      </w:r>
      <w:r w:rsidRPr="008C5621">
        <w:rPr>
          <w:rFonts w:ascii="Arial" w:hAnsi="Arial" w:cs="Arial"/>
          <w:sz w:val="24"/>
          <w:szCs w:val="24"/>
        </w:rPr>
        <w:t>šetky ukazovatele</w:t>
      </w:r>
      <w:r>
        <w:rPr>
          <w:rFonts w:ascii="Arial" w:hAnsi="Arial" w:cs="Arial"/>
          <w:sz w:val="24"/>
          <w:szCs w:val="24"/>
        </w:rPr>
        <w:t xml:space="preserve"> likvidity</w:t>
      </w:r>
      <w:r w:rsidRPr="008C5621">
        <w:rPr>
          <w:rFonts w:ascii="Arial" w:hAnsi="Arial" w:cs="Arial"/>
          <w:sz w:val="24"/>
          <w:szCs w:val="24"/>
        </w:rPr>
        <w:t xml:space="preserve"> </w:t>
      </w:r>
      <w:r>
        <w:rPr>
          <w:rFonts w:ascii="Arial" w:hAnsi="Arial" w:cs="Arial"/>
          <w:sz w:val="24"/>
          <w:szCs w:val="24"/>
        </w:rPr>
        <w:t>na úrovni odporúčaných hodnôt</w:t>
      </w:r>
      <w:r w:rsidRPr="008C5621">
        <w:rPr>
          <w:rFonts w:ascii="Arial" w:hAnsi="Arial" w:cs="Arial"/>
          <w:sz w:val="24"/>
          <w:szCs w:val="24"/>
        </w:rPr>
        <w:t>, čo znamená, že spoločnosť mala v roku 201</w:t>
      </w:r>
      <w:r>
        <w:rPr>
          <w:rFonts w:ascii="Arial" w:hAnsi="Arial" w:cs="Arial"/>
          <w:sz w:val="24"/>
          <w:szCs w:val="24"/>
        </w:rPr>
        <w:t>6</w:t>
      </w:r>
      <w:r w:rsidRPr="008C5621">
        <w:rPr>
          <w:rFonts w:ascii="Arial" w:hAnsi="Arial" w:cs="Arial"/>
          <w:sz w:val="24"/>
          <w:szCs w:val="24"/>
        </w:rPr>
        <w:t xml:space="preserve"> dostatok likvidných aktív na krytie svojich krátkodobých záväzkov a jej platobná schopnosť nebola ohrozená.</w:t>
      </w:r>
    </w:p>
    <w:p w:rsidR="005568B1" w:rsidRPr="008C5621" w:rsidRDefault="005568B1" w:rsidP="005568B1">
      <w:pPr>
        <w:ind w:right="563"/>
        <w:jc w:val="both"/>
        <w:rPr>
          <w:rFonts w:ascii="Myriad Pro" w:hAnsi="Myriad Pro" w:cs="Arial"/>
          <w:b/>
          <w:smallCaps/>
          <w:color w:val="767171" w:themeColor="background2" w:themeShade="80"/>
          <w:sz w:val="28"/>
          <w:szCs w:val="28"/>
        </w:rPr>
      </w:pPr>
    </w:p>
    <w:p w:rsidR="005568B1" w:rsidRPr="009E7067" w:rsidRDefault="005568B1" w:rsidP="005568B1">
      <w:pPr>
        <w:ind w:right="563"/>
        <w:jc w:val="both"/>
        <w:rPr>
          <w:rFonts w:ascii="Arial" w:hAnsi="Arial" w:cs="Arial"/>
          <w:color w:val="2F5496" w:themeColor="accent5" w:themeShade="BF"/>
          <w:sz w:val="32"/>
          <w:szCs w:val="32"/>
        </w:rPr>
      </w:pPr>
      <w:r>
        <w:rPr>
          <w:rFonts w:ascii="Arial" w:hAnsi="Arial" w:cs="Arial"/>
          <w:color w:val="2F5496" w:themeColor="accent5" w:themeShade="BF"/>
          <w:sz w:val="32"/>
          <w:szCs w:val="32"/>
        </w:rPr>
        <w:lastRenderedPageBreak/>
        <w:t>U</w:t>
      </w:r>
      <w:r w:rsidRPr="009E7067">
        <w:rPr>
          <w:rFonts w:ascii="Arial" w:hAnsi="Arial" w:cs="Arial"/>
          <w:color w:val="2F5496" w:themeColor="accent5" w:themeShade="BF"/>
          <w:sz w:val="32"/>
          <w:szCs w:val="32"/>
        </w:rPr>
        <w:t>kazovatele aktivity</w:t>
      </w:r>
    </w:p>
    <w:p w:rsidR="005568B1" w:rsidRPr="008C5621" w:rsidRDefault="005568B1" w:rsidP="005568B1">
      <w:pPr>
        <w:spacing w:line="240" w:lineRule="auto"/>
        <w:jc w:val="both"/>
        <w:rPr>
          <w:rFonts w:ascii="Arial" w:hAnsi="Arial" w:cs="Arial"/>
          <w:sz w:val="24"/>
          <w:szCs w:val="24"/>
        </w:rPr>
      </w:pPr>
      <w:r w:rsidRPr="008C5621">
        <w:rPr>
          <w:rFonts w:ascii="Arial" w:hAnsi="Arial" w:cs="Arial"/>
          <w:b/>
          <w:sz w:val="24"/>
          <w:szCs w:val="24"/>
        </w:rPr>
        <w:t xml:space="preserve">doba obratu </w:t>
      </w:r>
      <w:r>
        <w:rPr>
          <w:rFonts w:ascii="Arial" w:hAnsi="Arial" w:cs="Arial"/>
          <w:b/>
          <w:sz w:val="24"/>
          <w:szCs w:val="24"/>
        </w:rPr>
        <w:t xml:space="preserve">mat. </w:t>
      </w:r>
      <w:r w:rsidRPr="008C5621">
        <w:rPr>
          <w:rFonts w:ascii="Arial" w:hAnsi="Arial" w:cs="Arial"/>
          <w:b/>
          <w:sz w:val="24"/>
          <w:szCs w:val="24"/>
        </w:rPr>
        <w:t>zásob</w:t>
      </w:r>
      <w:r w:rsidRPr="008C5621">
        <w:rPr>
          <w:rFonts w:ascii="Arial" w:hAnsi="Arial" w:cs="Arial"/>
          <w:sz w:val="24"/>
          <w:szCs w:val="24"/>
        </w:rPr>
        <w:t xml:space="preserve"> = (priemerné </w:t>
      </w:r>
      <w:r>
        <w:rPr>
          <w:rFonts w:ascii="Arial" w:hAnsi="Arial" w:cs="Arial"/>
          <w:sz w:val="24"/>
          <w:szCs w:val="24"/>
        </w:rPr>
        <w:t xml:space="preserve">mat. </w:t>
      </w:r>
      <w:r w:rsidRPr="008C5621">
        <w:rPr>
          <w:rFonts w:ascii="Arial" w:hAnsi="Arial" w:cs="Arial"/>
          <w:sz w:val="24"/>
          <w:szCs w:val="24"/>
        </w:rPr>
        <w:t xml:space="preserve">zásoby/tržby*) x 365 = </w:t>
      </w:r>
      <w:r>
        <w:rPr>
          <w:rFonts w:ascii="Arial" w:hAnsi="Arial" w:cs="Arial"/>
          <w:sz w:val="24"/>
          <w:szCs w:val="24"/>
        </w:rPr>
        <w:t>16,2</w:t>
      </w:r>
      <w:r w:rsidRPr="008C5621">
        <w:rPr>
          <w:rFonts w:ascii="Arial" w:hAnsi="Arial" w:cs="Arial"/>
          <w:sz w:val="24"/>
          <w:szCs w:val="24"/>
        </w:rPr>
        <w:t xml:space="preserve"> d</w:t>
      </w:r>
      <w:r>
        <w:rPr>
          <w:rFonts w:ascii="Arial" w:hAnsi="Arial" w:cs="Arial"/>
          <w:sz w:val="24"/>
          <w:szCs w:val="24"/>
        </w:rPr>
        <w:t>ňa</w:t>
      </w:r>
    </w:p>
    <w:p w:rsidR="005568B1" w:rsidRPr="008C5621" w:rsidRDefault="005568B1" w:rsidP="005568B1">
      <w:pPr>
        <w:spacing w:line="240" w:lineRule="auto"/>
        <w:jc w:val="both"/>
        <w:rPr>
          <w:rFonts w:ascii="Arial" w:hAnsi="Arial" w:cs="Arial"/>
          <w:sz w:val="24"/>
          <w:szCs w:val="24"/>
        </w:rPr>
      </w:pPr>
      <w:r w:rsidRPr="008C5621">
        <w:rPr>
          <w:rFonts w:ascii="Arial" w:hAnsi="Arial" w:cs="Arial"/>
          <w:b/>
          <w:sz w:val="24"/>
          <w:szCs w:val="24"/>
        </w:rPr>
        <w:t>doba inkasa pohľadávok</w:t>
      </w:r>
      <w:r w:rsidRPr="008C5621">
        <w:rPr>
          <w:rFonts w:ascii="Arial" w:hAnsi="Arial" w:cs="Arial"/>
          <w:sz w:val="24"/>
          <w:szCs w:val="24"/>
        </w:rPr>
        <w:t xml:space="preserve"> = (priem. pohľ. z obch. st./</w:t>
      </w:r>
      <w:r>
        <w:rPr>
          <w:rFonts w:ascii="Arial" w:hAnsi="Arial" w:cs="Arial"/>
          <w:sz w:val="24"/>
          <w:szCs w:val="24"/>
        </w:rPr>
        <w:t>čistý obrat</w:t>
      </w:r>
      <w:r w:rsidRPr="008C5621">
        <w:rPr>
          <w:rFonts w:ascii="Arial" w:hAnsi="Arial" w:cs="Arial"/>
          <w:sz w:val="24"/>
          <w:szCs w:val="24"/>
        </w:rPr>
        <w:t xml:space="preserve">) x 365 = </w:t>
      </w:r>
      <w:r>
        <w:rPr>
          <w:rFonts w:ascii="Arial" w:hAnsi="Arial" w:cs="Arial"/>
          <w:sz w:val="24"/>
          <w:szCs w:val="24"/>
        </w:rPr>
        <w:t>31,6</w:t>
      </w:r>
      <w:r w:rsidRPr="008C5621">
        <w:rPr>
          <w:rFonts w:ascii="Arial" w:hAnsi="Arial" w:cs="Arial"/>
          <w:sz w:val="24"/>
          <w:szCs w:val="24"/>
        </w:rPr>
        <w:t xml:space="preserve"> dní</w:t>
      </w:r>
    </w:p>
    <w:p w:rsidR="005568B1" w:rsidRPr="008C5621" w:rsidRDefault="005568B1" w:rsidP="005568B1">
      <w:pPr>
        <w:spacing w:line="240" w:lineRule="auto"/>
        <w:jc w:val="both"/>
        <w:rPr>
          <w:rFonts w:ascii="Arial" w:hAnsi="Arial" w:cs="Arial"/>
          <w:sz w:val="24"/>
          <w:szCs w:val="24"/>
        </w:rPr>
      </w:pPr>
      <w:r w:rsidRPr="008C5621">
        <w:rPr>
          <w:rFonts w:ascii="Arial" w:hAnsi="Arial" w:cs="Arial"/>
          <w:b/>
          <w:sz w:val="24"/>
          <w:szCs w:val="24"/>
        </w:rPr>
        <w:t>doba splatnosti záväzkov</w:t>
      </w:r>
      <w:r w:rsidRPr="008C5621">
        <w:rPr>
          <w:rFonts w:ascii="Arial" w:hAnsi="Arial" w:cs="Arial"/>
          <w:sz w:val="24"/>
          <w:szCs w:val="24"/>
        </w:rPr>
        <w:t xml:space="preserve"> = (priem. záv. z obch. st./</w:t>
      </w:r>
      <w:r>
        <w:rPr>
          <w:rFonts w:ascii="Arial" w:hAnsi="Arial" w:cs="Arial"/>
          <w:sz w:val="24"/>
          <w:szCs w:val="24"/>
        </w:rPr>
        <w:t>čistý obrat</w:t>
      </w:r>
      <w:r w:rsidRPr="008C5621">
        <w:rPr>
          <w:rFonts w:ascii="Arial" w:hAnsi="Arial" w:cs="Arial"/>
          <w:sz w:val="24"/>
          <w:szCs w:val="24"/>
        </w:rPr>
        <w:t xml:space="preserve">) x 365 = </w:t>
      </w:r>
      <w:r>
        <w:rPr>
          <w:rFonts w:ascii="Arial" w:hAnsi="Arial" w:cs="Arial"/>
          <w:sz w:val="24"/>
          <w:szCs w:val="24"/>
        </w:rPr>
        <w:t>19,7</w:t>
      </w:r>
      <w:r w:rsidRPr="008C5621">
        <w:rPr>
          <w:rFonts w:ascii="Arial" w:hAnsi="Arial" w:cs="Arial"/>
          <w:sz w:val="24"/>
          <w:szCs w:val="24"/>
        </w:rPr>
        <w:t xml:space="preserve"> dní</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w:t>
      </w:r>
      <w:r>
        <w:rPr>
          <w:rFonts w:ascii="Arial" w:hAnsi="Arial" w:cs="Arial"/>
          <w:sz w:val="24"/>
          <w:szCs w:val="24"/>
        </w:rPr>
        <w:t>tržby zahŕňajúce spotrebovaný materiál</w:t>
      </w:r>
    </w:p>
    <w:p w:rsidR="005568B1" w:rsidRPr="008C5621" w:rsidRDefault="005568B1" w:rsidP="005568B1">
      <w:pPr>
        <w:spacing w:line="240" w:lineRule="auto"/>
        <w:jc w:val="both"/>
        <w:rPr>
          <w:rFonts w:ascii="Arial" w:hAnsi="Arial" w:cs="Arial"/>
          <w:sz w:val="24"/>
          <w:szCs w:val="24"/>
        </w:rPr>
      </w:pPr>
    </w:p>
    <w:p w:rsidR="005568B1" w:rsidRPr="008C5621" w:rsidRDefault="005568B1" w:rsidP="005568B1">
      <w:pPr>
        <w:ind w:right="563"/>
        <w:jc w:val="both"/>
        <w:rPr>
          <w:rFonts w:ascii="Myriad Pro" w:hAnsi="Myriad Pro" w:cs="Arial"/>
          <w:b/>
          <w:smallCaps/>
          <w:color w:val="767171" w:themeColor="background2" w:themeShade="80"/>
          <w:sz w:val="28"/>
          <w:szCs w:val="28"/>
        </w:rPr>
      </w:pPr>
      <w:r w:rsidRPr="008C5621">
        <w:rPr>
          <w:rFonts w:ascii="Arial" w:hAnsi="Arial" w:cs="Arial"/>
          <w:sz w:val="24"/>
          <w:szCs w:val="24"/>
        </w:rPr>
        <w:t>Za  optimálnu dobu obratu zásob, inkasa pohľadávok a splatnosti záväzkov sa považuje  hodnota do 30 dní, hodnoty dosahované  v BYTTERM, a.s. za rok 201</w:t>
      </w:r>
      <w:r>
        <w:rPr>
          <w:rFonts w:ascii="Arial" w:hAnsi="Arial" w:cs="Arial"/>
          <w:sz w:val="24"/>
          <w:szCs w:val="24"/>
        </w:rPr>
        <w:t>6</w:t>
      </w:r>
      <w:r w:rsidRPr="008C5621">
        <w:rPr>
          <w:rFonts w:ascii="Arial" w:hAnsi="Arial" w:cs="Arial"/>
          <w:sz w:val="24"/>
          <w:szCs w:val="24"/>
        </w:rPr>
        <w:t xml:space="preserve"> sú optimálne alebo prijateľné. Medziročne doba obratu zásob</w:t>
      </w:r>
      <w:r>
        <w:rPr>
          <w:rFonts w:ascii="Arial" w:hAnsi="Arial" w:cs="Arial"/>
          <w:sz w:val="24"/>
          <w:szCs w:val="24"/>
        </w:rPr>
        <w:t xml:space="preserve"> vplyvom ich rýchlejšieho rastu oproti rastu tržieb</w:t>
      </w:r>
      <w:r w:rsidRPr="008C5621">
        <w:rPr>
          <w:rFonts w:ascii="Arial" w:hAnsi="Arial" w:cs="Arial"/>
          <w:sz w:val="24"/>
          <w:szCs w:val="24"/>
        </w:rPr>
        <w:t xml:space="preserve"> </w:t>
      </w:r>
      <w:r>
        <w:rPr>
          <w:rFonts w:ascii="Arial" w:hAnsi="Arial" w:cs="Arial"/>
          <w:sz w:val="24"/>
          <w:szCs w:val="24"/>
        </w:rPr>
        <w:t>vzrástla</w:t>
      </w:r>
      <w:r w:rsidRPr="008C5621">
        <w:rPr>
          <w:rFonts w:ascii="Arial" w:hAnsi="Arial" w:cs="Arial"/>
          <w:sz w:val="24"/>
          <w:szCs w:val="24"/>
        </w:rPr>
        <w:t xml:space="preserve"> o</w:t>
      </w:r>
      <w:r>
        <w:rPr>
          <w:rFonts w:ascii="Arial" w:hAnsi="Arial" w:cs="Arial"/>
          <w:sz w:val="24"/>
          <w:szCs w:val="24"/>
        </w:rPr>
        <w:t> 3,5</w:t>
      </w:r>
      <w:r w:rsidRPr="008C5621">
        <w:rPr>
          <w:rFonts w:ascii="Arial" w:hAnsi="Arial" w:cs="Arial"/>
          <w:sz w:val="24"/>
          <w:szCs w:val="24"/>
        </w:rPr>
        <w:t xml:space="preserve"> dňa. Doba inkasa pohľadávok z obchodného styku medziročne poklesla o </w:t>
      </w:r>
      <w:r>
        <w:rPr>
          <w:rFonts w:ascii="Arial" w:hAnsi="Arial" w:cs="Arial"/>
          <w:sz w:val="24"/>
          <w:szCs w:val="24"/>
        </w:rPr>
        <w:t>1</w:t>
      </w:r>
      <w:r w:rsidRPr="008C5621">
        <w:rPr>
          <w:rFonts w:ascii="Arial" w:hAnsi="Arial" w:cs="Arial"/>
          <w:sz w:val="24"/>
          <w:szCs w:val="24"/>
        </w:rPr>
        <w:t xml:space="preserve"> </w:t>
      </w:r>
      <w:r>
        <w:rPr>
          <w:rFonts w:ascii="Arial" w:hAnsi="Arial" w:cs="Arial"/>
          <w:sz w:val="24"/>
          <w:szCs w:val="24"/>
        </w:rPr>
        <w:t>deň</w:t>
      </w:r>
      <w:r w:rsidRPr="008C5621">
        <w:rPr>
          <w:rFonts w:ascii="Arial" w:hAnsi="Arial" w:cs="Arial"/>
          <w:sz w:val="24"/>
          <w:szCs w:val="24"/>
        </w:rPr>
        <w:t xml:space="preserve"> a doba splatnosti záväzkov z obchodného styku vzrástla o</w:t>
      </w:r>
      <w:r>
        <w:rPr>
          <w:rFonts w:ascii="Arial" w:hAnsi="Arial" w:cs="Arial"/>
          <w:sz w:val="24"/>
          <w:szCs w:val="24"/>
        </w:rPr>
        <w:t> 1,4</w:t>
      </w:r>
      <w:r w:rsidRPr="008C5621">
        <w:rPr>
          <w:rFonts w:ascii="Arial" w:hAnsi="Arial" w:cs="Arial"/>
          <w:sz w:val="24"/>
          <w:szCs w:val="24"/>
        </w:rPr>
        <w:t xml:space="preserve"> dňa.</w:t>
      </w:r>
    </w:p>
    <w:p w:rsidR="005568B1" w:rsidRPr="008C5621" w:rsidRDefault="005568B1" w:rsidP="005568B1">
      <w:pPr>
        <w:ind w:right="563"/>
        <w:jc w:val="both"/>
        <w:rPr>
          <w:rFonts w:ascii="Myriad Pro" w:hAnsi="Myriad Pro" w:cs="Arial"/>
          <w:b/>
          <w:smallCaps/>
          <w:color w:val="767171" w:themeColor="background2" w:themeShade="80"/>
          <w:sz w:val="28"/>
          <w:szCs w:val="28"/>
        </w:rPr>
      </w:pPr>
    </w:p>
    <w:p w:rsidR="005568B1" w:rsidRPr="009E7067" w:rsidRDefault="005568B1" w:rsidP="005568B1">
      <w:pPr>
        <w:ind w:right="563"/>
        <w:jc w:val="both"/>
        <w:rPr>
          <w:rFonts w:ascii="Arial" w:hAnsi="Arial" w:cs="Arial"/>
          <w:color w:val="2F5496" w:themeColor="accent5" w:themeShade="BF"/>
          <w:sz w:val="32"/>
          <w:szCs w:val="32"/>
        </w:rPr>
      </w:pPr>
      <w:r>
        <w:rPr>
          <w:rFonts w:ascii="Arial" w:hAnsi="Arial" w:cs="Arial"/>
          <w:color w:val="2F5496" w:themeColor="accent5" w:themeShade="BF"/>
          <w:sz w:val="32"/>
          <w:szCs w:val="32"/>
        </w:rPr>
        <w:t>Z</w:t>
      </w:r>
      <w:r w:rsidRPr="009E7067">
        <w:rPr>
          <w:rFonts w:ascii="Arial" w:hAnsi="Arial" w:cs="Arial"/>
          <w:color w:val="2F5496" w:themeColor="accent5" w:themeShade="BF"/>
          <w:sz w:val="32"/>
          <w:szCs w:val="32"/>
        </w:rPr>
        <w:t>jednodušený prehľad o finančných tokoch</w:t>
      </w:r>
    </w:p>
    <w:tbl>
      <w:tblPr>
        <w:tblW w:w="5000" w:type="pct"/>
        <w:tblCellMar>
          <w:left w:w="70" w:type="dxa"/>
          <w:right w:w="70" w:type="dxa"/>
        </w:tblCellMar>
        <w:tblLook w:val="0000" w:firstRow="0" w:lastRow="0" w:firstColumn="0" w:lastColumn="0" w:noHBand="0" w:noVBand="0"/>
      </w:tblPr>
      <w:tblGrid>
        <w:gridCol w:w="6670"/>
        <w:gridCol w:w="290"/>
        <w:gridCol w:w="2100"/>
      </w:tblGrid>
      <w:tr w:rsidR="005568B1" w:rsidRPr="008C5621" w:rsidTr="005568B1">
        <w:trPr>
          <w:trHeight w:val="255"/>
        </w:trPr>
        <w:tc>
          <w:tcPr>
            <w:tcW w:w="384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 xml:space="preserve">stav peňažných prostriedkov </w:t>
            </w:r>
            <w:r w:rsidRPr="008C5621">
              <w:rPr>
                <w:rFonts w:ascii="Arial" w:hAnsi="Arial" w:cs="Arial"/>
                <w:b/>
                <w:lang w:eastAsia="sk-SK"/>
              </w:rPr>
              <w:t>k 1.1.201</w:t>
            </w:r>
            <w:r>
              <w:rPr>
                <w:rFonts w:ascii="Arial" w:hAnsi="Arial" w:cs="Arial"/>
                <w:b/>
                <w:lang w:eastAsia="sk-SK"/>
              </w:rPr>
              <w:t>6</w:t>
            </w:r>
          </w:p>
        </w:tc>
        <w:tc>
          <w:tcPr>
            <w:tcW w:w="1159" w:type="pct"/>
            <w:tcBorders>
              <w:top w:val="single" w:sz="4" w:space="0" w:color="auto"/>
              <w:left w:val="nil"/>
              <w:bottom w:val="single" w:sz="4" w:space="0" w:color="auto"/>
              <w:right w:val="single" w:sz="4" w:space="0" w:color="auto"/>
            </w:tcBorders>
            <w:shd w:val="clear" w:color="auto" w:fill="auto"/>
            <w:noWrap/>
            <w:vAlign w:val="center"/>
          </w:tcPr>
          <w:p w:rsidR="005568B1" w:rsidRPr="008C5621" w:rsidRDefault="005568B1" w:rsidP="005568B1">
            <w:pPr>
              <w:spacing w:after="0" w:line="240" w:lineRule="auto"/>
              <w:jc w:val="center"/>
              <w:rPr>
                <w:rFonts w:ascii="Arial" w:hAnsi="Arial" w:cs="Arial"/>
                <w:b/>
                <w:bCs/>
                <w:lang w:eastAsia="sk-SK"/>
              </w:rPr>
            </w:pPr>
            <w:r>
              <w:rPr>
                <w:rFonts w:ascii="Arial" w:hAnsi="Arial" w:cs="Arial"/>
                <w:b/>
                <w:bCs/>
                <w:lang w:eastAsia="sk-SK"/>
              </w:rPr>
              <w:t>1 534 932</w:t>
            </w:r>
          </w:p>
        </w:tc>
      </w:tr>
      <w:tr w:rsidR="005568B1" w:rsidRPr="008C5621" w:rsidTr="005568B1">
        <w:trPr>
          <w:trHeight w:val="255"/>
        </w:trPr>
        <w:tc>
          <w:tcPr>
            <w:tcW w:w="384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peňažné toky z prevádzkovej činnosti</w:t>
            </w:r>
          </w:p>
        </w:tc>
        <w:tc>
          <w:tcPr>
            <w:tcW w:w="1159" w:type="pct"/>
            <w:tcBorders>
              <w:top w:val="nil"/>
              <w:left w:val="nil"/>
              <w:bottom w:val="single" w:sz="4" w:space="0" w:color="auto"/>
              <w:right w:val="single" w:sz="4" w:space="0" w:color="auto"/>
            </w:tcBorders>
            <w:shd w:val="clear" w:color="auto" w:fill="auto"/>
            <w:noWrap/>
            <w:vAlign w:val="center"/>
          </w:tcPr>
          <w:p w:rsidR="005568B1" w:rsidRPr="008C5621" w:rsidRDefault="005568B1" w:rsidP="005568B1">
            <w:pPr>
              <w:spacing w:after="0" w:line="240" w:lineRule="auto"/>
              <w:jc w:val="center"/>
              <w:rPr>
                <w:rFonts w:ascii="Arial" w:hAnsi="Arial" w:cs="Arial"/>
                <w:lang w:eastAsia="sk-SK"/>
              </w:rPr>
            </w:pPr>
            <w:r>
              <w:rPr>
                <w:rFonts w:ascii="Arial" w:hAnsi="Arial" w:cs="Arial"/>
                <w:lang w:eastAsia="sk-SK"/>
              </w:rPr>
              <w:t>766 541</w:t>
            </w:r>
          </w:p>
        </w:tc>
      </w:tr>
      <w:tr w:rsidR="005568B1" w:rsidRPr="008C5621" w:rsidTr="005568B1">
        <w:trPr>
          <w:trHeight w:val="255"/>
        </w:trPr>
        <w:tc>
          <w:tcPr>
            <w:tcW w:w="3681" w:type="pct"/>
            <w:tcBorders>
              <w:top w:val="single" w:sz="4" w:space="0" w:color="auto"/>
              <w:left w:val="single" w:sz="4" w:space="0" w:color="auto"/>
              <w:bottom w:val="single" w:sz="4" w:space="0" w:color="auto"/>
              <w:right w:val="nil"/>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peňažné toky z investičnej činnosti</w:t>
            </w:r>
          </w:p>
        </w:tc>
        <w:tc>
          <w:tcPr>
            <w:tcW w:w="160" w:type="pct"/>
            <w:tcBorders>
              <w:top w:val="nil"/>
              <w:left w:val="nil"/>
              <w:bottom w:val="single" w:sz="4" w:space="0" w:color="auto"/>
              <w:right w:val="single" w:sz="4" w:space="0" w:color="auto"/>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 </w:t>
            </w:r>
          </w:p>
        </w:tc>
        <w:tc>
          <w:tcPr>
            <w:tcW w:w="1159" w:type="pct"/>
            <w:tcBorders>
              <w:top w:val="nil"/>
              <w:left w:val="nil"/>
              <w:bottom w:val="single" w:sz="4" w:space="0" w:color="auto"/>
              <w:right w:val="single" w:sz="4" w:space="0" w:color="auto"/>
            </w:tcBorders>
            <w:shd w:val="clear" w:color="auto" w:fill="auto"/>
            <w:noWrap/>
            <w:vAlign w:val="center"/>
          </w:tcPr>
          <w:p w:rsidR="005568B1" w:rsidRPr="008C5621" w:rsidRDefault="005568B1" w:rsidP="005568B1">
            <w:pPr>
              <w:spacing w:after="0" w:line="240" w:lineRule="auto"/>
              <w:jc w:val="center"/>
              <w:rPr>
                <w:rFonts w:ascii="Arial" w:hAnsi="Arial" w:cs="Arial"/>
                <w:lang w:eastAsia="sk-SK"/>
              </w:rPr>
            </w:pPr>
            <w:r>
              <w:rPr>
                <w:rFonts w:ascii="Arial" w:hAnsi="Arial" w:cs="Arial"/>
                <w:lang w:eastAsia="sk-SK"/>
              </w:rPr>
              <w:t>-1 297 584</w:t>
            </w:r>
          </w:p>
        </w:tc>
      </w:tr>
      <w:tr w:rsidR="005568B1" w:rsidRPr="008C5621" w:rsidTr="005568B1">
        <w:trPr>
          <w:trHeight w:val="255"/>
        </w:trPr>
        <w:tc>
          <w:tcPr>
            <w:tcW w:w="3681" w:type="pct"/>
            <w:tcBorders>
              <w:top w:val="single" w:sz="4" w:space="0" w:color="auto"/>
              <w:left w:val="single" w:sz="4" w:space="0" w:color="auto"/>
              <w:bottom w:val="single" w:sz="4" w:space="0" w:color="auto"/>
              <w:right w:val="nil"/>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peňažné toky z finančnej činnosti</w:t>
            </w:r>
          </w:p>
        </w:tc>
        <w:tc>
          <w:tcPr>
            <w:tcW w:w="160" w:type="pct"/>
            <w:tcBorders>
              <w:top w:val="nil"/>
              <w:left w:val="nil"/>
              <w:bottom w:val="single" w:sz="4" w:space="0" w:color="auto"/>
              <w:right w:val="single" w:sz="4" w:space="0" w:color="auto"/>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 </w:t>
            </w:r>
          </w:p>
        </w:tc>
        <w:tc>
          <w:tcPr>
            <w:tcW w:w="1159" w:type="pct"/>
            <w:tcBorders>
              <w:top w:val="nil"/>
              <w:left w:val="nil"/>
              <w:bottom w:val="single" w:sz="4" w:space="0" w:color="auto"/>
              <w:right w:val="single" w:sz="4" w:space="0" w:color="auto"/>
            </w:tcBorders>
            <w:shd w:val="clear" w:color="auto" w:fill="auto"/>
            <w:noWrap/>
            <w:vAlign w:val="center"/>
          </w:tcPr>
          <w:p w:rsidR="005568B1" w:rsidRPr="008C5621" w:rsidRDefault="005568B1" w:rsidP="005568B1">
            <w:pPr>
              <w:spacing w:after="0" w:line="240" w:lineRule="auto"/>
              <w:jc w:val="center"/>
              <w:rPr>
                <w:rFonts w:ascii="Arial" w:hAnsi="Arial" w:cs="Arial"/>
                <w:lang w:eastAsia="sk-SK"/>
              </w:rPr>
            </w:pPr>
            <w:r>
              <w:rPr>
                <w:rFonts w:ascii="Arial" w:hAnsi="Arial" w:cs="Arial"/>
                <w:lang w:eastAsia="sk-SK"/>
              </w:rPr>
              <w:t>-20 220</w:t>
            </w:r>
          </w:p>
        </w:tc>
      </w:tr>
      <w:tr w:rsidR="005568B1" w:rsidRPr="008C5621" w:rsidTr="005568B1">
        <w:trPr>
          <w:trHeight w:val="255"/>
        </w:trPr>
        <w:tc>
          <w:tcPr>
            <w:tcW w:w="384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5568B1" w:rsidRPr="008C5621" w:rsidRDefault="005568B1" w:rsidP="005568B1">
            <w:pPr>
              <w:spacing w:after="0" w:line="240" w:lineRule="auto"/>
              <w:rPr>
                <w:rFonts w:ascii="Arial" w:hAnsi="Arial" w:cs="Arial"/>
                <w:lang w:eastAsia="sk-SK"/>
              </w:rPr>
            </w:pPr>
            <w:r w:rsidRPr="008C5621">
              <w:rPr>
                <w:rFonts w:ascii="Arial" w:hAnsi="Arial" w:cs="Arial"/>
                <w:lang w:eastAsia="sk-SK"/>
              </w:rPr>
              <w:t xml:space="preserve">stav peňažných prostriedkov </w:t>
            </w:r>
            <w:r w:rsidRPr="008C5621">
              <w:rPr>
                <w:rFonts w:ascii="Arial" w:hAnsi="Arial" w:cs="Arial"/>
                <w:b/>
                <w:lang w:eastAsia="sk-SK"/>
              </w:rPr>
              <w:t>k 31.12.201</w:t>
            </w:r>
            <w:r>
              <w:rPr>
                <w:rFonts w:ascii="Arial" w:hAnsi="Arial" w:cs="Arial"/>
                <w:b/>
                <w:lang w:eastAsia="sk-SK"/>
              </w:rPr>
              <w:t>6</w:t>
            </w:r>
          </w:p>
        </w:tc>
        <w:tc>
          <w:tcPr>
            <w:tcW w:w="1159" w:type="pct"/>
            <w:tcBorders>
              <w:top w:val="nil"/>
              <w:left w:val="nil"/>
              <w:bottom w:val="single" w:sz="4" w:space="0" w:color="auto"/>
              <w:right w:val="single" w:sz="4" w:space="0" w:color="auto"/>
            </w:tcBorders>
            <w:shd w:val="clear" w:color="auto" w:fill="auto"/>
            <w:noWrap/>
            <w:vAlign w:val="center"/>
          </w:tcPr>
          <w:p w:rsidR="005568B1" w:rsidRPr="008C5621" w:rsidRDefault="005568B1" w:rsidP="005568B1">
            <w:pPr>
              <w:spacing w:after="0" w:line="240" w:lineRule="auto"/>
              <w:jc w:val="center"/>
              <w:rPr>
                <w:rFonts w:ascii="Arial" w:hAnsi="Arial" w:cs="Arial"/>
                <w:b/>
                <w:bCs/>
                <w:lang w:eastAsia="sk-SK"/>
              </w:rPr>
            </w:pPr>
            <w:r>
              <w:rPr>
                <w:rFonts w:ascii="Arial" w:hAnsi="Arial" w:cs="Arial"/>
                <w:b/>
                <w:bCs/>
                <w:lang w:eastAsia="sk-SK"/>
              </w:rPr>
              <w:t>983 669</w:t>
            </w:r>
          </w:p>
        </w:tc>
      </w:tr>
    </w:tbl>
    <w:p w:rsidR="005568B1" w:rsidRPr="008C5621" w:rsidRDefault="005568B1" w:rsidP="005568B1">
      <w:pPr>
        <w:spacing w:line="240" w:lineRule="auto"/>
        <w:rPr>
          <w:rFonts w:ascii="MyriadPro-Regular" w:hAnsi="MyriadPro-Regular" w:cs="MyriadPro-Regular"/>
        </w:rPr>
      </w:pPr>
    </w:p>
    <w:p w:rsidR="005568B1" w:rsidRPr="008C5621" w:rsidRDefault="005568B1" w:rsidP="005568B1">
      <w:pPr>
        <w:spacing w:line="240" w:lineRule="auto"/>
        <w:rPr>
          <w:rFonts w:ascii="Arial" w:hAnsi="Arial" w:cs="Arial"/>
        </w:rPr>
      </w:pPr>
      <w:r w:rsidRPr="008C5621">
        <w:rPr>
          <w:rFonts w:ascii="MyriadPro-Regular" w:hAnsi="MyriadPro-Regular" w:cs="MyriadPro-Regular"/>
        </w:rPr>
        <w:t>Údaje sú uvádzané v €</w:t>
      </w:r>
    </w:p>
    <w:p w:rsidR="005568B1" w:rsidRDefault="005568B1" w:rsidP="005568B1">
      <w:pPr>
        <w:spacing w:line="240" w:lineRule="auto"/>
        <w:jc w:val="both"/>
        <w:rPr>
          <w:rFonts w:ascii="Arial" w:hAnsi="Arial" w:cs="Arial"/>
          <w:sz w:val="24"/>
          <w:szCs w:val="24"/>
        </w:rPr>
      </w:pPr>
      <w:r w:rsidRPr="008C5621">
        <w:rPr>
          <w:rFonts w:ascii="Arial" w:hAnsi="Arial" w:cs="Arial"/>
          <w:sz w:val="24"/>
          <w:szCs w:val="24"/>
        </w:rPr>
        <w:t>Výplatu kúpnej ceny za nadobudnuté vlastné akcie zahŕňajú peňažné toky z </w:t>
      </w:r>
      <w:r>
        <w:rPr>
          <w:rFonts w:ascii="Arial" w:hAnsi="Arial" w:cs="Arial"/>
          <w:sz w:val="24"/>
          <w:szCs w:val="24"/>
        </w:rPr>
        <w:t>finančnej</w:t>
      </w:r>
      <w:r w:rsidRPr="008C5621">
        <w:rPr>
          <w:rFonts w:ascii="Arial" w:hAnsi="Arial" w:cs="Arial"/>
          <w:sz w:val="24"/>
          <w:szCs w:val="24"/>
        </w:rPr>
        <w:t xml:space="preserve"> činnosti.</w:t>
      </w:r>
    </w:p>
    <w:p w:rsidR="005568B1" w:rsidRDefault="005568B1" w:rsidP="005568B1">
      <w:pPr>
        <w:rPr>
          <w:rFonts w:ascii="Arial" w:hAnsi="Arial" w:cs="Arial"/>
          <w:smallCaps/>
          <w:color w:val="538135" w:themeColor="accent6" w:themeShade="BF"/>
          <w:sz w:val="36"/>
          <w:szCs w:val="36"/>
        </w:rPr>
      </w:pPr>
    </w:p>
    <w:p w:rsidR="00606585" w:rsidRDefault="00606585" w:rsidP="005568B1">
      <w:pPr>
        <w:rPr>
          <w:rFonts w:ascii="Arial" w:hAnsi="Arial" w:cs="Arial"/>
          <w:smallCaps/>
          <w:color w:val="538135" w:themeColor="accent6" w:themeShade="BF"/>
          <w:sz w:val="36"/>
          <w:szCs w:val="36"/>
        </w:rPr>
      </w:pPr>
    </w:p>
    <w:p w:rsidR="005568B1" w:rsidRPr="005258DD" w:rsidRDefault="00DD3BB7" w:rsidP="005258DD">
      <w:pPr>
        <w:pStyle w:val="nadpisybytterm"/>
      </w:pPr>
      <w:r w:rsidRPr="00DD3BB7">
        <w:rPr>
          <w:rFonts w:ascii="Arial" w:hAnsi="Arial" w:cs="Arial"/>
          <w:b w:val="0"/>
          <w:smallCaps/>
          <w:color w:val="538135" w:themeColor="accent6" w:themeShade="BF"/>
        </w:rPr>
        <w:t>predpokladaný</w:t>
      </w:r>
      <w:r>
        <w:rPr>
          <w:rFonts w:ascii="Arial" w:hAnsi="Arial" w:cs="Arial"/>
          <w:b w:val="0"/>
          <w:smallCaps/>
          <w:color w:val="538135" w:themeColor="accent6" w:themeShade="BF"/>
        </w:rPr>
        <w:t xml:space="preserve"> budúci vývoj</w:t>
      </w:r>
    </w:p>
    <w:p w:rsidR="005568B1" w:rsidRPr="00D036E7" w:rsidRDefault="005568B1" w:rsidP="005568B1">
      <w:pPr>
        <w:ind w:firstLine="708"/>
        <w:jc w:val="both"/>
        <w:rPr>
          <w:rFonts w:ascii="Arial" w:hAnsi="Arial" w:cs="Arial"/>
          <w:sz w:val="24"/>
          <w:szCs w:val="24"/>
        </w:rPr>
      </w:pPr>
      <w:r w:rsidRPr="00D036E7">
        <w:rPr>
          <w:rFonts w:ascii="Arial" w:hAnsi="Arial" w:cs="Arial"/>
          <w:sz w:val="24"/>
          <w:szCs w:val="24"/>
        </w:rPr>
        <w:t>Tepelné hospodárstvo je v značnej miere ovplyvňované regulačnou politikou Úradu pre reguláciu sieťových odvetví (</w:t>
      </w:r>
      <w:r>
        <w:rPr>
          <w:rFonts w:ascii="Arial" w:hAnsi="Arial" w:cs="Arial"/>
          <w:sz w:val="24"/>
          <w:szCs w:val="24"/>
        </w:rPr>
        <w:t>Ú</w:t>
      </w:r>
      <w:r w:rsidRPr="00D036E7">
        <w:rPr>
          <w:rFonts w:ascii="Arial" w:hAnsi="Arial" w:cs="Arial"/>
          <w:sz w:val="24"/>
          <w:szCs w:val="24"/>
        </w:rPr>
        <w:t xml:space="preserve">RSO). V roku 2016 sa aktívnym prístupom podarilo cez Slovenský zväz výrobcov tepla zamedziť prijatiu </w:t>
      </w:r>
      <w:r>
        <w:rPr>
          <w:rFonts w:ascii="Arial" w:hAnsi="Arial" w:cs="Arial"/>
          <w:sz w:val="24"/>
          <w:szCs w:val="24"/>
        </w:rPr>
        <w:t>Ú</w:t>
      </w:r>
      <w:r w:rsidRPr="00D036E7">
        <w:rPr>
          <w:rFonts w:ascii="Arial" w:hAnsi="Arial" w:cs="Arial"/>
          <w:sz w:val="24"/>
          <w:szCs w:val="24"/>
        </w:rPr>
        <w:t xml:space="preserve">RSOm pripravovanej likvidačnej vyhlášky. Následne prijatá vyhláška platná na regulačné obdobie 5 rokov prináša aj pozitívne zmeny, ktoré zlepšujú podmienky hospodárenia v tomto období. Avšak trend v zatepľovaní a zákonom stanovené vyregulovanie ústredného kúrenia a teplej úžitkovej vody, priniesol príliš rýchlu zmenu v poklese regulačného príkonu. Tieto objektívne skutočnosti sa budeme v nasledujúcom období snažiť ovplyvniť pripájaním nových zákazníkov. Očakávame deklarovanú  spoluprácu s Mestom Žilina pri pripájaní mestských bytových domov. Ochranu a rozvoj centrálneho zásobovania teplom by mala zabezpečovať v nasledujúcich  rokoch novoprijatá Energetická </w:t>
      </w:r>
      <w:r w:rsidRPr="00D036E7">
        <w:rPr>
          <w:rFonts w:ascii="Arial" w:hAnsi="Arial" w:cs="Arial"/>
          <w:sz w:val="24"/>
          <w:szCs w:val="24"/>
        </w:rPr>
        <w:lastRenderedPageBreak/>
        <w:t>koncepcia mesta Žilina. Aj úsilie zamestnancov BYTTERM, a.s. Žilina v značnej miere  prispelo k vytvoreniu tohto dokumentu, ktoré bolo spečatené jednohlasným schválením Mestským zastupiteľstvom Žilina.</w:t>
      </w:r>
    </w:p>
    <w:p w:rsidR="005568B1" w:rsidRPr="00D036E7" w:rsidRDefault="005568B1" w:rsidP="005568B1">
      <w:pPr>
        <w:ind w:firstLine="708"/>
        <w:jc w:val="both"/>
        <w:rPr>
          <w:rFonts w:ascii="Arial" w:hAnsi="Arial" w:cs="Arial"/>
          <w:sz w:val="24"/>
          <w:szCs w:val="24"/>
        </w:rPr>
      </w:pPr>
      <w:r w:rsidRPr="00D036E7">
        <w:rPr>
          <w:rFonts w:ascii="Arial" w:hAnsi="Arial" w:cs="Arial"/>
          <w:sz w:val="24"/>
          <w:szCs w:val="24"/>
        </w:rPr>
        <w:t>V nasledujúcom období Žilinská teplárenská a.s. Žilina chce realizovať zmenu parného média na horúcovodné na sídlisku Solinky. Táto téma sa rieši v súčasnom období a vplýva aj na naše investičné a realizačné zámery.</w:t>
      </w:r>
    </w:p>
    <w:p w:rsidR="005568B1" w:rsidRPr="00D036E7" w:rsidRDefault="005568B1" w:rsidP="005568B1">
      <w:pPr>
        <w:ind w:firstLine="708"/>
        <w:jc w:val="both"/>
        <w:rPr>
          <w:rFonts w:ascii="Arial" w:hAnsi="Arial" w:cs="Arial"/>
          <w:sz w:val="24"/>
          <w:szCs w:val="24"/>
        </w:rPr>
      </w:pPr>
      <w:r w:rsidRPr="00D036E7">
        <w:rPr>
          <w:rFonts w:ascii="Arial" w:hAnsi="Arial" w:cs="Arial"/>
          <w:sz w:val="24"/>
          <w:szCs w:val="24"/>
        </w:rPr>
        <w:t>Z hľadiska lepšieho využívania majetku spoločnosti hľadáme riešenia, ktoré pomáhajú vylepšiť hospodárenie spoločnosti, napr. prenajatie priestorov pre čistiareň a práčovňu, alebo aj iných nebytových priestorov v majetku BYTTERM, a.s. Žilina. Našou snahou je, aby tepelná divízia v budúcnosti  nemusela finančne znášať celý podiel obnovy a údržby objektov výmenníkových staníc.</w:t>
      </w:r>
    </w:p>
    <w:p w:rsidR="005568B1" w:rsidRPr="00D036E7" w:rsidRDefault="005568B1" w:rsidP="005568B1">
      <w:pPr>
        <w:ind w:firstLine="708"/>
        <w:jc w:val="both"/>
        <w:rPr>
          <w:rFonts w:ascii="Arial" w:hAnsi="Arial" w:cs="Arial"/>
          <w:sz w:val="24"/>
          <w:szCs w:val="24"/>
        </w:rPr>
      </w:pPr>
      <w:r w:rsidRPr="00D036E7">
        <w:rPr>
          <w:rFonts w:ascii="Arial" w:hAnsi="Arial" w:cs="Arial"/>
          <w:sz w:val="24"/>
          <w:szCs w:val="24"/>
        </w:rPr>
        <w:t>Divízia výroby si za posledné dva roky vytvorila referenčné a organizačné predpoklady na investičných akciách pri modernizácii v bytových domoch. To vytvára možnosti zabezpečenia dostatku pracovných príležitostí a následne dobrého hospodárenia.</w:t>
      </w:r>
    </w:p>
    <w:p w:rsidR="005568B1" w:rsidRPr="00D036E7" w:rsidRDefault="005568B1" w:rsidP="005568B1">
      <w:pPr>
        <w:ind w:firstLine="708"/>
        <w:jc w:val="both"/>
        <w:rPr>
          <w:rFonts w:ascii="Arial" w:hAnsi="Arial" w:cs="Arial"/>
          <w:sz w:val="24"/>
          <w:szCs w:val="24"/>
        </w:rPr>
      </w:pPr>
      <w:r w:rsidRPr="00D036E7">
        <w:rPr>
          <w:rFonts w:ascii="Arial" w:hAnsi="Arial" w:cs="Arial"/>
          <w:sz w:val="24"/>
          <w:szCs w:val="24"/>
        </w:rPr>
        <w:t>Divízia správy majetku   bude v priebehu roku 2017 uzatvárať dodatky o výkone správy, ktoré vyriešia témy ako platba  vopred, poplatok za havarijnú službu a dorovná nevýhodný  správcovský poplatok menších domov.</w:t>
      </w:r>
    </w:p>
    <w:p w:rsidR="005568B1" w:rsidRDefault="005568B1" w:rsidP="005568B1">
      <w:pPr>
        <w:ind w:firstLine="708"/>
        <w:jc w:val="both"/>
        <w:rPr>
          <w:rFonts w:ascii="Arial" w:hAnsi="Arial" w:cs="Arial"/>
          <w:sz w:val="24"/>
          <w:szCs w:val="24"/>
        </w:rPr>
      </w:pPr>
      <w:r w:rsidRPr="00D036E7">
        <w:rPr>
          <w:rFonts w:ascii="Arial" w:hAnsi="Arial" w:cs="Arial"/>
          <w:sz w:val="24"/>
          <w:szCs w:val="24"/>
        </w:rPr>
        <w:t>Novovzniknuté zákaznícke centrum otvorené od júla 2016 zatraktívnilo prostredie a služby zákazníkom. Dúfame, že všetky vizuálne a komunikačné cesty a dobrá práca našich zamestnancov budú naďalej posilňovať značku BYTTERM.</w:t>
      </w:r>
    </w:p>
    <w:p w:rsidR="005568B1" w:rsidRPr="00D036E7" w:rsidRDefault="005568B1" w:rsidP="005568B1">
      <w:pPr>
        <w:ind w:firstLine="708"/>
        <w:jc w:val="both"/>
        <w:rPr>
          <w:rFonts w:ascii="Arial" w:hAnsi="Arial" w:cs="Arial"/>
          <w:sz w:val="24"/>
          <w:szCs w:val="24"/>
        </w:rPr>
      </w:pPr>
    </w:p>
    <w:p w:rsidR="005568B1" w:rsidRDefault="005568B1" w:rsidP="005568B1">
      <w:pPr>
        <w:rPr>
          <w:rFonts w:ascii="Arial" w:hAnsi="Arial" w:cs="Arial"/>
          <w:smallCaps/>
          <w:color w:val="538135" w:themeColor="accent6" w:themeShade="BF"/>
          <w:sz w:val="36"/>
          <w:szCs w:val="36"/>
        </w:rPr>
      </w:pPr>
      <w:r w:rsidRPr="004D5EBF">
        <w:rPr>
          <w:rFonts w:ascii="Arial" w:hAnsi="Arial" w:cs="Arial"/>
          <w:smallCaps/>
          <w:color w:val="538135" w:themeColor="accent6" w:themeShade="BF"/>
          <w:sz w:val="36"/>
          <w:szCs w:val="36"/>
        </w:rPr>
        <w:t>doplňujúce informácie podľa § 20 zák. č. 431/2002 z.z. o</w:t>
      </w:r>
      <w:r>
        <w:rPr>
          <w:rFonts w:ascii="Arial" w:hAnsi="Arial" w:cs="Arial"/>
          <w:smallCaps/>
          <w:color w:val="538135" w:themeColor="accent6" w:themeShade="BF"/>
          <w:sz w:val="36"/>
          <w:szCs w:val="36"/>
        </w:rPr>
        <w:t> </w:t>
      </w:r>
      <w:r w:rsidRPr="004D5EBF">
        <w:rPr>
          <w:rFonts w:ascii="Arial" w:hAnsi="Arial" w:cs="Arial"/>
          <w:smallCaps/>
          <w:color w:val="538135" w:themeColor="accent6" w:themeShade="BF"/>
          <w:sz w:val="36"/>
          <w:szCs w:val="36"/>
        </w:rPr>
        <w:t>účtovníctve</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b) Od ukončenia účtovného obdobia, za ktoré sa vyhotovuje výročná správa, nenastali   v spoločnosti žiadne udalosti osobitného významu.</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d) Spoločnosť v účtovnom období 201</w:t>
      </w:r>
      <w:r>
        <w:rPr>
          <w:rFonts w:ascii="Arial" w:hAnsi="Arial" w:cs="Arial"/>
          <w:sz w:val="24"/>
          <w:szCs w:val="24"/>
        </w:rPr>
        <w:t>6</w:t>
      </w:r>
      <w:r w:rsidRPr="008C5621">
        <w:rPr>
          <w:rFonts w:ascii="Arial" w:hAnsi="Arial" w:cs="Arial"/>
          <w:sz w:val="24"/>
          <w:szCs w:val="24"/>
        </w:rPr>
        <w:t xml:space="preserve"> neúčtovala o nákladoch na činnosti v oblasti výskumu a vývoja.</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e) V roku 201</w:t>
      </w:r>
      <w:r>
        <w:rPr>
          <w:rFonts w:ascii="Arial" w:hAnsi="Arial" w:cs="Arial"/>
          <w:sz w:val="24"/>
          <w:szCs w:val="24"/>
        </w:rPr>
        <w:t>6</w:t>
      </w:r>
      <w:r w:rsidRPr="008C5621">
        <w:rPr>
          <w:rFonts w:ascii="Arial" w:hAnsi="Arial" w:cs="Arial"/>
          <w:sz w:val="24"/>
          <w:szCs w:val="24"/>
        </w:rPr>
        <w:t xml:space="preserve"> spoločnosť umorila </w:t>
      </w:r>
      <w:r>
        <w:rPr>
          <w:rFonts w:ascii="Arial" w:hAnsi="Arial" w:cs="Arial"/>
          <w:sz w:val="24"/>
          <w:szCs w:val="24"/>
        </w:rPr>
        <w:t>28</w:t>
      </w:r>
      <w:r w:rsidRPr="008C5621">
        <w:rPr>
          <w:rFonts w:ascii="Arial" w:hAnsi="Arial" w:cs="Arial"/>
          <w:sz w:val="24"/>
          <w:szCs w:val="24"/>
        </w:rPr>
        <w:t xml:space="preserve"> ks vlastných akcií, čím znížila základné imanie  o</w:t>
      </w:r>
      <w:r>
        <w:rPr>
          <w:rFonts w:ascii="Arial" w:hAnsi="Arial" w:cs="Arial"/>
          <w:sz w:val="24"/>
          <w:szCs w:val="24"/>
        </w:rPr>
        <w:t> 9 296</w:t>
      </w:r>
      <w:r w:rsidRPr="008C5621">
        <w:rPr>
          <w:rFonts w:ascii="Arial" w:hAnsi="Arial" w:cs="Arial"/>
          <w:sz w:val="24"/>
          <w:szCs w:val="24"/>
        </w:rPr>
        <w:t xml:space="preserve"> EUR . Okrem toho spoločnosť v účtovnom období 201</w:t>
      </w:r>
      <w:r>
        <w:rPr>
          <w:rFonts w:ascii="Arial" w:hAnsi="Arial" w:cs="Arial"/>
          <w:sz w:val="24"/>
          <w:szCs w:val="24"/>
        </w:rPr>
        <w:t>6</w:t>
      </w:r>
      <w:r w:rsidRPr="008C5621">
        <w:rPr>
          <w:rFonts w:ascii="Arial" w:hAnsi="Arial" w:cs="Arial"/>
          <w:sz w:val="24"/>
          <w:szCs w:val="24"/>
        </w:rPr>
        <w:t xml:space="preserve"> nadobudla od svojich akcionárov na základe zml</w:t>
      </w:r>
      <w:r>
        <w:rPr>
          <w:rFonts w:ascii="Arial" w:hAnsi="Arial" w:cs="Arial"/>
          <w:sz w:val="24"/>
          <w:szCs w:val="24"/>
        </w:rPr>
        <w:t>uvy</w:t>
      </w:r>
      <w:r w:rsidRPr="008C5621">
        <w:rPr>
          <w:rFonts w:ascii="Arial" w:hAnsi="Arial" w:cs="Arial"/>
          <w:sz w:val="24"/>
          <w:szCs w:val="24"/>
        </w:rPr>
        <w:t xml:space="preserve"> o prevode akcií  </w:t>
      </w:r>
      <w:r>
        <w:rPr>
          <w:rFonts w:ascii="Arial" w:hAnsi="Arial" w:cs="Arial"/>
          <w:sz w:val="24"/>
          <w:szCs w:val="24"/>
        </w:rPr>
        <w:t>1</w:t>
      </w:r>
      <w:r w:rsidRPr="008C5621">
        <w:rPr>
          <w:rFonts w:ascii="Arial" w:hAnsi="Arial" w:cs="Arial"/>
          <w:sz w:val="24"/>
          <w:szCs w:val="24"/>
        </w:rPr>
        <w:t>ks vlastných akcií, o ktorých k 31.12.201</w:t>
      </w:r>
      <w:r>
        <w:rPr>
          <w:rFonts w:ascii="Arial" w:hAnsi="Arial" w:cs="Arial"/>
          <w:sz w:val="24"/>
          <w:szCs w:val="24"/>
        </w:rPr>
        <w:t>6</w:t>
      </w:r>
      <w:r w:rsidRPr="008C5621">
        <w:rPr>
          <w:rFonts w:ascii="Arial" w:hAnsi="Arial" w:cs="Arial"/>
          <w:sz w:val="24"/>
          <w:szCs w:val="24"/>
        </w:rPr>
        <w:t xml:space="preserve"> účtuje na účte 252-01 – Vlastné akcie. Odkúpené akcie spoločnosť v zmysle Stanov akciovej spoločnosti BYTTERM, a.s. nemôže vlastniť viac ako 12 mesiacov od ich nadobudnutia, pričom ak ich v tomto čase nepredá doterajším alebo novým akcionárom, predstavenstvo navrhne valnému zhromaždeniu znížiť základné imanie o ich hodnotu.</w:t>
      </w:r>
    </w:p>
    <w:p w:rsidR="005568B1" w:rsidRPr="008C5621" w:rsidRDefault="005568B1" w:rsidP="005568B1">
      <w:pPr>
        <w:spacing w:line="240" w:lineRule="auto"/>
        <w:jc w:val="both"/>
        <w:rPr>
          <w:rFonts w:ascii="Arial" w:hAnsi="Arial" w:cs="Arial"/>
          <w:sz w:val="24"/>
          <w:szCs w:val="24"/>
        </w:rPr>
      </w:pPr>
      <w:r w:rsidRPr="008C5621">
        <w:rPr>
          <w:rFonts w:ascii="Arial" w:hAnsi="Arial" w:cs="Arial"/>
          <w:sz w:val="24"/>
          <w:szCs w:val="24"/>
        </w:rPr>
        <w:t>h) Spoločnosť nemá organizačnú zložku v zahraničí.</w:t>
      </w:r>
    </w:p>
    <w:p w:rsidR="005568B1" w:rsidRDefault="005568B1" w:rsidP="005568B1">
      <w:pPr>
        <w:autoSpaceDE w:val="0"/>
        <w:autoSpaceDN w:val="0"/>
        <w:adjustRightInd w:val="0"/>
        <w:spacing w:line="240" w:lineRule="auto"/>
        <w:jc w:val="both"/>
        <w:rPr>
          <w:rFonts w:ascii="Arial" w:hAnsi="Arial" w:cs="Arial"/>
          <w:sz w:val="24"/>
          <w:szCs w:val="24"/>
          <w:lang w:eastAsia="sk-SK"/>
        </w:rPr>
      </w:pPr>
    </w:p>
    <w:p w:rsidR="00AE1640" w:rsidRDefault="00AE1640" w:rsidP="005568B1">
      <w:pPr>
        <w:autoSpaceDE w:val="0"/>
        <w:autoSpaceDN w:val="0"/>
        <w:adjustRightInd w:val="0"/>
        <w:spacing w:line="240" w:lineRule="auto"/>
        <w:jc w:val="both"/>
        <w:rPr>
          <w:rFonts w:ascii="Arial" w:hAnsi="Arial" w:cs="Arial"/>
          <w:sz w:val="24"/>
          <w:szCs w:val="24"/>
          <w:lang w:eastAsia="sk-SK"/>
        </w:rPr>
      </w:pPr>
    </w:p>
    <w:p w:rsidR="005568B1" w:rsidRPr="008C5621" w:rsidRDefault="005568B1" w:rsidP="005568B1">
      <w:pPr>
        <w:autoSpaceDE w:val="0"/>
        <w:autoSpaceDN w:val="0"/>
        <w:adjustRightInd w:val="0"/>
        <w:spacing w:line="240" w:lineRule="auto"/>
        <w:jc w:val="both"/>
        <w:rPr>
          <w:rFonts w:ascii="Arial" w:hAnsi="Arial" w:cs="Arial"/>
          <w:sz w:val="24"/>
          <w:szCs w:val="24"/>
          <w:lang w:eastAsia="sk-SK"/>
        </w:rPr>
      </w:pPr>
      <w:r w:rsidRPr="008C5621">
        <w:rPr>
          <w:rFonts w:ascii="Arial" w:hAnsi="Arial" w:cs="Arial"/>
          <w:sz w:val="24"/>
          <w:szCs w:val="24"/>
          <w:lang w:eastAsia="sk-SK"/>
        </w:rPr>
        <w:lastRenderedPageBreak/>
        <w:t xml:space="preserve">V Žiline, </w:t>
      </w:r>
      <w:r>
        <w:rPr>
          <w:rFonts w:ascii="Arial" w:hAnsi="Arial" w:cs="Arial"/>
          <w:sz w:val="24"/>
          <w:szCs w:val="24"/>
          <w:lang w:eastAsia="sk-SK"/>
        </w:rPr>
        <w:t>20.3.2017</w:t>
      </w:r>
    </w:p>
    <w:p w:rsidR="005568B1" w:rsidRPr="008C5621" w:rsidRDefault="005568B1" w:rsidP="005568B1">
      <w:pPr>
        <w:tabs>
          <w:tab w:val="left" w:pos="1680"/>
        </w:tabs>
        <w:spacing w:line="240" w:lineRule="auto"/>
        <w:jc w:val="both"/>
        <w:rPr>
          <w:rFonts w:ascii="Arial" w:hAnsi="Arial" w:cs="Arial"/>
          <w:sz w:val="24"/>
          <w:szCs w:val="24"/>
        </w:rPr>
      </w:pPr>
    </w:p>
    <w:p w:rsidR="00AE1640" w:rsidRDefault="00AE1640" w:rsidP="005568B1">
      <w:pPr>
        <w:tabs>
          <w:tab w:val="left" w:pos="1680"/>
        </w:tabs>
        <w:spacing w:line="240" w:lineRule="auto"/>
        <w:jc w:val="both"/>
        <w:rPr>
          <w:rFonts w:ascii="Arial" w:hAnsi="Arial" w:cs="Arial"/>
          <w:sz w:val="24"/>
          <w:szCs w:val="24"/>
        </w:rPr>
      </w:pPr>
    </w:p>
    <w:p w:rsidR="00C75130" w:rsidRDefault="00C75130" w:rsidP="005568B1">
      <w:pPr>
        <w:tabs>
          <w:tab w:val="left" w:pos="1680"/>
        </w:tabs>
        <w:spacing w:line="240" w:lineRule="auto"/>
        <w:jc w:val="both"/>
        <w:rPr>
          <w:rFonts w:ascii="Arial" w:hAnsi="Arial" w:cs="Arial"/>
          <w:sz w:val="24"/>
          <w:szCs w:val="24"/>
        </w:rPr>
      </w:pPr>
    </w:p>
    <w:p w:rsidR="005568B1" w:rsidRPr="008C5621" w:rsidRDefault="005568B1" w:rsidP="005568B1">
      <w:pPr>
        <w:tabs>
          <w:tab w:val="left" w:pos="1680"/>
        </w:tabs>
        <w:spacing w:line="240" w:lineRule="auto"/>
        <w:jc w:val="both"/>
        <w:rPr>
          <w:rFonts w:ascii="Arial" w:hAnsi="Arial" w:cs="Arial"/>
          <w:sz w:val="24"/>
          <w:szCs w:val="24"/>
        </w:rPr>
      </w:pPr>
    </w:p>
    <w:p w:rsidR="005568B1" w:rsidRPr="008C5621" w:rsidRDefault="00C75130" w:rsidP="005568B1">
      <w:pPr>
        <w:spacing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5568B1" w:rsidRPr="008C5621">
        <w:rPr>
          <w:rFonts w:ascii="Arial" w:hAnsi="Arial" w:cs="Arial"/>
          <w:sz w:val="24"/>
          <w:szCs w:val="24"/>
        </w:rPr>
        <w:t xml:space="preserve">Ing. Milan Kováč    </w:t>
      </w:r>
      <w:r>
        <w:rPr>
          <w:rFonts w:ascii="Arial" w:hAnsi="Arial" w:cs="Arial"/>
          <w:sz w:val="24"/>
          <w:szCs w:val="24"/>
        </w:rPr>
        <w:t xml:space="preserve">   </w:t>
      </w:r>
      <w:r w:rsidR="005568B1" w:rsidRPr="008C5621">
        <w:rPr>
          <w:rFonts w:ascii="Arial" w:hAnsi="Arial" w:cs="Arial"/>
          <w:sz w:val="24"/>
          <w:szCs w:val="24"/>
        </w:rPr>
        <w:t xml:space="preserve">  </w:t>
      </w:r>
      <w:r w:rsidR="005568B1">
        <w:rPr>
          <w:rFonts w:ascii="Arial" w:hAnsi="Arial" w:cs="Arial"/>
          <w:sz w:val="24"/>
          <w:szCs w:val="24"/>
        </w:rPr>
        <w:t>Ing. Anton Slanička</w:t>
      </w:r>
      <w:r w:rsidR="005568B1" w:rsidRPr="008C5621">
        <w:rPr>
          <w:rFonts w:ascii="Arial" w:hAnsi="Arial" w:cs="Arial"/>
          <w:sz w:val="24"/>
          <w:szCs w:val="24"/>
        </w:rPr>
        <w:t xml:space="preserve"> </w:t>
      </w:r>
      <w:r>
        <w:rPr>
          <w:rFonts w:ascii="Arial" w:hAnsi="Arial" w:cs="Arial"/>
          <w:sz w:val="24"/>
          <w:szCs w:val="24"/>
        </w:rPr>
        <w:t xml:space="preserve">   </w:t>
      </w:r>
      <w:r w:rsidR="005568B1" w:rsidRPr="008C5621">
        <w:rPr>
          <w:rFonts w:ascii="Arial" w:hAnsi="Arial" w:cs="Arial"/>
          <w:sz w:val="24"/>
          <w:szCs w:val="24"/>
        </w:rPr>
        <w:t xml:space="preserve"> Ing. Richard Zelina  </w:t>
      </w:r>
    </w:p>
    <w:p w:rsidR="005568B1" w:rsidRPr="008C5621" w:rsidRDefault="005568B1" w:rsidP="005568B1">
      <w:pPr>
        <w:rPr>
          <w:rFonts w:ascii="Myriad Pro" w:hAnsi="Myriad Pro" w:cs="Arial"/>
          <w:b/>
          <w:smallCaps/>
          <w:color w:val="385623" w:themeColor="accent6" w:themeShade="80"/>
          <w:sz w:val="32"/>
          <w:szCs w:val="32"/>
        </w:rPr>
      </w:pPr>
      <w:r w:rsidRPr="008C5621">
        <w:rPr>
          <w:rFonts w:ascii="Arial" w:hAnsi="Arial" w:cs="Arial"/>
          <w:sz w:val="24"/>
          <w:szCs w:val="24"/>
        </w:rPr>
        <w:tab/>
      </w:r>
      <w:r w:rsidRPr="008C5621">
        <w:rPr>
          <w:rFonts w:ascii="Arial" w:hAnsi="Arial" w:cs="Arial"/>
          <w:sz w:val="24"/>
          <w:szCs w:val="24"/>
        </w:rPr>
        <w:tab/>
      </w:r>
      <w:r w:rsidRPr="008C5621">
        <w:rPr>
          <w:rFonts w:ascii="Arial" w:hAnsi="Arial" w:cs="Arial"/>
          <w:sz w:val="24"/>
          <w:szCs w:val="24"/>
        </w:rPr>
        <w:tab/>
        <w:t xml:space="preserve">predseda predstav.  </w:t>
      </w:r>
      <w:r w:rsidR="00C75130">
        <w:rPr>
          <w:rFonts w:ascii="Arial" w:hAnsi="Arial" w:cs="Arial"/>
          <w:sz w:val="24"/>
          <w:szCs w:val="24"/>
        </w:rPr>
        <w:t xml:space="preserve">   </w:t>
      </w:r>
      <w:r>
        <w:rPr>
          <w:rFonts w:ascii="Arial" w:hAnsi="Arial" w:cs="Arial"/>
          <w:sz w:val="24"/>
          <w:szCs w:val="24"/>
        </w:rPr>
        <w:t>člen</w:t>
      </w:r>
      <w:r w:rsidRPr="008C5621">
        <w:rPr>
          <w:rFonts w:ascii="Arial" w:hAnsi="Arial" w:cs="Arial"/>
          <w:sz w:val="24"/>
          <w:szCs w:val="24"/>
        </w:rPr>
        <w:t xml:space="preserve"> predstav.</w:t>
      </w:r>
      <w:r>
        <w:rPr>
          <w:rFonts w:ascii="Arial" w:hAnsi="Arial" w:cs="Arial"/>
          <w:sz w:val="24"/>
          <w:szCs w:val="24"/>
        </w:rPr>
        <w:tab/>
      </w:r>
      <w:r w:rsidR="00C75130">
        <w:rPr>
          <w:rFonts w:ascii="Arial" w:hAnsi="Arial" w:cs="Arial"/>
          <w:sz w:val="24"/>
          <w:szCs w:val="24"/>
        </w:rPr>
        <w:t xml:space="preserve">   </w:t>
      </w:r>
      <w:r w:rsidRPr="008C5621">
        <w:rPr>
          <w:rFonts w:ascii="Arial" w:hAnsi="Arial" w:cs="Arial"/>
          <w:sz w:val="24"/>
          <w:szCs w:val="24"/>
        </w:rPr>
        <w:t xml:space="preserve">  </w:t>
      </w:r>
      <w:r w:rsidR="00C75130">
        <w:rPr>
          <w:rFonts w:ascii="Arial" w:hAnsi="Arial" w:cs="Arial"/>
          <w:sz w:val="24"/>
          <w:szCs w:val="24"/>
        </w:rPr>
        <w:t xml:space="preserve">   </w:t>
      </w:r>
      <w:r w:rsidRPr="008C5621">
        <w:rPr>
          <w:rFonts w:ascii="Arial" w:hAnsi="Arial" w:cs="Arial"/>
          <w:sz w:val="24"/>
          <w:szCs w:val="24"/>
        </w:rPr>
        <w:t>člen predstavenstva</w:t>
      </w:r>
    </w:p>
    <w:p w:rsidR="005568B1" w:rsidRPr="008C5621" w:rsidRDefault="005568B1" w:rsidP="005568B1">
      <w:pPr>
        <w:rPr>
          <w:rFonts w:ascii="Myriad Pro" w:hAnsi="Myriad Pro" w:cs="Arial"/>
          <w:b/>
          <w:smallCaps/>
          <w:color w:val="385623" w:themeColor="accent6" w:themeShade="80"/>
          <w:sz w:val="32"/>
          <w:szCs w:val="32"/>
        </w:rPr>
      </w:pPr>
    </w:p>
    <w:p w:rsidR="005568B1" w:rsidRPr="00580178" w:rsidRDefault="005568B1" w:rsidP="005568B1">
      <w:pPr>
        <w:rPr>
          <w:rFonts w:ascii="Times New Roman" w:hAnsi="Times New Roman" w:cs="Arial"/>
          <w:sz w:val="24"/>
          <w:szCs w:val="36"/>
        </w:rPr>
      </w:pPr>
    </w:p>
    <w:p w:rsidR="008E3D3F" w:rsidRDefault="008E3D3F"/>
    <w:p w:rsidR="00AE1640" w:rsidRDefault="00AE1640"/>
    <w:p w:rsidR="00AE1640" w:rsidRDefault="00AE1640"/>
    <w:p w:rsidR="00AE1640" w:rsidRDefault="00AE1640"/>
    <w:p w:rsidR="00AE1640" w:rsidRDefault="00AE1640"/>
    <w:p w:rsidR="00AE1640" w:rsidRDefault="00AE1640"/>
    <w:p w:rsidR="00AE1640" w:rsidRDefault="00AE1640"/>
    <w:p w:rsidR="00AE1640" w:rsidRDefault="00AE1640"/>
    <w:p w:rsidR="00AE1640" w:rsidRDefault="00AE1640"/>
    <w:p w:rsidR="00AE1640" w:rsidRDefault="00AE1640"/>
    <w:p w:rsidR="00AE1640" w:rsidRDefault="00AE1640"/>
    <w:p w:rsidR="00AE1640" w:rsidRDefault="00AE1640"/>
    <w:p w:rsidR="00AE1640" w:rsidRPr="00AE1640" w:rsidRDefault="00AE1640" w:rsidP="00D85394">
      <w:pPr>
        <w:pStyle w:val="nadpisybytterm"/>
        <w:rPr>
          <w:b w:val="0"/>
          <w:color w:val="000000" w:themeColor="text1"/>
        </w:rPr>
      </w:pPr>
    </w:p>
    <w:sectPr w:rsidR="00AE1640" w:rsidRPr="00AE1640" w:rsidSect="00606585">
      <w:headerReference w:type="default" r:id="rId34"/>
      <w:pgSz w:w="11906" w:h="16838"/>
      <w:pgMar w:top="1134" w:right="1418" w:bottom="1418" w:left="1418"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5F7" w:rsidRDefault="00A465F7" w:rsidP="00D92749">
      <w:pPr>
        <w:spacing w:after="0" w:line="240" w:lineRule="auto"/>
      </w:pPr>
      <w:r>
        <w:separator/>
      </w:r>
    </w:p>
  </w:endnote>
  <w:endnote w:type="continuationSeparator" w:id="0">
    <w:p w:rsidR="00A465F7" w:rsidRDefault="00A465F7" w:rsidP="00D92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vinio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yriad Pro">
    <w:altName w:val="Corbel"/>
    <w:panose1 w:val="00000000000000000000"/>
    <w:charset w:val="00"/>
    <w:family w:val="swiss"/>
    <w:notTrueType/>
    <w:pitch w:val="variable"/>
    <w:sig w:usb0="00000001" w:usb1="00000001"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MyriadPro-Regular">
    <w:panose1 w:val="00000000000000000000"/>
    <w:charset w:val="EE"/>
    <w:family w:val="swiss"/>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Schoolbook">
    <w:altName w:val="Century"/>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815600"/>
      <w:docPartObj>
        <w:docPartGallery w:val="Page Numbers (Bottom of Page)"/>
        <w:docPartUnique/>
      </w:docPartObj>
    </w:sdtPr>
    <w:sdtEndPr>
      <w:rPr>
        <w:color w:val="008445"/>
      </w:rPr>
    </w:sdtEndPr>
    <w:sdtContent>
      <w:p w:rsidR="00C75130" w:rsidRPr="00C75130" w:rsidRDefault="00C75130" w:rsidP="00C75130">
        <w:pPr>
          <w:pStyle w:val="Pta"/>
          <w:jc w:val="center"/>
          <w:rPr>
            <w:color w:val="008445"/>
          </w:rPr>
        </w:pPr>
        <w:r w:rsidRPr="00C75130">
          <w:rPr>
            <w:color w:val="008445"/>
          </w:rPr>
          <w:fldChar w:fldCharType="begin"/>
        </w:r>
        <w:r w:rsidRPr="00C75130">
          <w:rPr>
            <w:color w:val="008445"/>
          </w:rPr>
          <w:instrText>PAGE   \* MERGEFORMAT</w:instrText>
        </w:r>
        <w:r w:rsidRPr="00C75130">
          <w:rPr>
            <w:color w:val="008445"/>
          </w:rPr>
          <w:fldChar w:fldCharType="separate"/>
        </w:r>
        <w:r w:rsidR="00CD089F">
          <w:rPr>
            <w:noProof/>
            <w:color w:val="008445"/>
          </w:rPr>
          <w:t>14</w:t>
        </w:r>
        <w:r w:rsidRPr="00C75130">
          <w:rPr>
            <w:color w:val="008445"/>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5F7" w:rsidRDefault="00A465F7" w:rsidP="00D92749">
      <w:pPr>
        <w:spacing w:after="0" w:line="240" w:lineRule="auto"/>
      </w:pPr>
      <w:r>
        <w:separator/>
      </w:r>
    </w:p>
  </w:footnote>
  <w:footnote w:type="continuationSeparator" w:id="0">
    <w:p w:rsidR="00A465F7" w:rsidRDefault="00A465F7" w:rsidP="00D927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DD" w:rsidRDefault="005258DD">
    <w:pPr>
      <w:pStyle w:val="Hlavika"/>
    </w:pPr>
    <w:r>
      <w:rPr>
        <w:noProof/>
        <w:lang w:eastAsia="sk-SK"/>
      </w:rPr>
      <w:drawing>
        <wp:anchor distT="0" distB="0" distL="114300" distR="114300" simplePos="0" relativeHeight="251657216" behindDoc="0" locked="0" layoutInCell="1" allowOverlap="1">
          <wp:simplePos x="0" y="0"/>
          <wp:positionH relativeFrom="page">
            <wp:posOffset>-13893</wp:posOffset>
          </wp:positionH>
          <wp:positionV relativeFrom="paragraph">
            <wp:posOffset>-1099185</wp:posOffset>
          </wp:positionV>
          <wp:extent cx="7600160" cy="10750550"/>
          <wp:effectExtent l="0" t="0" r="127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TTERM_vyrocna_sprava_obalka_02_2015_0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160" cy="10750550"/>
                  </a:xfrm>
                  <a:prstGeom prst="rect">
                    <a:avLst/>
                  </a:prstGeom>
                  <a:noFill/>
                </pic:spPr>
              </pic:pic>
            </a:graphicData>
          </a:graphic>
          <wp14:sizeRelH relativeFrom="page">
            <wp14:pctWidth>0</wp14:pctWidth>
          </wp14:sizeRelH>
          <wp14:sizeRelV relativeFrom="page">
            <wp14:pctHeight>0</wp14:pctHeight>
          </wp14:sizeRelV>
        </wp:anchor>
      </w:drawing>
    </w:r>
  </w:p>
  <w:p w:rsidR="005258DD" w:rsidRDefault="005258DD">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8DD" w:rsidRDefault="005258DD">
    <w:pPr>
      <w:pStyle w:val="Hlavika"/>
    </w:pPr>
    <w:r>
      <w:rPr>
        <w:noProof/>
        <w:lang w:eastAsia="sk-SK"/>
      </w:rPr>
      <w:drawing>
        <wp:anchor distT="0" distB="0" distL="114300" distR="114300" simplePos="0" relativeHeight="251659264" behindDoc="0" locked="0" layoutInCell="1" allowOverlap="1">
          <wp:simplePos x="0" y="0"/>
          <wp:positionH relativeFrom="page">
            <wp:align>left</wp:align>
          </wp:positionH>
          <wp:positionV relativeFrom="paragraph">
            <wp:posOffset>-795020</wp:posOffset>
          </wp:positionV>
          <wp:extent cx="7562850" cy="612140"/>
          <wp:effectExtent l="0" t="0" r="0" b="0"/>
          <wp:wrapThrough wrapText="bothSides">
            <wp:wrapPolygon edited="0">
              <wp:start x="0" y="0"/>
              <wp:lineTo x="0" y="20838"/>
              <wp:lineTo x="21546" y="20838"/>
              <wp:lineTo x="21546" y="0"/>
              <wp:lineTo x="0" y="0"/>
            </wp:wrapPolygon>
          </wp:wrapThrough>
          <wp:docPr id="18" name="Obrázok 18" descr="C:\Users\Hnusnik\AppData\Local\Microsoft\Windows\INetCache\Content.Word\BYTTERM_vyrocna_sprava_obalka_04_2017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usnik\AppData\Local\Microsoft\Windows\INetCache\Content.Word\BYTTERM_vyrocna_sprava_obalka_04_2017_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66AB8"/>
    <w:multiLevelType w:val="hybridMultilevel"/>
    <w:tmpl w:val="A184D854"/>
    <w:lvl w:ilvl="0" w:tplc="D994A4C8">
      <w:start w:val="1"/>
      <w:numFmt w:val="decimal"/>
      <w:lvlText w:val="%1."/>
      <w:lvlJc w:val="left"/>
      <w:pPr>
        <w:tabs>
          <w:tab w:val="num" w:pos="360"/>
        </w:tabs>
        <w:ind w:left="340" w:hanging="340"/>
      </w:pPr>
      <w:rPr>
        <w:rFonts w:hint="default"/>
      </w:rPr>
    </w:lvl>
    <w:lvl w:ilvl="1" w:tplc="C5221BDC">
      <w:start w:val="1"/>
      <w:numFmt w:val="decimal"/>
      <w:lvlText w:val="%2."/>
      <w:lvlJc w:val="left"/>
      <w:pPr>
        <w:tabs>
          <w:tab w:val="num" w:pos="397"/>
        </w:tabs>
        <w:ind w:left="397" w:hanging="39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34F97E19"/>
    <w:multiLevelType w:val="hybridMultilevel"/>
    <w:tmpl w:val="94F04A68"/>
    <w:lvl w:ilvl="0" w:tplc="E8BE690E">
      <w:start w:val="1"/>
      <w:numFmt w:val="bullet"/>
      <w:lvlText w:val=""/>
      <w:lvlJc w:val="left"/>
      <w:pPr>
        <w:tabs>
          <w:tab w:val="num" w:pos="720"/>
        </w:tabs>
        <w:ind w:left="720" w:hanging="360"/>
      </w:pPr>
      <w:rPr>
        <w:rFonts w:ascii="Wingdings" w:hAnsi="Wingdings" w:hint="default"/>
        <w:color w:val="538135" w:themeColor="accent6" w:themeShade="BF"/>
      </w:rPr>
    </w:lvl>
    <w:lvl w:ilvl="1" w:tplc="6F78DF90">
      <w:numFmt w:val="bullet"/>
      <w:lvlText w:val="-"/>
      <w:lvlJc w:val="left"/>
      <w:pPr>
        <w:tabs>
          <w:tab w:val="num" w:pos="1440"/>
        </w:tabs>
        <w:ind w:left="1440" w:hanging="360"/>
      </w:pPr>
      <w:rPr>
        <w:rFonts w:ascii="Arial" w:eastAsia="Times New Roman" w:hAnsi="Arial" w:cs="Aria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215D1A"/>
    <w:multiLevelType w:val="hybridMultilevel"/>
    <w:tmpl w:val="0504B2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CD3BC9"/>
    <w:multiLevelType w:val="hybridMultilevel"/>
    <w:tmpl w:val="9028E724"/>
    <w:lvl w:ilvl="0" w:tplc="C5221BD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6E7B2B27"/>
    <w:multiLevelType w:val="hybridMultilevel"/>
    <w:tmpl w:val="2600452C"/>
    <w:lvl w:ilvl="0" w:tplc="35AA0224">
      <w:start w:val="1"/>
      <w:numFmt w:val="bullet"/>
      <w:lvlText w:val=""/>
      <w:lvlJc w:val="left"/>
      <w:pPr>
        <w:tabs>
          <w:tab w:val="num" w:pos="460"/>
        </w:tabs>
        <w:ind w:left="460" w:hanging="360"/>
      </w:pPr>
      <w:rPr>
        <w:rFonts w:ascii="Wingdings" w:hAnsi="Wingdings" w:hint="default"/>
        <w:color w:val="538135" w:themeColor="accent6" w:themeShade="BF"/>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3E2"/>
    <w:rsid w:val="000D2CF7"/>
    <w:rsid w:val="00115DE0"/>
    <w:rsid w:val="00261786"/>
    <w:rsid w:val="003A7175"/>
    <w:rsid w:val="004D2880"/>
    <w:rsid w:val="005258DD"/>
    <w:rsid w:val="005568B1"/>
    <w:rsid w:val="005A2DFF"/>
    <w:rsid w:val="00606585"/>
    <w:rsid w:val="00645EC1"/>
    <w:rsid w:val="00660DD9"/>
    <w:rsid w:val="006A5F8C"/>
    <w:rsid w:val="006F2D0F"/>
    <w:rsid w:val="00867683"/>
    <w:rsid w:val="008C23E2"/>
    <w:rsid w:val="008E3D3F"/>
    <w:rsid w:val="00A30A9B"/>
    <w:rsid w:val="00A465F7"/>
    <w:rsid w:val="00AA0EF4"/>
    <w:rsid w:val="00AE1640"/>
    <w:rsid w:val="00C729F8"/>
    <w:rsid w:val="00C75130"/>
    <w:rsid w:val="00CD089F"/>
    <w:rsid w:val="00D85394"/>
    <w:rsid w:val="00D92749"/>
    <w:rsid w:val="00DD3BB7"/>
    <w:rsid w:val="00DE0F7B"/>
    <w:rsid w:val="00E33E3D"/>
    <w:rsid w:val="00F12512"/>
    <w:rsid w:val="00FA5359"/>
    <w:rsid w:val="00FE797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58D0045A-0DC2-4DCB-9300-C5E6D3CC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next w:val="Normlny"/>
    <w:link w:val="Nadpis2Char"/>
    <w:qFormat/>
    <w:rsid w:val="005568B1"/>
    <w:pPr>
      <w:keepNext/>
      <w:spacing w:after="0" w:line="240" w:lineRule="auto"/>
      <w:outlineLvl w:val="1"/>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5568B1"/>
    <w:rPr>
      <w:rFonts w:ascii="Times New Roman" w:eastAsia="Times New Roman" w:hAnsi="Times New Roman" w:cs="Times New Roman"/>
      <w:b/>
      <w:bCs/>
      <w:sz w:val="24"/>
      <w:szCs w:val="24"/>
      <w:lang w:eastAsia="cs-CZ"/>
    </w:rPr>
  </w:style>
  <w:style w:type="paragraph" w:styleId="Hlavika">
    <w:name w:val="header"/>
    <w:basedOn w:val="Normlny"/>
    <w:link w:val="HlavikaChar"/>
    <w:uiPriority w:val="99"/>
    <w:unhideWhenUsed/>
    <w:rsid w:val="00D927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92749"/>
  </w:style>
  <w:style w:type="paragraph" w:styleId="Pta">
    <w:name w:val="footer"/>
    <w:basedOn w:val="Normlny"/>
    <w:link w:val="PtaChar"/>
    <w:uiPriority w:val="99"/>
    <w:unhideWhenUsed/>
    <w:rsid w:val="00D92749"/>
    <w:pPr>
      <w:tabs>
        <w:tab w:val="center" w:pos="4536"/>
        <w:tab w:val="right" w:pos="9072"/>
      </w:tabs>
      <w:spacing w:after="0" w:line="240" w:lineRule="auto"/>
    </w:pPr>
  </w:style>
  <w:style w:type="character" w:customStyle="1" w:styleId="PtaChar">
    <w:name w:val="Päta Char"/>
    <w:basedOn w:val="Predvolenpsmoodseku"/>
    <w:link w:val="Pta"/>
    <w:uiPriority w:val="99"/>
    <w:rsid w:val="00D92749"/>
  </w:style>
  <w:style w:type="paragraph" w:styleId="Nzov">
    <w:name w:val="Title"/>
    <w:basedOn w:val="Normlny"/>
    <w:next w:val="Normlny"/>
    <w:link w:val="NzovChar"/>
    <w:uiPriority w:val="10"/>
    <w:qFormat/>
    <w:rsid w:val="005568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5568B1"/>
    <w:rPr>
      <w:rFonts w:asciiTheme="majorHAnsi" w:eastAsiaTheme="majorEastAsia" w:hAnsiTheme="majorHAnsi" w:cstheme="majorBidi"/>
      <w:spacing w:val="-10"/>
      <w:kern w:val="28"/>
      <w:sz w:val="56"/>
      <w:szCs w:val="56"/>
    </w:rPr>
  </w:style>
  <w:style w:type="paragraph" w:customStyle="1" w:styleId="DecimalAligned">
    <w:name w:val="Decimal Aligned"/>
    <w:basedOn w:val="Normlny"/>
    <w:uiPriority w:val="40"/>
    <w:qFormat/>
    <w:rsid w:val="005568B1"/>
    <w:pPr>
      <w:tabs>
        <w:tab w:val="decimal" w:pos="360"/>
      </w:tabs>
      <w:spacing w:after="200" w:line="276" w:lineRule="auto"/>
    </w:pPr>
    <w:rPr>
      <w:rFonts w:eastAsiaTheme="minorEastAsia" w:cs="Times New Roman"/>
      <w:lang w:eastAsia="sk-SK"/>
    </w:rPr>
  </w:style>
  <w:style w:type="paragraph" w:styleId="Textpoznmkypodiarou">
    <w:name w:val="footnote text"/>
    <w:basedOn w:val="Normlny"/>
    <w:link w:val="TextpoznmkypodiarouChar"/>
    <w:uiPriority w:val="99"/>
    <w:unhideWhenUsed/>
    <w:rsid w:val="005568B1"/>
    <w:pPr>
      <w:spacing w:after="0" w:line="240" w:lineRule="auto"/>
    </w:pPr>
    <w:rPr>
      <w:rFonts w:eastAsiaTheme="minorEastAsia" w:cs="Times New Roman"/>
      <w:sz w:val="20"/>
      <w:szCs w:val="20"/>
      <w:lang w:eastAsia="sk-SK"/>
    </w:rPr>
  </w:style>
  <w:style w:type="character" w:customStyle="1" w:styleId="TextpoznmkypodiarouChar">
    <w:name w:val="Text poznámky pod čiarou Char"/>
    <w:basedOn w:val="Predvolenpsmoodseku"/>
    <w:link w:val="Textpoznmkypodiarou"/>
    <w:uiPriority w:val="99"/>
    <w:rsid w:val="005568B1"/>
    <w:rPr>
      <w:rFonts w:eastAsiaTheme="minorEastAsia" w:cs="Times New Roman"/>
      <w:sz w:val="20"/>
      <w:szCs w:val="20"/>
      <w:lang w:eastAsia="sk-SK"/>
    </w:rPr>
  </w:style>
  <w:style w:type="character" w:styleId="Jemnzvraznenie">
    <w:name w:val="Subtle Emphasis"/>
    <w:basedOn w:val="Predvolenpsmoodseku"/>
    <w:uiPriority w:val="19"/>
    <w:qFormat/>
    <w:rsid w:val="005568B1"/>
    <w:rPr>
      <w:i/>
      <w:iCs/>
    </w:rPr>
  </w:style>
  <w:style w:type="paragraph" w:customStyle="1" w:styleId="Import38">
    <w:name w:val="Import 38"/>
    <w:rsid w:val="005568B1"/>
    <w:pPr>
      <w:tabs>
        <w:tab w:val="left" w:pos="792"/>
        <w:tab w:val="left" w:pos="1656"/>
        <w:tab w:val="left" w:pos="2520"/>
        <w:tab w:val="left" w:pos="3384"/>
        <w:tab w:val="left" w:pos="4248"/>
        <w:tab w:val="left" w:pos="5112"/>
        <w:tab w:val="left" w:pos="5976"/>
        <w:tab w:val="left" w:pos="6840"/>
        <w:tab w:val="left" w:pos="7704"/>
        <w:tab w:val="left" w:pos="8568"/>
      </w:tabs>
      <w:spacing w:after="0" w:line="240" w:lineRule="auto"/>
    </w:pPr>
    <w:rPr>
      <w:rFonts w:ascii="Avinion" w:eastAsia="Times New Roman" w:hAnsi="Avinion" w:cs="Times New Roman"/>
      <w:sz w:val="24"/>
      <w:szCs w:val="20"/>
      <w:lang w:val="en-US" w:eastAsia="cs-CZ"/>
    </w:rPr>
  </w:style>
  <w:style w:type="character" w:customStyle="1" w:styleId="TextbublinyChar">
    <w:name w:val="Text bubliny Char"/>
    <w:basedOn w:val="Predvolenpsmoodseku"/>
    <w:link w:val="Textbubliny"/>
    <w:uiPriority w:val="99"/>
    <w:semiHidden/>
    <w:rsid w:val="005568B1"/>
    <w:rPr>
      <w:rFonts w:ascii="Segoe UI" w:hAnsi="Segoe UI" w:cs="Segoe UI"/>
      <w:sz w:val="18"/>
      <w:szCs w:val="18"/>
    </w:rPr>
  </w:style>
  <w:style w:type="paragraph" w:styleId="Textbubliny">
    <w:name w:val="Balloon Text"/>
    <w:basedOn w:val="Normlny"/>
    <w:link w:val="TextbublinyChar"/>
    <w:uiPriority w:val="99"/>
    <w:semiHidden/>
    <w:unhideWhenUsed/>
    <w:rsid w:val="005568B1"/>
    <w:pPr>
      <w:spacing w:after="0" w:line="240" w:lineRule="auto"/>
    </w:pPr>
    <w:rPr>
      <w:rFonts w:ascii="Segoe UI" w:hAnsi="Segoe UI" w:cs="Segoe UI"/>
      <w:sz w:val="18"/>
      <w:szCs w:val="18"/>
    </w:rPr>
  </w:style>
  <w:style w:type="paragraph" w:styleId="Zarkazkladnhotextu">
    <w:name w:val="Body Text Indent"/>
    <w:basedOn w:val="Normlny"/>
    <w:link w:val="ZarkazkladnhotextuChar"/>
    <w:rsid w:val="005568B1"/>
    <w:pPr>
      <w:spacing w:after="0" w:line="240" w:lineRule="auto"/>
      <w:ind w:left="340"/>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rsid w:val="005568B1"/>
    <w:rPr>
      <w:rFonts w:ascii="Times New Roman" w:eastAsia="Times New Roman" w:hAnsi="Times New Roman" w:cs="Times New Roman"/>
      <w:sz w:val="24"/>
      <w:szCs w:val="24"/>
      <w:lang w:eastAsia="cs-CZ"/>
    </w:rPr>
  </w:style>
  <w:style w:type="paragraph" w:styleId="Zarkazkladnhotextu2">
    <w:name w:val="Body Text Indent 2"/>
    <w:basedOn w:val="Normlny"/>
    <w:link w:val="Zarkazkladnhotextu2Char"/>
    <w:rsid w:val="005568B1"/>
    <w:pPr>
      <w:spacing w:after="0" w:line="240" w:lineRule="auto"/>
      <w:ind w:left="340"/>
      <w:jc w:val="both"/>
    </w:pPr>
    <w:rPr>
      <w:rFonts w:ascii="Times New Roman" w:eastAsia="Times New Roman" w:hAnsi="Times New Roman" w:cs="Times New Roman"/>
      <w:sz w:val="24"/>
      <w:szCs w:val="24"/>
      <w:lang w:eastAsia="cs-CZ"/>
    </w:rPr>
  </w:style>
  <w:style w:type="character" w:customStyle="1" w:styleId="Zarkazkladnhotextu2Char">
    <w:name w:val="Zarážka základného textu 2 Char"/>
    <w:basedOn w:val="Predvolenpsmoodseku"/>
    <w:link w:val="Zarkazkladnhotextu2"/>
    <w:rsid w:val="005568B1"/>
    <w:rPr>
      <w:rFonts w:ascii="Times New Roman" w:eastAsia="Times New Roman" w:hAnsi="Times New Roman" w:cs="Times New Roman"/>
      <w:sz w:val="24"/>
      <w:szCs w:val="24"/>
      <w:lang w:eastAsia="cs-CZ"/>
    </w:rPr>
  </w:style>
  <w:style w:type="paragraph" w:styleId="Zkladntext">
    <w:name w:val="Body Text"/>
    <w:basedOn w:val="Normlny"/>
    <w:link w:val="ZkladntextChar"/>
    <w:rsid w:val="005568B1"/>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ý text Char"/>
    <w:basedOn w:val="Predvolenpsmoodseku"/>
    <w:link w:val="Zkladntext"/>
    <w:rsid w:val="005568B1"/>
    <w:rPr>
      <w:rFonts w:ascii="Times New Roman" w:eastAsia="Times New Roman" w:hAnsi="Times New Roman" w:cs="Times New Roman"/>
      <w:sz w:val="24"/>
      <w:szCs w:val="24"/>
      <w:lang w:eastAsia="cs-CZ"/>
    </w:rPr>
  </w:style>
  <w:style w:type="paragraph" w:styleId="Normlnywebov">
    <w:name w:val="Normal (Web)"/>
    <w:basedOn w:val="Normlny"/>
    <w:rsid w:val="005568B1"/>
    <w:pPr>
      <w:spacing w:before="150" w:after="225" w:line="240" w:lineRule="auto"/>
    </w:pPr>
    <w:rPr>
      <w:rFonts w:ascii="Times New Roman" w:eastAsia="Times New Roman" w:hAnsi="Times New Roman" w:cs="Times New Roman"/>
      <w:sz w:val="24"/>
      <w:szCs w:val="24"/>
      <w:lang w:eastAsia="sk-SK"/>
    </w:rPr>
  </w:style>
  <w:style w:type="paragraph" w:customStyle="1" w:styleId="nadpisybytterm">
    <w:name w:val="nadpisy bytterm"/>
    <w:basedOn w:val="Normlny"/>
    <w:link w:val="nadpisybyttermChar"/>
    <w:qFormat/>
    <w:rsid w:val="006A5F8C"/>
    <w:pPr>
      <w:spacing w:after="120" w:line="400" w:lineRule="exact"/>
    </w:pPr>
    <w:rPr>
      <w:rFonts w:ascii="Myriad Pro" w:hAnsi="Myriad Pro"/>
      <w:b/>
      <w:color w:val="008445"/>
      <w:sz w:val="36"/>
      <w:szCs w:val="36"/>
    </w:rPr>
  </w:style>
  <w:style w:type="character" w:customStyle="1" w:styleId="nadpisybyttermChar">
    <w:name w:val="nadpisy bytterm Char"/>
    <w:basedOn w:val="Predvolenpsmoodseku"/>
    <w:link w:val="nadpisybytterm"/>
    <w:rsid w:val="006A5F8C"/>
    <w:rPr>
      <w:rFonts w:ascii="Myriad Pro" w:hAnsi="Myriad Pro"/>
      <w:b/>
      <w:color w:val="00844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568786">
      <w:bodyDiv w:val="1"/>
      <w:marLeft w:val="0"/>
      <w:marRight w:val="0"/>
      <w:marTop w:val="0"/>
      <w:marBottom w:val="0"/>
      <w:divBdr>
        <w:top w:val="none" w:sz="0" w:space="0" w:color="auto"/>
        <w:left w:val="none" w:sz="0" w:space="0" w:color="auto"/>
        <w:bottom w:val="none" w:sz="0" w:space="0" w:color="auto"/>
        <w:right w:val="none" w:sz="0" w:space="0" w:color="auto"/>
      </w:divBdr>
      <w:divsChild>
        <w:div w:id="790588947">
          <w:marLeft w:val="0"/>
          <w:marRight w:val="0"/>
          <w:marTop w:val="0"/>
          <w:marBottom w:val="0"/>
          <w:divBdr>
            <w:top w:val="none" w:sz="0" w:space="0" w:color="auto"/>
            <w:left w:val="none" w:sz="0" w:space="0" w:color="auto"/>
            <w:bottom w:val="none" w:sz="0" w:space="0" w:color="auto"/>
            <w:right w:val="none" w:sz="0" w:space="0" w:color="auto"/>
          </w:divBdr>
        </w:div>
        <w:div w:id="115298692">
          <w:marLeft w:val="0"/>
          <w:marRight w:val="0"/>
          <w:marTop w:val="0"/>
          <w:marBottom w:val="0"/>
          <w:divBdr>
            <w:top w:val="none" w:sz="0" w:space="0" w:color="auto"/>
            <w:left w:val="none" w:sz="0" w:space="0" w:color="auto"/>
            <w:bottom w:val="none" w:sz="0" w:space="0" w:color="auto"/>
            <w:right w:val="none" w:sz="0" w:space="0" w:color="auto"/>
          </w:divBdr>
        </w:div>
        <w:div w:id="1740788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2.xml"/><Relationship Id="rId32"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chart" Target="charts/chart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sartorisova.BYTTERMZA\Documents\ine%20dokumenty\VS2016\vyrocnasprava2016.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sk-SK"/>
              <a:t>Štruktúra zamestnancov podľa pohlavia</a:t>
            </a:r>
          </a:p>
        </c:rich>
      </c:tx>
      <c:layout>
        <c:manualLayout>
          <c:xMode val="edge"/>
          <c:yMode val="edge"/>
          <c:x val="0.25909516177734421"/>
          <c:y val="4.329106897891540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278461431259147"/>
          <c:y val="0.36363711333666371"/>
          <c:w val="0.51031013462154784"/>
          <c:h val="0.41258811698965558"/>
        </c:manualLayout>
      </c:layout>
      <c:pie3DChart>
        <c:varyColors val="1"/>
        <c:ser>
          <c:idx val="0"/>
          <c:order val="0"/>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04DA-4B98-9110-C799DB49D683}"/>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04DA-4B98-9110-C799DB49D683}"/>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04DA-4B98-9110-C799DB49D683}"/>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6-04DA-4B98-9110-C799DB49D683}"/>
              </c:ext>
            </c:extLst>
          </c:dPt>
          <c:dLbls>
            <c:dLbl>
              <c:idx val="0"/>
              <c:layout>
                <c:manualLayout>
                  <c:x val="-6.5926927275683458E-2"/>
                  <c:y val="-0.23766427988042288"/>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0-04DA-4B98-9110-C799DB49D683}"/>
                </c:ext>
                <c:ext xmlns:c15="http://schemas.microsoft.com/office/drawing/2012/chart" uri="{CE6537A1-D6FC-4f65-9D91-7224C49458BB}">
                  <c15:layout/>
                </c:ext>
              </c:extLst>
            </c:dLbl>
            <c:dLbl>
              <c:idx val="1"/>
              <c:layout>
                <c:manualLayout>
                  <c:x val="5.0349476226976053E-2"/>
                  <c:y val="-8.1516759045602682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2-04DA-4B98-9110-C799DB49D683}"/>
                </c:ext>
                <c:ext xmlns:c15="http://schemas.microsoft.com/office/drawing/2012/chart" uri="{CE6537A1-D6FC-4f65-9D91-7224C49458BB}">
                  <c15:layout/>
                </c:ext>
              </c:extLst>
            </c:dLbl>
            <c:dLbl>
              <c:idx val="3"/>
              <c:layout>
                <c:manualLayout>
                  <c:x val="0.11905295343236734"/>
                  <c:y val="-0.1621503427179516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6-04DA-4B98-9110-C799DB49D683}"/>
                </c:ext>
                <c:ext xmlns:c15="http://schemas.microsoft.com/office/drawing/2012/chart" uri="{CE6537A1-D6FC-4f65-9D91-7224C49458BB}"/>
              </c:extLst>
            </c:dLbl>
            <c:numFmt formatCode="0%" sourceLinked="0"/>
            <c:spPr>
              <a:noFill/>
              <a:ln w="25400">
                <a:noFill/>
              </a:ln>
            </c:spPr>
            <c:txPr>
              <a:bodyPr wrap="square" lIns="38100" tIns="19050" rIns="38100" bIns="19050" anchor="ctr">
                <a:spAutoFit/>
              </a:bodyPr>
              <a:lstStyle/>
              <a:p>
                <a:pPr>
                  <a:defRPr sz="975" b="0" i="0" u="none" strike="noStrike" baseline="0">
                    <a:solidFill>
                      <a:srgbClr val="000000"/>
                    </a:solidFill>
                    <a:latin typeface="Arial"/>
                    <a:ea typeface="Arial"/>
                    <a:cs typeface="Arial"/>
                  </a:defRPr>
                </a:pPr>
                <a:endParaRPr lang="sk-SK"/>
              </a:p>
            </c:txPr>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Hárok1!$K$122:$K$123</c:f>
              <c:strCache>
                <c:ptCount val="2"/>
                <c:pt idx="0">
                  <c:v>muži</c:v>
                </c:pt>
                <c:pt idx="1">
                  <c:v>ženy</c:v>
                </c:pt>
              </c:strCache>
            </c:strRef>
          </c:cat>
          <c:val>
            <c:numRef>
              <c:f>Hárok1!$L$122:$L$123</c:f>
              <c:numCache>
                <c:formatCode>General</c:formatCode>
                <c:ptCount val="2"/>
                <c:pt idx="0">
                  <c:v>114</c:v>
                </c:pt>
                <c:pt idx="1">
                  <c:v>70</c:v>
                </c:pt>
              </c:numCache>
            </c:numRef>
          </c:val>
          <c:extLst xmlns:c16r2="http://schemas.microsoft.com/office/drawing/2015/06/chart">
            <c:ext xmlns:c16="http://schemas.microsoft.com/office/drawing/2014/chart" uri="{C3380CC4-5D6E-409C-BE32-E72D297353CC}">
              <c16:uniqueId val="{00000007-04DA-4B98-9110-C799DB49D683}"/>
            </c:ext>
          </c:extLst>
        </c:ser>
        <c:dLbls>
          <c:showLegendKey val="0"/>
          <c:showVal val="0"/>
          <c:showCatName val="1"/>
          <c:showSerName val="0"/>
          <c:showPercent val="1"/>
          <c:showBubbleSize val="0"/>
          <c:separator> </c:separator>
          <c:showLeaderLines val="0"/>
        </c:dLbls>
      </c:pie3DChart>
      <c:spPr>
        <a:noFill/>
        <a:ln w="25400">
          <a:noFill/>
        </a:ln>
      </c:spPr>
    </c:plotArea>
    <c:plotVisOnly val="1"/>
    <c:dispBlanksAs val="zero"/>
    <c:showDLblsOverMax val="0"/>
  </c:chart>
  <c:spPr>
    <a:noFill/>
    <a:ln w="6350">
      <a:noFill/>
    </a:ln>
  </c:spPr>
  <c:txPr>
    <a:bodyPr/>
    <a:lstStyle/>
    <a:p>
      <a:pPr>
        <a:defRPr sz="975" b="0" i="0" u="none" strike="noStrike" baseline="0">
          <a:solidFill>
            <a:srgbClr val="000000"/>
          </a:solidFill>
          <a:latin typeface="Arial"/>
          <a:ea typeface="Arial"/>
          <a:cs typeface="Arial"/>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Vývoj hospodárskeho výsledku v rokoch 
 2014 - 2016
</a:t>
            </a:r>
          </a:p>
        </c:rich>
      </c:tx>
      <c:layout>
        <c:manualLayout>
          <c:xMode val="edge"/>
          <c:yMode val="edge"/>
          <c:x val="0.26268668170864606"/>
          <c:y val="3.6666666666666667E-2"/>
        </c:manualLayout>
      </c:layout>
      <c:overlay val="0"/>
      <c:spPr>
        <a:noFill/>
        <a:ln w="25400">
          <a:noFill/>
        </a:ln>
      </c:spPr>
    </c:title>
    <c:autoTitleDeleted val="0"/>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686576409876699"/>
          <c:y val="0.39333461371944572"/>
          <c:w val="0.85223942706348166"/>
          <c:h val="0.47000152995289696"/>
        </c:manualLayout>
      </c:layout>
      <c:bar3DChart>
        <c:barDir val="col"/>
        <c:grouping val="clustered"/>
        <c:varyColors val="0"/>
        <c:ser>
          <c:idx val="0"/>
          <c:order val="0"/>
          <c:tx>
            <c:v>EBITDA</c:v>
          </c:tx>
          <c:spPr>
            <a:solidFill>
              <a:srgbClr val="9999FF"/>
            </a:solidFill>
            <a:ln w="12700">
              <a:solidFill>
                <a:srgbClr val="000000"/>
              </a:solidFill>
              <a:prstDash val="solid"/>
            </a:ln>
          </c:spPr>
          <c:invertIfNegative val="0"/>
          <c:cat>
            <c:numRef>
              <c:f>Hárok1!$F$3:$H$3</c:f>
              <c:numCache>
                <c:formatCode>General</c:formatCode>
                <c:ptCount val="3"/>
                <c:pt idx="0">
                  <c:v>2014</c:v>
                </c:pt>
                <c:pt idx="1">
                  <c:v>2015</c:v>
                </c:pt>
                <c:pt idx="2">
                  <c:v>2016</c:v>
                </c:pt>
              </c:numCache>
            </c:numRef>
          </c:cat>
          <c:val>
            <c:numRef>
              <c:f>Hárok1!$F$4:$H$4</c:f>
              <c:numCache>
                <c:formatCode>#,##0</c:formatCode>
                <c:ptCount val="3"/>
                <c:pt idx="0">
                  <c:v>1356090.48</c:v>
                </c:pt>
                <c:pt idx="1">
                  <c:v>1425387.1099999999</c:v>
                </c:pt>
                <c:pt idx="2">
                  <c:v>1455032.3599999999</c:v>
                </c:pt>
              </c:numCache>
            </c:numRef>
          </c:val>
          <c:extLst xmlns:c16r2="http://schemas.microsoft.com/office/drawing/2015/06/chart">
            <c:ext xmlns:c16="http://schemas.microsoft.com/office/drawing/2014/chart" uri="{C3380CC4-5D6E-409C-BE32-E72D297353CC}">
              <c16:uniqueId val="{00000000-1275-4AC8-ACD7-A2D91180A09A}"/>
            </c:ext>
          </c:extLst>
        </c:ser>
        <c:ser>
          <c:idx val="1"/>
          <c:order val="1"/>
          <c:tx>
            <c:v>EBIT</c:v>
          </c:tx>
          <c:spPr>
            <a:solidFill>
              <a:srgbClr val="993366"/>
            </a:solidFill>
            <a:ln w="12700">
              <a:solidFill>
                <a:srgbClr val="000000"/>
              </a:solidFill>
              <a:prstDash val="solid"/>
            </a:ln>
          </c:spPr>
          <c:invertIfNegative val="0"/>
          <c:cat>
            <c:numRef>
              <c:f>Hárok1!$F$3:$H$3</c:f>
              <c:numCache>
                <c:formatCode>General</c:formatCode>
                <c:ptCount val="3"/>
                <c:pt idx="0">
                  <c:v>2014</c:v>
                </c:pt>
                <c:pt idx="1">
                  <c:v>2015</c:v>
                </c:pt>
                <c:pt idx="2">
                  <c:v>2016</c:v>
                </c:pt>
              </c:numCache>
            </c:numRef>
          </c:cat>
          <c:val>
            <c:numRef>
              <c:f>Hárok1!$F$5:$H$5</c:f>
              <c:numCache>
                <c:formatCode>#,##0</c:formatCode>
                <c:ptCount val="3"/>
                <c:pt idx="0">
                  <c:v>784672.78</c:v>
                </c:pt>
                <c:pt idx="1">
                  <c:v>833853.04999999993</c:v>
                </c:pt>
                <c:pt idx="2">
                  <c:v>848041.03999999992</c:v>
                </c:pt>
              </c:numCache>
            </c:numRef>
          </c:val>
          <c:extLst xmlns:c16r2="http://schemas.microsoft.com/office/drawing/2015/06/chart">
            <c:ext xmlns:c16="http://schemas.microsoft.com/office/drawing/2014/chart" uri="{C3380CC4-5D6E-409C-BE32-E72D297353CC}">
              <c16:uniqueId val="{00000001-1275-4AC8-ACD7-A2D91180A09A}"/>
            </c:ext>
          </c:extLst>
        </c:ser>
        <c:ser>
          <c:idx val="2"/>
          <c:order val="2"/>
          <c:tx>
            <c:v>EBT</c:v>
          </c:tx>
          <c:spPr>
            <a:solidFill>
              <a:srgbClr val="FFFFCC"/>
            </a:solidFill>
            <a:ln w="12700">
              <a:solidFill>
                <a:srgbClr val="000000"/>
              </a:solidFill>
              <a:prstDash val="solid"/>
            </a:ln>
          </c:spPr>
          <c:invertIfNegative val="0"/>
          <c:cat>
            <c:numRef>
              <c:f>Hárok1!$F$3:$H$3</c:f>
              <c:numCache>
                <c:formatCode>General</c:formatCode>
                <c:ptCount val="3"/>
                <c:pt idx="0">
                  <c:v>2014</c:v>
                </c:pt>
                <c:pt idx="1">
                  <c:v>2015</c:v>
                </c:pt>
                <c:pt idx="2">
                  <c:v>2016</c:v>
                </c:pt>
              </c:numCache>
            </c:numRef>
          </c:cat>
          <c:val>
            <c:numRef>
              <c:f>Hárok1!$F$6:$H$6</c:f>
              <c:numCache>
                <c:formatCode>#,##0</c:formatCode>
                <c:ptCount val="3"/>
                <c:pt idx="0">
                  <c:v>784672.68</c:v>
                </c:pt>
                <c:pt idx="1">
                  <c:v>833852.95</c:v>
                </c:pt>
                <c:pt idx="2">
                  <c:v>848040.94</c:v>
                </c:pt>
              </c:numCache>
            </c:numRef>
          </c:val>
          <c:extLst xmlns:c16r2="http://schemas.microsoft.com/office/drawing/2015/06/chart">
            <c:ext xmlns:c16="http://schemas.microsoft.com/office/drawing/2014/chart" uri="{C3380CC4-5D6E-409C-BE32-E72D297353CC}">
              <c16:uniqueId val="{00000002-1275-4AC8-ACD7-A2D91180A09A}"/>
            </c:ext>
          </c:extLst>
        </c:ser>
        <c:ser>
          <c:idx val="3"/>
          <c:order val="3"/>
          <c:tx>
            <c:v>EAT</c:v>
          </c:tx>
          <c:spPr>
            <a:solidFill>
              <a:srgbClr val="CCFFFF"/>
            </a:solidFill>
            <a:ln w="12700">
              <a:solidFill>
                <a:srgbClr val="000000"/>
              </a:solidFill>
              <a:prstDash val="solid"/>
            </a:ln>
          </c:spPr>
          <c:invertIfNegative val="0"/>
          <c:cat>
            <c:numRef>
              <c:f>Hárok1!$F$3:$H$3</c:f>
              <c:numCache>
                <c:formatCode>General</c:formatCode>
                <c:ptCount val="3"/>
                <c:pt idx="0">
                  <c:v>2014</c:v>
                </c:pt>
                <c:pt idx="1">
                  <c:v>2015</c:v>
                </c:pt>
                <c:pt idx="2">
                  <c:v>2016</c:v>
                </c:pt>
              </c:numCache>
            </c:numRef>
          </c:cat>
          <c:val>
            <c:numRef>
              <c:f>Hárok1!$F$7:$H$7</c:f>
              <c:numCache>
                <c:formatCode>#,##0</c:formatCode>
                <c:ptCount val="3"/>
                <c:pt idx="0">
                  <c:v>609348</c:v>
                </c:pt>
                <c:pt idx="1">
                  <c:v>645446.38</c:v>
                </c:pt>
                <c:pt idx="2">
                  <c:v>657796.89</c:v>
                </c:pt>
              </c:numCache>
            </c:numRef>
          </c:val>
          <c:extLst xmlns:c16r2="http://schemas.microsoft.com/office/drawing/2015/06/chart">
            <c:ext xmlns:c16="http://schemas.microsoft.com/office/drawing/2014/chart" uri="{C3380CC4-5D6E-409C-BE32-E72D297353CC}">
              <c16:uniqueId val="{00000003-1275-4AC8-ACD7-A2D91180A09A}"/>
            </c:ext>
          </c:extLst>
        </c:ser>
        <c:dLbls>
          <c:showLegendKey val="0"/>
          <c:showVal val="0"/>
          <c:showCatName val="0"/>
          <c:showSerName val="0"/>
          <c:showPercent val="0"/>
          <c:showBubbleSize val="0"/>
        </c:dLbls>
        <c:gapWidth val="150"/>
        <c:shape val="box"/>
        <c:axId val="216445896"/>
        <c:axId val="216580320"/>
        <c:axId val="0"/>
      </c:bar3DChart>
      <c:catAx>
        <c:axId val="216445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sk-SK"/>
          </a:p>
        </c:txPr>
        <c:crossAx val="216580320"/>
        <c:crosses val="autoZero"/>
        <c:auto val="1"/>
        <c:lblAlgn val="ctr"/>
        <c:lblOffset val="100"/>
        <c:tickLblSkip val="1"/>
        <c:tickMarkSkip val="1"/>
        <c:noMultiLvlLbl val="0"/>
      </c:catAx>
      <c:valAx>
        <c:axId val="216580320"/>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sk-SK"/>
          </a:p>
        </c:txPr>
        <c:crossAx val="216445896"/>
        <c:crosses val="autoZero"/>
        <c:crossBetween val="between"/>
      </c:valAx>
      <c:spPr>
        <a:noFill/>
        <a:ln w="25400">
          <a:noFill/>
        </a:ln>
      </c:spPr>
    </c:plotArea>
    <c:plotVisOnly val="1"/>
    <c:dispBlanksAs val="gap"/>
    <c:showDLblsOverMax val="0"/>
  </c:chart>
  <c:spPr>
    <a:noFill/>
    <a:ln w="6350">
      <a:noFill/>
    </a:ln>
  </c:spPr>
  <c:txPr>
    <a:bodyPr/>
    <a:lstStyle/>
    <a:p>
      <a:pPr>
        <a:defRPr sz="1025" b="0" i="0" u="none" strike="noStrike" baseline="0">
          <a:solidFill>
            <a:srgbClr val="000000"/>
          </a:solidFill>
          <a:latin typeface="Arial"/>
          <a:ea typeface="Arial"/>
          <a:cs typeface="Arial"/>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Vývoj rentability čistého zisku v rokoch 2014-2016</a:t>
            </a:r>
          </a:p>
        </c:rich>
      </c:tx>
      <c:layout>
        <c:manualLayout>
          <c:xMode val="edge"/>
          <c:yMode val="edge"/>
          <c:x val="0.24896941101810369"/>
          <c:y val="5.4444444444444441E-2"/>
        </c:manualLayout>
      </c:layout>
      <c:overlay val="0"/>
      <c:spPr>
        <a:noFill/>
        <a:ln w="25400">
          <a:noFill/>
        </a:ln>
      </c:spPr>
    </c:title>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9.200011979182264E-2"/>
          <c:y val="0.18333393012347046"/>
          <c:w val="0.88933449132095221"/>
          <c:h val="0.68000221354887225"/>
        </c:manualLayout>
      </c:layout>
      <c:bar3DChart>
        <c:barDir val="col"/>
        <c:grouping val="clustered"/>
        <c:varyColors val="0"/>
        <c:ser>
          <c:idx val="0"/>
          <c:order val="0"/>
          <c:tx>
            <c:v>RN</c:v>
          </c:tx>
          <c:spPr>
            <a:solidFill>
              <a:srgbClr val="9999FF"/>
            </a:solidFill>
            <a:ln w="12700">
              <a:solidFill>
                <a:srgbClr val="000000"/>
              </a:solidFill>
              <a:prstDash val="solid"/>
            </a:ln>
          </c:spPr>
          <c:invertIfNegative val="0"/>
          <c:cat>
            <c:numRef>
              <c:f>Hárok1!$F$27:$H$27</c:f>
              <c:numCache>
                <c:formatCode>General</c:formatCode>
                <c:ptCount val="3"/>
                <c:pt idx="0">
                  <c:v>2014</c:v>
                </c:pt>
                <c:pt idx="1">
                  <c:v>2015</c:v>
                </c:pt>
                <c:pt idx="2">
                  <c:v>2016</c:v>
                </c:pt>
              </c:numCache>
            </c:numRef>
          </c:cat>
          <c:val>
            <c:numRef>
              <c:f>Hárok1!$F$28:$H$28</c:f>
              <c:numCache>
                <c:formatCode>0.00%</c:formatCode>
                <c:ptCount val="3"/>
                <c:pt idx="0">
                  <c:v>3.6978764819811667E-2</c:v>
                </c:pt>
                <c:pt idx="1">
                  <c:v>3.8911118980953431E-2</c:v>
                </c:pt>
                <c:pt idx="2">
                  <c:v>3.797960351004883E-2</c:v>
                </c:pt>
              </c:numCache>
            </c:numRef>
          </c:val>
          <c:extLst xmlns:c16r2="http://schemas.microsoft.com/office/drawing/2015/06/chart">
            <c:ext xmlns:c16="http://schemas.microsoft.com/office/drawing/2014/chart" uri="{C3380CC4-5D6E-409C-BE32-E72D297353CC}">
              <c16:uniqueId val="{00000000-9168-457C-8384-A78E092AEADC}"/>
            </c:ext>
          </c:extLst>
        </c:ser>
        <c:ser>
          <c:idx val="1"/>
          <c:order val="1"/>
          <c:tx>
            <c:v>RV</c:v>
          </c:tx>
          <c:spPr>
            <a:solidFill>
              <a:srgbClr val="993366"/>
            </a:solidFill>
            <a:ln w="12700">
              <a:solidFill>
                <a:srgbClr val="000000"/>
              </a:solidFill>
              <a:prstDash val="solid"/>
            </a:ln>
          </c:spPr>
          <c:invertIfNegative val="0"/>
          <c:cat>
            <c:numRef>
              <c:f>Hárok1!$F$27:$H$27</c:f>
              <c:numCache>
                <c:formatCode>General</c:formatCode>
                <c:ptCount val="3"/>
                <c:pt idx="0">
                  <c:v>2014</c:v>
                </c:pt>
                <c:pt idx="1">
                  <c:v>2015</c:v>
                </c:pt>
                <c:pt idx="2">
                  <c:v>2016</c:v>
                </c:pt>
              </c:numCache>
            </c:numRef>
          </c:cat>
          <c:val>
            <c:numRef>
              <c:f>Hárok1!$F$29:$H$29</c:f>
              <c:numCache>
                <c:formatCode>0.00%</c:formatCode>
                <c:ptCount val="3"/>
                <c:pt idx="0">
                  <c:v>3.5660098426641557E-2</c:v>
                </c:pt>
                <c:pt idx="1">
                  <c:v>3.745375159630647E-2</c:v>
                </c:pt>
                <c:pt idx="2">
                  <c:v>3.658993238558482E-2</c:v>
                </c:pt>
              </c:numCache>
            </c:numRef>
          </c:val>
          <c:extLst xmlns:c16r2="http://schemas.microsoft.com/office/drawing/2015/06/chart">
            <c:ext xmlns:c16="http://schemas.microsoft.com/office/drawing/2014/chart" uri="{C3380CC4-5D6E-409C-BE32-E72D297353CC}">
              <c16:uniqueId val="{00000001-9168-457C-8384-A78E092AEADC}"/>
            </c:ext>
          </c:extLst>
        </c:ser>
        <c:ser>
          <c:idx val="2"/>
          <c:order val="2"/>
          <c:tx>
            <c:v>RVK</c:v>
          </c:tx>
          <c:spPr>
            <a:solidFill>
              <a:srgbClr val="FFFFCC"/>
            </a:solidFill>
            <a:ln w="12700">
              <a:solidFill>
                <a:srgbClr val="000000"/>
              </a:solidFill>
              <a:prstDash val="solid"/>
            </a:ln>
          </c:spPr>
          <c:invertIfNegative val="0"/>
          <c:cat>
            <c:numRef>
              <c:f>Hárok1!$F$27:$H$27</c:f>
              <c:numCache>
                <c:formatCode>General</c:formatCode>
                <c:ptCount val="3"/>
                <c:pt idx="0">
                  <c:v>2014</c:v>
                </c:pt>
                <c:pt idx="1">
                  <c:v>2015</c:v>
                </c:pt>
                <c:pt idx="2">
                  <c:v>2016</c:v>
                </c:pt>
              </c:numCache>
            </c:numRef>
          </c:cat>
          <c:val>
            <c:numRef>
              <c:f>Hárok1!$F$30:$H$30</c:f>
              <c:numCache>
                <c:formatCode>0.00%</c:formatCode>
                <c:ptCount val="3"/>
                <c:pt idx="0">
                  <c:v>0.10405122133723931</c:v>
                </c:pt>
                <c:pt idx="1">
                  <c:v>0.10942225941912373</c:v>
                </c:pt>
                <c:pt idx="2">
                  <c:v>0.10779398966844293</c:v>
                </c:pt>
              </c:numCache>
            </c:numRef>
          </c:val>
          <c:extLst xmlns:c16r2="http://schemas.microsoft.com/office/drawing/2015/06/chart">
            <c:ext xmlns:c16="http://schemas.microsoft.com/office/drawing/2014/chart" uri="{C3380CC4-5D6E-409C-BE32-E72D297353CC}">
              <c16:uniqueId val="{00000002-9168-457C-8384-A78E092AEADC}"/>
            </c:ext>
          </c:extLst>
        </c:ser>
        <c:dLbls>
          <c:showLegendKey val="0"/>
          <c:showVal val="0"/>
          <c:showCatName val="0"/>
          <c:showSerName val="0"/>
          <c:showPercent val="0"/>
          <c:showBubbleSize val="0"/>
        </c:dLbls>
        <c:gapWidth val="150"/>
        <c:shape val="box"/>
        <c:axId val="216579536"/>
        <c:axId val="216576792"/>
        <c:axId val="0"/>
      </c:bar3DChart>
      <c:catAx>
        <c:axId val="216579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sk-SK"/>
          </a:p>
        </c:txPr>
        <c:crossAx val="216576792"/>
        <c:crosses val="autoZero"/>
        <c:auto val="1"/>
        <c:lblAlgn val="ctr"/>
        <c:lblOffset val="100"/>
        <c:tickLblSkip val="1"/>
        <c:tickMarkSkip val="1"/>
        <c:noMultiLvlLbl val="0"/>
      </c:catAx>
      <c:valAx>
        <c:axId val="216576792"/>
        <c:scaling>
          <c:orientation val="minMax"/>
        </c:scaling>
        <c:delete val="0"/>
        <c:axPos val="l"/>
        <c:numFmt formatCode="0.00%"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sk-SK"/>
          </a:p>
        </c:txPr>
        <c:crossAx val="216579536"/>
        <c:crosses val="autoZero"/>
        <c:crossBetween val="between"/>
      </c:valAx>
      <c:spPr>
        <a:noFill/>
        <a:ln w="25400">
          <a:noFill/>
        </a:ln>
      </c:spPr>
    </c:plotArea>
    <c:plotVisOnly val="1"/>
    <c:dispBlanksAs val="gap"/>
    <c:showDLblsOverMax val="0"/>
  </c:chart>
  <c:spPr>
    <a:noFill/>
    <a:ln w="6350">
      <a:noFill/>
    </a:ln>
  </c:spPr>
  <c:txPr>
    <a:bodyPr/>
    <a:lstStyle/>
    <a:p>
      <a:pPr>
        <a:defRPr sz="1025" b="0" i="0" u="none" strike="noStrike" baseline="0">
          <a:solidFill>
            <a:srgbClr val="000000"/>
          </a:solidFill>
          <a:latin typeface="Arial"/>
          <a:ea typeface="Arial"/>
          <a:cs typeface="Arial"/>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Vývoj čistej pridanej hodnoty v rokoch 2014- 2016
</a:t>
            </a:r>
          </a:p>
        </c:rich>
      </c:tx>
      <c:layout>
        <c:manualLayout>
          <c:xMode val="edge"/>
          <c:yMode val="edge"/>
          <c:x val="0.24119270137961729"/>
          <c:y val="3.7288135593220341E-2"/>
        </c:manualLayout>
      </c:layout>
      <c:overlay val="0"/>
      <c:spPr>
        <a:noFill/>
        <a:ln w="25400">
          <a:noFill/>
        </a:ln>
      </c:spPr>
    </c:title>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569119676701808"/>
          <c:y val="0.25423770894747905"/>
          <c:w val="0.87533991168581637"/>
          <c:h val="0.56396611314674772"/>
        </c:manualLayout>
      </c:layout>
      <c:bar3DChart>
        <c:barDir val="col"/>
        <c:grouping val="clustered"/>
        <c:varyColors val="0"/>
        <c:ser>
          <c:idx val="1"/>
          <c:order val="0"/>
          <c:spPr>
            <a:solidFill>
              <a:srgbClr val="993366"/>
            </a:solidFill>
            <a:ln w="12700">
              <a:solidFill>
                <a:srgbClr val="000000"/>
              </a:solidFill>
              <a:prstDash val="solid"/>
            </a:ln>
          </c:spPr>
          <c:invertIfNegative val="0"/>
          <c:cat>
            <c:numRef>
              <c:f>Hárok1!$F$184:$H$184</c:f>
              <c:numCache>
                <c:formatCode>General</c:formatCode>
                <c:ptCount val="3"/>
                <c:pt idx="0">
                  <c:v>2014</c:v>
                </c:pt>
                <c:pt idx="1">
                  <c:v>2015</c:v>
                </c:pt>
                <c:pt idx="2">
                  <c:v>2016</c:v>
                </c:pt>
              </c:numCache>
            </c:numRef>
          </c:cat>
          <c:val>
            <c:numRef>
              <c:f>Hárok1!$F$188:$H$188</c:f>
              <c:numCache>
                <c:formatCode>#,##0</c:formatCode>
                <c:ptCount val="3"/>
                <c:pt idx="0">
                  <c:v>1254184.69</c:v>
                </c:pt>
                <c:pt idx="1">
                  <c:v>1327149.8699999996</c:v>
                </c:pt>
                <c:pt idx="2">
                  <c:v>1282634.28</c:v>
                </c:pt>
              </c:numCache>
            </c:numRef>
          </c:val>
          <c:extLst xmlns:c16r2="http://schemas.microsoft.com/office/drawing/2015/06/chart">
            <c:ext xmlns:c16="http://schemas.microsoft.com/office/drawing/2014/chart" uri="{C3380CC4-5D6E-409C-BE32-E72D297353CC}">
              <c16:uniqueId val="{00000000-B745-446E-8C21-9A0316FF8A18}"/>
            </c:ext>
          </c:extLst>
        </c:ser>
        <c:ser>
          <c:idx val="0"/>
          <c:order val="1"/>
          <c:tx>
            <c:v>PH</c:v>
          </c:tx>
          <c:spPr>
            <a:solidFill>
              <a:srgbClr val="9999FF"/>
            </a:solidFill>
            <a:ln w="12700">
              <a:solidFill>
                <a:srgbClr val="000000"/>
              </a:solidFill>
              <a:prstDash val="solid"/>
            </a:ln>
          </c:spPr>
          <c:invertIfNegative val="0"/>
          <c:cat>
            <c:numRef>
              <c:f>Hárok1!$F$184:$H$184</c:f>
              <c:numCache>
                <c:formatCode>General</c:formatCode>
                <c:ptCount val="3"/>
                <c:pt idx="0">
                  <c:v>2014</c:v>
                </c:pt>
                <c:pt idx="1">
                  <c:v>2015</c:v>
                </c:pt>
                <c:pt idx="2">
                  <c:v>2016</c:v>
                </c:pt>
              </c:numCache>
            </c:numRef>
          </c:cat>
          <c:val>
            <c:numRef>
              <c:f>Hárok1!$F$185:$H$185</c:f>
              <c:numCache>
                <c:formatCode>#,##0</c:formatCode>
                <c:ptCount val="3"/>
                <c:pt idx="0">
                  <c:v>4372162.5</c:v>
                </c:pt>
                <c:pt idx="1">
                  <c:v>4402442.68</c:v>
                </c:pt>
                <c:pt idx="2">
                  <c:v>4456945.84</c:v>
                </c:pt>
              </c:numCache>
            </c:numRef>
          </c:val>
          <c:extLst xmlns:c16r2="http://schemas.microsoft.com/office/drawing/2015/06/chart">
            <c:ext xmlns:c16="http://schemas.microsoft.com/office/drawing/2014/chart" uri="{C3380CC4-5D6E-409C-BE32-E72D297353CC}">
              <c16:uniqueId val="{00000001-B745-446E-8C21-9A0316FF8A18}"/>
            </c:ext>
          </c:extLst>
        </c:ser>
        <c:dLbls>
          <c:showLegendKey val="0"/>
          <c:showVal val="0"/>
          <c:showCatName val="0"/>
          <c:showSerName val="0"/>
          <c:showPercent val="0"/>
          <c:showBubbleSize val="0"/>
        </c:dLbls>
        <c:gapWidth val="150"/>
        <c:shape val="box"/>
        <c:axId val="52728440"/>
        <c:axId val="52732752"/>
        <c:axId val="0"/>
      </c:bar3DChart>
      <c:catAx>
        <c:axId val="52728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52732752"/>
        <c:crosses val="autoZero"/>
        <c:auto val="1"/>
        <c:lblAlgn val="ctr"/>
        <c:lblOffset val="100"/>
        <c:tickLblSkip val="1"/>
        <c:tickMarkSkip val="1"/>
        <c:noMultiLvlLbl val="0"/>
      </c:catAx>
      <c:valAx>
        <c:axId val="5273275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52728440"/>
        <c:crosses val="autoZero"/>
        <c:crossBetween val="between"/>
      </c:valAx>
      <c:spPr>
        <a:noFill/>
        <a:ln w="25400">
          <a:noFill/>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sk-SK"/>
              <a:t>Vývoj produktivity v rokoch 2014 - 2016</a:t>
            </a:r>
          </a:p>
        </c:rich>
      </c:tx>
      <c:layout>
        <c:manualLayout>
          <c:xMode val="edge"/>
          <c:yMode val="edge"/>
          <c:x val="0.29880510698874507"/>
          <c:y val="3.7288135593220341E-2"/>
        </c:manualLayout>
      </c:layout>
      <c:overlay val="0"/>
      <c:spPr>
        <a:noFill/>
        <a:ln w="25400">
          <a:noFill/>
        </a:ln>
      </c:spPr>
    </c:title>
    <c:autoTitleDeleted val="0"/>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1.8592321589062485E-2"/>
          <c:y val="0.18305115044218492"/>
          <c:w val="0.96281665371930725"/>
          <c:h val="0.6813570599792439"/>
        </c:manualLayout>
      </c:layout>
      <c:bar3DChart>
        <c:barDir val="col"/>
        <c:grouping val="clustered"/>
        <c:varyColors val="0"/>
        <c:ser>
          <c:idx val="1"/>
          <c:order val="0"/>
          <c:spPr>
            <a:solidFill>
              <a:srgbClr val="993366"/>
            </a:solidFill>
            <a:ln w="12700">
              <a:solidFill>
                <a:srgbClr val="000000"/>
              </a:solidFill>
              <a:prstDash val="solid"/>
            </a:ln>
          </c:spPr>
          <c:invertIfNegative val="0"/>
          <c:cat>
            <c:numRef>
              <c:f>Hárok1!$F$209:$H$209</c:f>
              <c:numCache>
                <c:formatCode>General</c:formatCode>
                <c:ptCount val="3"/>
                <c:pt idx="0">
                  <c:v>2014</c:v>
                </c:pt>
                <c:pt idx="1">
                  <c:v>2015</c:v>
                </c:pt>
                <c:pt idx="2">
                  <c:v>2016</c:v>
                </c:pt>
              </c:numCache>
            </c:numRef>
          </c:cat>
          <c:val>
            <c:numRef>
              <c:f>Hárok1!$F$212:$H$212</c:f>
              <c:numCache>
                <c:formatCode>#,##0</c:formatCode>
                <c:ptCount val="3"/>
                <c:pt idx="0">
                  <c:v>22890.903141361257</c:v>
                </c:pt>
                <c:pt idx="1">
                  <c:v>23926.318913043477</c:v>
                </c:pt>
                <c:pt idx="2">
                  <c:v>24354.895300546446</c:v>
                </c:pt>
              </c:numCache>
            </c:numRef>
          </c:val>
          <c:extLst xmlns:c16r2="http://schemas.microsoft.com/office/drawing/2015/06/chart">
            <c:ext xmlns:c16="http://schemas.microsoft.com/office/drawing/2014/chart" uri="{C3380CC4-5D6E-409C-BE32-E72D297353CC}">
              <c16:uniqueId val="{00000000-A2C2-4B64-B7DF-FA36031813D4}"/>
            </c:ext>
          </c:extLst>
        </c:ser>
        <c:ser>
          <c:idx val="2"/>
          <c:order val="1"/>
          <c:spPr>
            <a:solidFill>
              <a:srgbClr val="FFFFCC"/>
            </a:solidFill>
            <a:ln w="12700">
              <a:solidFill>
                <a:srgbClr val="000000"/>
              </a:solidFill>
              <a:prstDash val="solid"/>
            </a:ln>
          </c:spPr>
          <c:invertIfNegative val="0"/>
          <c:cat>
            <c:numRef>
              <c:f>Hárok1!$F$209:$H$209</c:f>
              <c:numCache>
                <c:formatCode>General</c:formatCode>
                <c:ptCount val="3"/>
                <c:pt idx="0">
                  <c:v>2014</c:v>
                </c:pt>
                <c:pt idx="1">
                  <c:v>2015</c:v>
                </c:pt>
                <c:pt idx="2">
                  <c:v>2016</c:v>
                </c:pt>
              </c:numCache>
            </c:numRef>
          </c:cat>
          <c:val>
            <c:numRef>
              <c:f>Hárok1!$F$214:$H$214</c:f>
              <c:numCache>
                <c:formatCode>#,##0</c:formatCode>
                <c:ptCount val="3"/>
                <c:pt idx="0">
                  <c:v>88653.246910994771</c:v>
                </c:pt>
                <c:pt idx="1">
                  <c:v>92709.283369565223</c:v>
                </c:pt>
                <c:pt idx="2">
                  <c:v>97014.168633879803</c:v>
                </c:pt>
              </c:numCache>
            </c:numRef>
          </c:val>
          <c:extLst xmlns:c16r2="http://schemas.microsoft.com/office/drawing/2015/06/chart">
            <c:ext xmlns:c16="http://schemas.microsoft.com/office/drawing/2014/chart" uri="{C3380CC4-5D6E-409C-BE32-E72D297353CC}">
              <c16:uniqueId val="{00000001-A2C2-4B64-B7DF-FA36031813D4}"/>
            </c:ext>
          </c:extLst>
        </c:ser>
        <c:dLbls>
          <c:showLegendKey val="0"/>
          <c:showVal val="0"/>
          <c:showCatName val="0"/>
          <c:showSerName val="0"/>
          <c:showPercent val="0"/>
          <c:showBubbleSize val="0"/>
        </c:dLbls>
        <c:gapWidth val="150"/>
        <c:shape val="box"/>
        <c:axId val="121833368"/>
        <c:axId val="121833760"/>
        <c:axId val="0"/>
      </c:bar3DChart>
      <c:catAx>
        <c:axId val="121833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sk-SK"/>
          </a:p>
        </c:txPr>
        <c:crossAx val="121833760"/>
        <c:crosses val="autoZero"/>
        <c:auto val="1"/>
        <c:lblAlgn val="ctr"/>
        <c:lblOffset val="100"/>
        <c:tickLblSkip val="1"/>
        <c:tickMarkSkip val="1"/>
        <c:noMultiLvlLbl val="0"/>
      </c:catAx>
      <c:valAx>
        <c:axId val="121833760"/>
        <c:scaling>
          <c:orientation val="minMax"/>
        </c:scaling>
        <c:delete val="1"/>
        <c:axPos val="l"/>
        <c:numFmt formatCode="#,##0" sourceLinked="1"/>
        <c:majorTickMark val="out"/>
        <c:minorTickMark val="none"/>
        <c:tickLblPos val="nextTo"/>
        <c:crossAx val="121833368"/>
        <c:crosses val="autoZero"/>
        <c:crossBetween val="between"/>
      </c:valAx>
      <c:spPr>
        <a:noFill/>
        <a:ln w="25400">
          <a:noFill/>
        </a:ln>
      </c:spPr>
    </c:plotArea>
    <c:plotVisOnly val="1"/>
    <c:dispBlanksAs val="gap"/>
    <c:showDLblsOverMax val="0"/>
  </c:chart>
  <c:spPr>
    <a:noFill/>
    <a:ln w="6350">
      <a:noFill/>
    </a:ln>
  </c:spPr>
  <c:txPr>
    <a:bodyPr/>
    <a:lstStyle/>
    <a:p>
      <a:pPr>
        <a:defRPr sz="1000" b="0" i="0" u="none" strike="noStrike" baseline="0">
          <a:solidFill>
            <a:srgbClr val="000000"/>
          </a:solidFill>
          <a:latin typeface="Arial"/>
          <a:ea typeface="Arial"/>
          <a:cs typeface="Arial"/>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Štruktúra nákladov za rok 2016</c:v>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61-487C-A508-6F2356D75D0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61-487C-A508-6F2356D75D0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B61-487C-A508-6F2356D75D0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B61-487C-A508-6F2356D75D0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B61-487C-A508-6F2356D75D0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B61-487C-A508-6F2356D75D0F}"/>
              </c:ext>
            </c:extLst>
          </c:dPt>
          <c:dLbls>
            <c:dLbl>
              <c:idx val="3"/>
              <c:layout>
                <c:manualLayout>
                  <c:x val="2.8239610673665792E-2"/>
                  <c:y val="7.891149023038786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B61-487C-A508-6F2356D75D0F}"/>
                </c:ext>
                <c:ext xmlns:c15="http://schemas.microsoft.com/office/drawing/2012/chart" uri="{CE6537A1-D6FC-4f65-9D91-7224C49458BB}">
                  <c15:layout/>
                </c:ext>
              </c:extLst>
            </c:dLbl>
            <c:dLbl>
              <c:idx val="4"/>
              <c:layout>
                <c:manualLayout>
                  <c:x val="0.14051990376202975"/>
                  <c:y val="2.9449547973170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B61-487C-A508-6F2356D75D0F}"/>
                </c:ext>
                <c:ext xmlns:c15="http://schemas.microsoft.com/office/drawing/2012/chart" uri="{CE6537A1-D6FC-4f65-9D91-7224C49458BB}">
                  <c15:layout/>
                </c:ext>
              </c:extLst>
            </c:dLbl>
            <c:dLbl>
              <c:idx val="5"/>
              <c:layout>
                <c:manualLayout>
                  <c:x val="0.26180063429571304"/>
                  <c:y val="4.10236220472440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B61-487C-A508-6F2356D75D0F}"/>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Hárok1!$A$218:$A$223</c:f>
              <c:strCache>
                <c:ptCount val="6"/>
                <c:pt idx="0">
                  <c:v>spotreba materiálu a energií</c:v>
                </c:pt>
                <c:pt idx="1">
                  <c:v>služby</c:v>
                </c:pt>
                <c:pt idx="2">
                  <c:v>osobné náklady</c:v>
                </c:pt>
                <c:pt idx="3">
                  <c:v>odpisy a ZC predaného majetku</c:v>
                </c:pt>
                <c:pt idx="4">
                  <c:v>ostatné a finančné náklady</c:v>
                </c:pt>
                <c:pt idx="5">
                  <c:v>daň z príjmov a odložená daň</c:v>
                </c:pt>
              </c:strCache>
            </c:strRef>
          </c:cat>
          <c:val>
            <c:numRef>
              <c:f>Hárok1!$I$218:$I$223</c:f>
              <c:numCache>
                <c:formatCode>#,##0</c:formatCode>
                <c:ptCount val="6"/>
                <c:pt idx="0">
                  <c:v>11913804.289999999</c:v>
                </c:pt>
                <c:pt idx="1">
                  <c:v>1382842.73</c:v>
                </c:pt>
                <c:pt idx="2">
                  <c:v>3093750.86</c:v>
                </c:pt>
                <c:pt idx="3">
                  <c:v>607632</c:v>
                </c:pt>
                <c:pt idx="4">
                  <c:v>131466.91</c:v>
                </c:pt>
                <c:pt idx="5">
                  <c:v>190244.05</c:v>
                </c:pt>
              </c:numCache>
            </c:numRef>
          </c:val>
          <c:extLst xmlns:c16r2="http://schemas.microsoft.com/office/drawing/2015/06/chart">
            <c:ext xmlns:c16="http://schemas.microsoft.com/office/drawing/2014/chart" uri="{C3380CC4-5D6E-409C-BE32-E72D297353CC}">
              <c16:uniqueId val="{0000000C-0B61-487C-A508-6F2356D75D0F}"/>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62222222222222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3161926137907018"/>
          <c:w val="0.93888888888888888"/>
          <c:h val="0.6714577865266842"/>
        </c:manualLayout>
      </c:layout>
      <c:pie3DChart>
        <c:varyColors val="1"/>
        <c:ser>
          <c:idx val="0"/>
          <c:order val="0"/>
          <c:tx>
            <c:v>Štruktúra aktív k 31.12.2016</c:v>
          </c:tx>
          <c:explosion val="12"/>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A6B-4FD3-90A8-E1C171F5B0F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A6B-4FD3-90A8-E1C171F5B0F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A6B-4FD3-90A8-E1C171F5B0F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A6B-4FD3-90A8-E1C171F5B0F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BA6B-4FD3-90A8-E1C171F5B0F8}"/>
              </c:ext>
            </c:extLst>
          </c:dPt>
          <c:dLbls>
            <c:dLbl>
              <c:idx val="3"/>
              <c:layout>
                <c:manualLayout>
                  <c:x val="-8.466754155730534E-2"/>
                  <c:y val="6.81016109735399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A6B-4FD3-90A8-E1C171F5B0F8}"/>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Hárok1!$A$261:$A$265</c:f>
              <c:strCache>
                <c:ptCount val="5"/>
                <c:pt idx="0">
                  <c:v>hmotný a nehmotný majetok</c:v>
                </c:pt>
                <c:pt idx="1">
                  <c:v>zásoby</c:v>
                </c:pt>
                <c:pt idx="2">
                  <c:v>pohľadávky</c:v>
                </c:pt>
                <c:pt idx="3">
                  <c:v>krát. finančný majetok a finančné účty</c:v>
                </c:pt>
                <c:pt idx="4">
                  <c:v>ostatné aktíva</c:v>
                </c:pt>
              </c:strCache>
            </c:strRef>
          </c:cat>
          <c:val>
            <c:numRef>
              <c:f>Hárok1!$B$261:$B$265</c:f>
              <c:numCache>
                <c:formatCode>#,##0</c:formatCode>
                <c:ptCount val="5"/>
                <c:pt idx="0">
                  <c:v>4966156.5599999996</c:v>
                </c:pt>
                <c:pt idx="1">
                  <c:v>117614.52</c:v>
                </c:pt>
                <c:pt idx="2">
                  <c:v>2168377.04</c:v>
                </c:pt>
                <c:pt idx="3">
                  <c:v>987038.48</c:v>
                </c:pt>
                <c:pt idx="4">
                  <c:v>84257.34</c:v>
                </c:pt>
              </c:numCache>
            </c:numRef>
          </c:val>
          <c:extLst xmlns:c16r2="http://schemas.microsoft.com/office/drawing/2015/06/chart">
            <c:ext xmlns:c16="http://schemas.microsoft.com/office/drawing/2014/chart" uri="{C3380CC4-5D6E-409C-BE32-E72D297353CC}">
              <c16:uniqueId val="{0000000A-BA6B-4FD3-90A8-E1C171F5B0F8}"/>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25FA9F-C9A7-44DE-BC7A-D0ED8F0ADEEB}" type="doc">
      <dgm:prSet loTypeId="urn:microsoft.com/office/officeart/2005/8/layout/orgChart1" loCatId="hierarchy" qsTypeId="urn:microsoft.com/office/officeart/2005/8/quickstyle/simple1" qsCatId="simple" csTypeId="urn:microsoft.com/office/officeart/2005/8/colors/accent1_2" csCatId="accent1" phldr="1"/>
      <dgm:spPr/>
    </dgm:pt>
    <dgm:pt modelId="{D4B9FEFA-5287-4953-88F0-FD846EEC2CA4}">
      <dgm:prSet/>
      <dgm:spPr>
        <a:noFill/>
        <a:ln>
          <a:solidFill>
            <a:schemeClr val="tx1"/>
          </a:solidFill>
        </a:ln>
      </dgm:spPr>
      <dgm:t>
        <a:bodyPr/>
        <a:lstStyle/>
        <a:p>
          <a:pPr marR="0" algn="ctr" rtl="0"/>
          <a:r>
            <a:rPr lang="sk-SK" b="1" i="0" u="none" strike="noStrike" baseline="0">
              <a:solidFill>
                <a:srgbClr val="000000"/>
              </a:solidFill>
              <a:latin typeface="Arial" panose="020B0604020202020204" pitchFamily="34" charset="0"/>
            </a:rPr>
            <a:t>Generálny riaditeľ</a:t>
          </a:r>
          <a:endParaRPr lang="sk-SK" b="1"/>
        </a:p>
      </dgm:t>
    </dgm:pt>
    <dgm:pt modelId="{9D6126CC-288E-4741-B56D-DD4BCA227FCE}" type="parTrans" cxnId="{3A22D9B7-C5A5-4A90-B4E1-2AB1D0AC97E7}">
      <dgm:prSet/>
      <dgm:spPr/>
      <dgm:t>
        <a:bodyPr/>
        <a:lstStyle/>
        <a:p>
          <a:endParaRPr lang="sk-SK"/>
        </a:p>
      </dgm:t>
    </dgm:pt>
    <dgm:pt modelId="{759E12F5-5239-4611-8FEA-DF41302F797C}" type="sibTrans" cxnId="{3A22D9B7-C5A5-4A90-B4E1-2AB1D0AC97E7}">
      <dgm:prSet/>
      <dgm:spPr/>
      <dgm:t>
        <a:bodyPr/>
        <a:lstStyle/>
        <a:p>
          <a:endParaRPr lang="sk-SK"/>
        </a:p>
      </dgm:t>
    </dgm:pt>
    <dgm:pt modelId="{F3641164-AB57-4B10-96C5-7A41A0616DA1}">
      <dgm:prSet/>
      <dgm:spPr>
        <a:solidFill>
          <a:schemeClr val="accent3">
            <a:lumMod val="75000"/>
          </a:schemeClr>
        </a:solidFill>
      </dgm:spPr>
      <dgm:t>
        <a:bodyPr/>
        <a:lstStyle/>
        <a:p>
          <a:pPr marR="0" algn="ctr" rtl="0"/>
          <a:r>
            <a:rPr lang="sk-SK" b="1" i="0" u="none" strike="noStrike" baseline="0">
              <a:solidFill>
                <a:srgbClr val="000000"/>
              </a:solidFill>
              <a:latin typeface="Arial" panose="020B0604020202020204" pitchFamily="34" charset="0"/>
            </a:rPr>
            <a:t>Útvar GR    (15 zam.)</a:t>
          </a:r>
          <a:endParaRPr lang="sk-SK" b="1"/>
        </a:p>
      </dgm:t>
    </dgm:pt>
    <dgm:pt modelId="{85B542A1-DD2B-4203-A1B2-23653B574FEB}" type="parTrans" cxnId="{68D51E36-1DEC-415B-9F23-9CE16D247B5D}">
      <dgm:prSet/>
      <dgm:spPr>
        <a:ln>
          <a:solidFill>
            <a:schemeClr val="tx1"/>
          </a:solidFill>
        </a:ln>
      </dgm:spPr>
      <dgm:t>
        <a:bodyPr/>
        <a:lstStyle/>
        <a:p>
          <a:endParaRPr lang="sk-SK"/>
        </a:p>
      </dgm:t>
    </dgm:pt>
    <dgm:pt modelId="{5DC0FF26-4C8D-43ED-9A2D-AED65F347FBE}" type="sibTrans" cxnId="{68D51E36-1DEC-415B-9F23-9CE16D247B5D}">
      <dgm:prSet/>
      <dgm:spPr/>
      <dgm:t>
        <a:bodyPr/>
        <a:lstStyle/>
        <a:p>
          <a:endParaRPr lang="sk-SK"/>
        </a:p>
      </dgm:t>
    </dgm:pt>
    <dgm:pt modelId="{41831708-CA58-42D6-B491-19CE8D1160A4}">
      <dgm:prSet/>
      <dgm:spPr>
        <a:solidFill>
          <a:schemeClr val="bg1">
            <a:lumMod val="65000"/>
          </a:schemeClr>
        </a:solidFill>
      </dgm:spPr>
      <dgm:t>
        <a:bodyPr/>
        <a:lstStyle/>
        <a:p>
          <a:pPr marR="0" algn="ctr" rtl="0"/>
          <a:r>
            <a:rPr lang="sk-SK" b="1" i="0" u="none" strike="noStrike" baseline="0">
              <a:solidFill>
                <a:srgbClr val="000000"/>
              </a:solidFill>
              <a:latin typeface="Arial" panose="020B0604020202020204" pitchFamily="34" charset="0"/>
            </a:rPr>
            <a:t>Právne</a:t>
          </a:r>
          <a:endParaRPr lang="sk-SK" b="1"/>
        </a:p>
      </dgm:t>
    </dgm:pt>
    <dgm:pt modelId="{533426E3-9C8D-4FBD-84E8-33AF7DBDC872}" type="parTrans" cxnId="{8589EC2F-4CFC-403B-98D6-CCD0E3E67718}">
      <dgm:prSet/>
      <dgm:spPr>
        <a:ln>
          <a:solidFill>
            <a:schemeClr val="tx1"/>
          </a:solidFill>
        </a:ln>
      </dgm:spPr>
      <dgm:t>
        <a:bodyPr/>
        <a:lstStyle/>
        <a:p>
          <a:endParaRPr lang="sk-SK"/>
        </a:p>
      </dgm:t>
    </dgm:pt>
    <dgm:pt modelId="{1B318769-559E-43CC-9D13-13AB31880EDD}" type="sibTrans" cxnId="{8589EC2F-4CFC-403B-98D6-CCD0E3E67718}">
      <dgm:prSet/>
      <dgm:spPr/>
      <dgm:t>
        <a:bodyPr/>
        <a:lstStyle/>
        <a:p>
          <a:endParaRPr lang="sk-SK"/>
        </a:p>
      </dgm:t>
    </dgm:pt>
    <dgm:pt modelId="{312E1243-1432-42F7-AB1B-C22A376341BA}">
      <dgm:prSet/>
      <dgm:spPr>
        <a:solidFill>
          <a:schemeClr val="bg1">
            <a:lumMod val="65000"/>
          </a:schemeClr>
        </a:solidFill>
      </dgm:spPr>
      <dgm:t>
        <a:bodyPr/>
        <a:lstStyle/>
        <a:p>
          <a:pPr marR="0" algn="ctr" rtl="0"/>
          <a:r>
            <a:rPr lang="sk-SK" b="1" i="0" u="none" strike="noStrike" baseline="0">
              <a:solidFill>
                <a:srgbClr val="000000"/>
              </a:solidFill>
              <a:latin typeface="Arial" panose="020B0604020202020204" pitchFamily="34" charset="0"/>
            </a:rPr>
            <a:t>Energetika</a:t>
          </a:r>
          <a:endParaRPr lang="sk-SK" b="1"/>
        </a:p>
      </dgm:t>
    </dgm:pt>
    <dgm:pt modelId="{9E043AC6-38D1-4E32-8E07-2BB9470C27C1}" type="parTrans" cxnId="{2E050867-D079-40E1-92DB-44B6D1E5BCB9}">
      <dgm:prSet/>
      <dgm:spPr/>
      <dgm:t>
        <a:bodyPr/>
        <a:lstStyle/>
        <a:p>
          <a:endParaRPr lang="sk-SK"/>
        </a:p>
      </dgm:t>
    </dgm:pt>
    <dgm:pt modelId="{55A190CF-81FB-4926-A68A-5C08637F9421}" type="sibTrans" cxnId="{2E050867-D079-40E1-92DB-44B6D1E5BCB9}">
      <dgm:prSet/>
      <dgm:spPr/>
      <dgm:t>
        <a:bodyPr/>
        <a:lstStyle/>
        <a:p>
          <a:endParaRPr lang="sk-SK"/>
        </a:p>
      </dgm:t>
    </dgm:pt>
    <dgm:pt modelId="{10A25E27-9FD4-4943-9587-BC0DF6CC13C7}">
      <dgm:prSet/>
      <dgm:spPr>
        <a:solidFill>
          <a:schemeClr val="bg1">
            <a:lumMod val="65000"/>
          </a:schemeClr>
        </a:solidFill>
      </dgm:spPr>
      <dgm:t>
        <a:bodyPr/>
        <a:lstStyle/>
        <a:p>
          <a:pPr marR="0" algn="ctr" rtl="0"/>
          <a:r>
            <a:rPr lang="sk-SK" b="1" i="0" u="none" strike="noStrike" baseline="0">
              <a:solidFill>
                <a:srgbClr val="000000"/>
              </a:solidFill>
              <a:latin typeface="Arial" panose="020B0604020202020204" pitchFamily="34" charset="0"/>
            </a:rPr>
            <a:t>Analýza, obchod, marketing</a:t>
          </a:r>
          <a:endParaRPr lang="sk-SK" b="1"/>
        </a:p>
      </dgm:t>
    </dgm:pt>
    <dgm:pt modelId="{7D61DED4-931E-4EBC-9B90-C373D06707ED}" type="parTrans" cxnId="{2E14820F-FCBC-4A36-8B79-F5308F62D44F}">
      <dgm:prSet/>
      <dgm:spPr>
        <a:ln>
          <a:solidFill>
            <a:schemeClr val="tx1"/>
          </a:solidFill>
        </a:ln>
      </dgm:spPr>
      <dgm:t>
        <a:bodyPr/>
        <a:lstStyle/>
        <a:p>
          <a:endParaRPr lang="sk-SK"/>
        </a:p>
      </dgm:t>
    </dgm:pt>
    <dgm:pt modelId="{2301E720-4604-4411-B171-54429AE4362F}" type="sibTrans" cxnId="{2E14820F-FCBC-4A36-8B79-F5308F62D44F}">
      <dgm:prSet/>
      <dgm:spPr/>
      <dgm:t>
        <a:bodyPr/>
        <a:lstStyle/>
        <a:p>
          <a:endParaRPr lang="sk-SK"/>
        </a:p>
      </dgm:t>
    </dgm:pt>
    <dgm:pt modelId="{52060DF1-1684-431F-BB01-97DAE3F6B1A5}">
      <dgm:prSet/>
      <dgm:spPr>
        <a:solidFill>
          <a:schemeClr val="bg1">
            <a:lumMod val="65000"/>
          </a:schemeClr>
        </a:solidFill>
      </dgm:spPr>
      <dgm:t>
        <a:bodyPr/>
        <a:lstStyle/>
        <a:p>
          <a:pPr marR="0" algn="ctr" rtl="0"/>
          <a:r>
            <a:rPr lang="sk-SK" b="1" i="0" u="none" strike="noStrike" baseline="0">
              <a:solidFill>
                <a:srgbClr val="000000"/>
              </a:solidFill>
              <a:latin typeface="Arial" panose="020B0604020202020204" pitchFamily="34" charset="0"/>
            </a:rPr>
            <a:t>Správa útvaru GR</a:t>
          </a:r>
          <a:endParaRPr lang="sk-SK" b="1"/>
        </a:p>
      </dgm:t>
    </dgm:pt>
    <dgm:pt modelId="{151B3988-40EB-44CB-82D8-FCE8606ACCFB}" type="parTrans" cxnId="{D6BD679D-642F-4AB1-9165-8EFD584EB0F5}">
      <dgm:prSet/>
      <dgm:spPr>
        <a:ln>
          <a:solidFill>
            <a:schemeClr val="tx1"/>
          </a:solidFill>
        </a:ln>
      </dgm:spPr>
      <dgm:t>
        <a:bodyPr/>
        <a:lstStyle/>
        <a:p>
          <a:endParaRPr lang="sk-SK"/>
        </a:p>
      </dgm:t>
    </dgm:pt>
    <dgm:pt modelId="{79F7544D-4147-467F-B9DF-EE88F615D398}" type="sibTrans" cxnId="{D6BD679D-642F-4AB1-9165-8EFD584EB0F5}">
      <dgm:prSet/>
      <dgm:spPr/>
      <dgm:t>
        <a:bodyPr/>
        <a:lstStyle/>
        <a:p>
          <a:endParaRPr lang="sk-SK"/>
        </a:p>
      </dgm:t>
    </dgm:pt>
    <dgm:pt modelId="{E69A44FA-528B-4AD3-A940-3C49E4596464}">
      <dgm:prSet/>
      <dgm:spPr>
        <a:solidFill>
          <a:schemeClr val="accent6">
            <a:lumMod val="75000"/>
          </a:schemeClr>
        </a:solidFill>
      </dgm:spPr>
      <dgm:t>
        <a:bodyPr/>
        <a:lstStyle/>
        <a:p>
          <a:pPr marR="0" algn="ctr" rtl="0"/>
          <a:r>
            <a:rPr lang="sk-SK" b="1" i="0" u="none" strike="noStrike" baseline="0">
              <a:solidFill>
                <a:srgbClr val="000000"/>
              </a:solidFill>
              <a:latin typeface="Arial" panose="020B0604020202020204" pitchFamily="34" charset="0"/>
            </a:rPr>
            <a:t>Divízie</a:t>
          </a:r>
          <a:endParaRPr lang="sk-SK" b="1"/>
        </a:p>
      </dgm:t>
    </dgm:pt>
    <dgm:pt modelId="{AAEE6262-F76A-4D4C-9A91-601191C99486}" type="parTrans" cxnId="{C48C2531-7849-4D57-96B5-375D652F9869}">
      <dgm:prSet/>
      <dgm:spPr>
        <a:ln>
          <a:solidFill>
            <a:schemeClr val="tx1"/>
          </a:solidFill>
        </a:ln>
      </dgm:spPr>
      <dgm:t>
        <a:bodyPr/>
        <a:lstStyle/>
        <a:p>
          <a:endParaRPr lang="sk-SK"/>
        </a:p>
      </dgm:t>
    </dgm:pt>
    <dgm:pt modelId="{89BC49F2-9C52-4C8D-B8E6-49535848D9BE}" type="sibTrans" cxnId="{C48C2531-7849-4D57-96B5-375D652F9869}">
      <dgm:prSet/>
      <dgm:spPr/>
      <dgm:t>
        <a:bodyPr/>
        <a:lstStyle/>
        <a:p>
          <a:endParaRPr lang="sk-SK"/>
        </a:p>
      </dgm:t>
    </dgm:pt>
    <dgm:pt modelId="{EA02727D-C4A3-402E-B80B-735122172B2D}">
      <dgm:prSet/>
      <dgm:spPr>
        <a:solidFill>
          <a:schemeClr val="accent6">
            <a:lumMod val="60000"/>
            <a:lumOff val="40000"/>
          </a:schemeClr>
        </a:solidFill>
      </dgm:spPr>
      <dgm:t>
        <a:bodyPr/>
        <a:lstStyle/>
        <a:p>
          <a:pPr marR="0" algn="ctr" rtl="0"/>
          <a:r>
            <a:rPr lang="sk-SK" b="0" i="0" u="none" strike="noStrike" baseline="0">
              <a:solidFill>
                <a:srgbClr val="000000"/>
              </a:solidFill>
              <a:latin typeface="Arial" panose="020B0604020202020204" pitchFamily="34" charset="0"/>
            </a:rPr>
            <a:t>Ekonomická (19 zam.)</a:t>
          </a:r>
          <a:endParaRPr lang="sk-SK"/>
        </a:p>
      </dgm:t>
    </dgm:pt>
    <dgm:pt modelId="{2D05762E-75D5-4DD7-B36B-EDD9DEF793AB}" type="parTrans" cxnId="{DD43539A-8D58-4ED3-A7BB-9B0A2C2E265B}">
      <dgm:prSet/>
      <dgm:spPr>
        <a:ln>
          <a:solidFill>
            <a:schemeClr val="tx1"/>
          </a:solidFill>
        </a:ln>
      </dgm:spPr>
      <dgm:t>
        <a:bodyPr/>
        <a:lstStyle/>
        <a:p>
          <a:endParaRPr lang="sk-SK"/>
        </a:p>
      </dgm:t>
    </dgm:pt>
    <dgm:pt modelId="{D9D37D71-F095-4834-AD10-A9A2781C9D72}" type="sibTrans" cxnId="{DD43539A-8D58-4ED3-A7BB-9B0A2C2E265B}">
      <dgm:prSet/>
      <dgm:spPr/>
      <dgm:t>
        <a:bodyPr/>
        <a:lstStyle/>
        <a:p>
          <a:endParaRPr lang="sk-SK"/>
        </a:p>
      </dgm:t>
    </dgm:pt>
    <dgm:pt modelId="{198AC646-5269-43F7-8FAA-E652DF3451B8}">
      <dgm:prSet/>
      <dgm:spPr>
        <a:solidFill>
          <a:schemeClr val="accent6">
            <a:lumMod val="60000"/>
            <a:lumOff val="40000"/>
          </a:schemeClr>
        </a:solidFill>
      </dgm:spPr>
      <dgm:t>
        <a:bodyPr/>
        <a:lstStyle/>
        <a:p>
          <a:pPr marR="0" algn="ctr" rtl="0"/>
          <a:r>
            <a:rPr lang="sk-SK" b="0" i="0" u="none" strike="noStrike" baseline="0">
              <a:solidFill>
                <a:srgbClr val="000000"/>
              </a:solidFill>
              <a:latin typeface="Arial" panose="020B0604020202020204" pitchFamily="34" charset="0"/>
            </a:rPr>
            <a:t>Správy majetku       (33 zam.)</a:t>
          </a:r>
          <a:endParaRPr lang="sk-SK"/>
        </a:p>
      </dgm:t>
    </dgm:pt>
    <dgm:pt modelId="{C3B7D76D-10F1-4CD3-B592-DEC87402D533}" type="parTrans" cxnId="{56A3503E-13AF-4B9A-B2CE-A94D57B3A2F3}">
      <dgm:prSet/>
      <dgm:spPr>
        <a:ln>
          <a:solidFill>
            <a:schemeClr val="tx1"/>
          </a:solidFill>
        </a:ln>
      </dgm:spPr>
      <dgm:t>
        <a:bodyPr/>
        <a:lstStyle/>
        <a:p>
          <a:endParaRPr lang="sk-SK"/>
        </a:p>
      </dgm:t>
    </dgm:pt>
    <dgm:pt modelId="{535D7424-8948-4253-8B04-028DD82836E7}" type="sibTrans" cxnId="{56A3503E-13AF-4B9A-B2CE-A94D57B3A2F3}">
      <dgm:prSet/>
      <dgm:spPr/>
      <dgm:t>
        <a:bodyPr/>
        <a:lstStyle/>
        <a:p>
          <a:endParaRPr lang="sk-SK"/>
        </a:p>
      </dgm:t>
    </dgm:pt>
    <dgm:pt modelId="{CF04E7DF-C021-4A6D-9C48-099414B0A9AF}">
      <dgm:prSet/>
      <dgm:spPr>
        <a:solidFill>
          <a:schemeClr val="accent6">
            <a:lumMod val="60000"/>
            <a:lumOff val="40000"/>
          </a:schemeClr>
        </a:solidFill>
      </dgm:spPr>
      <dgm:t>
        <a:bodyPr/>
        <a:lstStyle/>
        <a:p>
          <a:pPr marR="0" algn="ctr" rtl="0"/>
          <a:r>
            <a:rPr lang="sk-SK" b="0" i="0" u="none" strike="noStrike" baseline="0">
              <a:solidFill>
                <a:srgbClr val="000000"/>
              </a:solidFill>
              <a:latin typeface="Arial" panose="020B0604020202020204" pitchFamily="34" charset="0"/>
            </a:rPr>
            <a:t>Výroby a služieb         (49 zam.)</a:t>
          </a:r>
          <a:endParaRPr lang="sk-SK"/>
        </a:p>
      </dgm:t>
    </dgm:pt>
    <dgm:pt modelId="{71C88D83-E96F-45EF-BADA-B355CD8E0C3E}" type="parTrans" cxnId="{B86424B4-FC65-440D-A480-3E34D44C09E3}">
      <dgm:prSet/>
      <dgm:spPr>
        <a:ln>
          <a:solidFill>
            <a:schemeClr val="tx1"/>
          </a:solidFill>
        </a:ln>
      </dgm:spPr>
      <dgm:t>
        <a:bodyPr/>
        <a:lstStyle/>
        <a:p>
          <a:endParaRPr lang="sk-SK"/>
        </a:p>
      </dgm:t>
    </dgm:pt>
    <dgm:pt modelId="{29E5F53B-19F3-4F10-A390-7EB7B1D6FBA8}" type="sibTrans" cxnId="{B86424B4-FC65-440D-A480-3E34D44C09E3}">
      <dgm:prSet/>
      <dgm:spPr/>
      <dgm:t>
        <a:bodyPr/>
        <a:lstStyle/>
        <a:p>
          <a:endParaRPr lang="sk-SK"/>
        </a:p>
      </dgm:t>
    </dgm:pt>
    <dgm:pt modelId="{A5EA9753-05B8-4EC0-88E6-E335D784DE1F}">
      <dgm:prSet/>
      <dgm:spPr>
        <a:solidFill>
          <a:schemeClr val="accent6">
            <a:lumMod val="60000"/>
            <a:lumOff val="40000"/>
          </a:schemeClr>
        </a:solidFill>
      </dgm:spPr>
      <dgm:t>
        <a:bodyPr/>
        <a:lstStyle/>
        <a:p>
          <a:pPr marR="0" algn="ctr" rtl="0"/>
          <a:r>
            <a:rPr lang="sk-SK" b="0" i="0" u="none" strike="noStrike" baseline="0">
              <a:solidFill>
                <a:srgbClr val="000000"/>
              </a:solidFill>
              <a:latin typeface="Arial" panose="020B0604020202020204" pitchFamily="34" charset="0"/>
            </a:rPr>
            <a:t>Služieb rozvoja (14 zam.)</a:t>
          </a:r>
          <a:endParaRPr lang="sk-SK"/>
        </a:p>
      </dgm:t>
    </dgm:pt>
    <dgm:pt modelId="{A86DA287-59D3-49F6-A4A8-BF68E94B9EDD}" type="parTrans" cxnId="{9C9933D9-2130-44C3-A5EB-AF85C3380A81}">
      <dgm:prSet/>
      <dgm:spPr>
        <a:ln>
          <a:solidFill>
            <a:schemeClr val="tx1"/>
          </a:solidFill>
        </a:ln>
      </dgm:spPr>
      <dgm:t>
        <a:bodyPr/>
        <a:lstStyle/>
        <a:p>
          <a:endParaRPr lang="sk-SK"/>
        </a:p>
      </dgm:t>
    </dgm:pt>
    <dgm:pt modelId="{731D247A-1F84-4464-932F-0A2623BD16E8}" type="sibTrans" cxnId="{9C9933D9-2130-44C3-A5EB-AF85C3380A81}">
      <dgm:prSet/>
      <dgm:spPr/>
      <dgm:t>
        <a:bodyPr/>
        <a:lstStyle/>
        <a:p>
          <a:endParaRPr lang="sk-SK"/>
        </a:p>
      </dgm:t>
    </dgm:pt>
    <dgm:pt modelId="{AC47E562-7628-41DB-A904-672698DB4430}">
      <dgm:prSet/>
      <dgm:spPr>
        <a:solidFill>
          <a:schemeClr val="accent6">
            <a:lumMod val="60000"/>
            <a:lumOff val="40000"/>
          </a:schemeClr>
        </a:solidFill>
      </dgm:spPr>
      <dgm:t>
        <a:bodyPr/>
        <a:lstStyle/>
        <a:p>
          <a:pPr marR="0" algn="ctr" rtl="0"/>
          <a:r>
            <a:rPr lang="sk-SK" b="0" i="0" u="none" strike="noStrike" baseline="0">
              <a:solidFill>
                <a:srgbClr val="000000"/>
              </a:solidFill>
              <a:latin typeface="Arial" panose="020B0604020202020204" pitchFamily="34" charset="0"/>
            </a:rPr>
            <a:t>Tepelného hospodárstva (53 zam.)</a:t>
          </a:r>
          <a:endParaRPr lang="sk-SK"/>
        </a:p>
      </dgm:t>
    </dgm:pt>
    <dgm:pt modelId="{10CA994C-AE87-4B5D-AEBE-0D672D75861A}" type="parTrans" cxnId="{E9F1136B-F3CB-4640-9AA5-CE10D45B935E}">
      <dgm:prSet/>
      <dgm:spPr>
        <a:ln>
          <a:solidFill>
            <a:schemeClr val="tx1"/>
          </a:solidFill>
        </a:ln>
      </dgm:spPr>
      <dgm:t>
        <a:bodyPr/>
        <a:lstStyle/>
        <a:p>
          <a:endParaRPr lang="sk-SK"/>
        </a:p>
      </dgm:t>
    </dgm:pt>
    <dgm:pt modelId="{6C092404-AFFB-4BAC-AAB2-C945D75D4F10}" type="sibTrans" cxnId="{E9F1136B-F3CB-4640-9AA5-CE10D45B935E}">
      <dgm:prSet/>
      <dgm:spPr/>
      <dgm:t>
        <a:bodyPr/>
        <a:lstStyle/>
        <a:p>
          <a:endParaRPr lang="sk-SK"/>
        </a:p>
      </dgm:t>
    </dgm:pt>
    <dgm:pt modelId="{30C45E26-E25A-4A93-A107-6A22E82AF2A9}" type="pres">
      <dgm:prSet presAssocID="{6C25FA9F-C9A7-44DE-BC7A-D0ED8F0ADEEB}" presName="hierChild1" presStyleCnt="0">
        <dgm:presLayoutVars>
          <dgm:orgChart val="1"/>
          <dgm:chPref val="1"/>
          <dgm:dir/>
          <dgm:animOne val="branch"/>
          <dgm:animLvl val="lvl"/>
          <dgm:resizeHandles/>
        </dgm:presLayoutVars>
      </dgm:prSet>
      <dgm:spPr/>
    </dgm:pt>
    <dgm:pt modelId="{BFDA7B4F-5DA3-48EB-90E9-80CCEF8A65C0}" type="pres">
      <dgm:prSet presAssocID="{D4B9FEFA-5287-4953-88F0-FD846EEC2CA4}" presName="hierRoot1" presStyleCnt="0">
        <dgm:presLayoutVars>
          <dgm:hierBranch/>
        </dgm:presLayoutVars>
      </dgm:prSet>
      <dgm:spPr/>
    </dgm:pt>
    <dgm:pt modelId="{D988D5D1-0EBD-4ED0-82BD-E7DBC187C6FB}" type="pres">
      <dgm:prSet presAssocID="{D4B9FEFA-5287-4953-88F0-FD846EEC2CA4}" presName="rootComposite1" presStyleCnt="0"/>
      <dgm:spPr/>
    </dgm:pt>
    <dgm:pt modelId="{1B3E4EA8-888F-425B-85D5-C157098E82F6}" type="pres">
      <dgm:prSet presAssocID="{D4B9FEFA-5287-4953-88F0-FD846EEC2CA4}" presName="rootText1" presStyleLbl="node0" presStyleIdx="0" presStyleCnt="1">
        <dgm:presLayoutVars>
          <dgm:chPref val="3"/>
        </dgm:presLayoutVars>
      </dgm:prSet>
      <dgm:spPr/>
      <dgm:t>
        <a:bodyPr/>
        <a:lstStyle/>
        <a:p>
          <a:endParaRPr lang="sk-SK"/>
        </a:p>
      </dgm:t>
    </dgm:pt>
    <dgm:pt modelId="{134AF410-DFBB-47E1-9FD6-BCBC18DCEF92}" type="pres">
      <dgm:prSet presAssocID="{D4B9FEFA-5287-4953-88F0-FD846EEC2CA4}" presName="rootConnector1" presStyleLbl="node1" presStyleIdx="0" presStyleCnt="0"/>
      <dgm:spPr/>
      <dgm:t>
        <a:bodyPr/>
        <a:lstStyle/>
        <a:p>
          <a:endParaRPr lang="sk-SK"/>
        </a:p>
      </dgm:t>
    </dgm:pt>
    <dgm:pt modelId="{FA7C2C6C-F45F-46AC-A6B0-8CA8100CA6AD}" type="pres">
      <dgm:prSet presAssocID="{D4B9FEFA-5287-4953-88F0-FD846EEC2CA4}" presName="hierChild2" presStyleCnt="0"/>
      <dgm:spPr/>
    </dgm:pt>
    <dgm:pt modelId="{9DFA5548-1A1A-4A21-A24A-12A0E15ED902}" type="pres">
      <dgm:prSet presAssocID="{85B542A1-DD2B-4203-A1B2-23653B574FEB}" presName="Name35" presStyleLbl="parChTrans1D2" presStyleIdx="0" presStyleCnt="2"/>
      <dgm:spPr/>
      <dgm:t>
        <a:bodyPr/>
        <a:lstStyle/>
        <a:p>
          <a:endParaRPr lang="sk-SK"/>
        </a:p>
      </dgm:t>
    </dgm:pt>
    <dgm:pt modelId="{682D7D52-A800-4943-80A3-B8E571485F7B}" type="pres">
      <dgm:prSet presAssocID="{F3641164-AB57-4B10-96C5-7A41A0616DA1}" presName="hierRoot2" presStyleCnt="0">
        <dgm:presLayoutVars>
          <dgm:hierBranch/>
        </dgm:presLayoutVars>
      </dgm:prSet>
      <dgm:spPr/>
    </dgm:pt>
    <dgm:pt modelId="{1CCBE809-8E06-467D-A987-2C7A65567A7A}" type="pres">
      <dgm:prSet presAssocID="{F3641164-AB57-4B10-96C5-7A41A0616DA1}" presName="rootComposite" presStyleCnt="0"/>
      <dgm:spPr/>
    </dgm:pt>
    <dgm:pt modelId="{1E28682F-52AC-43C2-ABB7-C79162D52BED}" type="pres">
      <dgm:prSet presAssocID="{F3641164-AB57-4B10-96C5-7A41A0616DA1}" presName="rootText" presStyleLbl="node2" presStyleIdx="0" presStyleCnt="2" custLinFactNeighborX="-5826" custLinFactNeighborY="-2760">
        <dgm:presLayoutVars>
          <dgm:chPref val="3"/>
        </dgm:presLayoutVars>
      </dgm:prSet>
      <dgm:spPr/>
      <dgm:t>
        <a:bodyPr/>
        <a:lstStyle/>
        <a:p>
          <a:endParaRPr lang="sk-SK"/>
        </a:p>
      </dgm:t>
    </dgm:pt>
    <dgm:pt modelId="{9236C20B-643B-4B57-9186-D6C14364F5E9}" type="pres">
      <dgm:prSet presAssocID="{F3641164-AB57-4B10-96C5-7A41A0616DA1}" presName="rootConnector" presStyleLbl="node2" presStyleIdx="0" presStyleCnt="2"/>
      <dgm:spPr/>
      <dgm:t>
        <a:bodyPr/>
        <a:lstStyle/>
        <a:p>
          <a:endParaRPr lang="sk-SK"/>
        </a:p>
      </dgm:t>
    </dgm:pt>
    <dgm:pt modelId="{E04435A1-08C0-42AB-8889-1CC49E468967}" type="pres">
      <dgm:prSet presAssocID="{F3641164-AB57-4B10-96C5-7A41A0616DA1}" presName="hierChild4" presStyleCnt="0"/>
      <dgm:spPr/>
    </dgm:pt>
    <dgm:pt modelId="{D3F2DED7-FC9E-4E4F-ACAB-A3BE23FD7955}" type="pres">
      <dgm:prSet presAssocID="{533426E3-9C8D-4FBD-84E8-33AF7DBDC872}" presName="Name35" presStyleLbl="parChTrans1D3" presStyleIdx="0" presStyleCnt="9"/>
      <dgm:spPr/>
      <dgm:t>
        <a:bodyPr/>
        <a:lstStyle/>
        <a:p>
          <a:endParaRPr lang="sk-SK"/>
        </a:p>
      </dgm:t>
    </dgm:pt>
    <dgm:pt modelId="{41CD8DA5-BF5B-419B-92EE-CE4D856E9394}" type="pres">
      <dgm:prSet presAssocID="{41831708-CA58-42D6-B491-19CE8D1160A4}" presName="hierRoot2" presStyleCnt="0">
        <dgm:presLayoutVars>
          <dgm:hierBranch/>
        </dgm:presLayoutVars>
      </dgm:prSet>
      <dgm:spPr/>
    </dgm:pt>
    <dgm:pt modelId="{05C6DDE6-FCD3-49A9-BA23-A1DCA7EBC7F7}" type="pres">
      <dgm:prSet presAssocID="{41831708-CA58-42D6-B491-19CE8D1160A4}" presName="rootComposite" presStyleCnt="0"/>
      <dgm:spPr/>
    </dgm:pt>
    <dgm:pt modelId="{ABB9D037-8796-460B-96A0-6AAF36EF2F9F}" type="pres">
      <dgm:prSet presAssocID="{41831708-CA58-42D6-B491-19CE8D1160A4}" presName="rootText" presStyleLbl="node3" presStyleIdx="0" presStyleCnt="9">
        <dgm:presLayoutVars>
          <dgm:chPref val="3"/>
        </dgm:presLayoutVars>
      </dgm:prSet>
      <dgm:spPr/>
      <dgm:t>
        <a:bodyPr/>
        <a:lstStyle/>
        <a:p>
          <a:endParaRPr lang="sk-SK"/>
        </a:p>
      </dgm:t>
    </dgm:pt>
    <dgm:pt modelId="{A8654CC7-4852-4ADF-8354-4A390A815DFA}" type="pres">
      <dgm:prSet presAssocID="{41831708-CA58-42D6-B491-19CE8D1160A4}" presName="rootConnector" presStyleLbl="node3" presStyleIdx="0" presStyleCnt="9"/>
      <dgm:spPr/>
      <dgm:t>
        <a:bodyPr/>
        <a:lstStyle/>
        <a:p>
          <a:endParaRPr lang="sk-SK"/>
        </a:p>
      </dgm:t>
    </dgm:pt>
    <dgm:pt modelId="{A0E841DE-652E-413F-ACEC-B40056F8C788}" type="pres">
      <dgm:prSet presAssocID="{41831708-CA58-42D6-B491-19CE8D1160A4}" presName="hierChild4" presStyleCnt="0"/>
      <dgm:spPr/>
    </dgm:pt>
    <dgm:pt modelId="{A4A5DEAD-6306-4F2B-B497-B0C6098DBB3D}" type="pres">
      <dgm:prSet presAssocID="{41831708-CA58-42D6-B491-19CE8D1160A4}" presName="hierChild5" presStyleCnt="0"/>
      <dgm:spPr/>
    </dgm:pt>
    <dgm:pt modelId="{2AEDF909-23B6-4F59-A5ED-1E2ED8518C1A}" type="pres">
      <dgm:prSet presAssocID="{9E043AC6-38D1-4E32-8E07-2BB9470C27C1}" presName="Name35" presStyleLbl="parChTrans1D3" presStyleIdx="1" presStyleCnt="9"/>
      <dgm:spPr/>
      <dgm:t>
        <a:bodyPr/>
        <a:lstStyle/>
        <a:p>
          <a:endParaRPr lang="sk-SK"/>
        </a:p>
      </dgm:t>
    </dgm:pt>
    <dgm:pt modelId="{2F0FE92B-4D9F-42D3-A3B7-11CC22BD75B9}" type="pres">
      <dgm:prSet presAssocID="{312E1243-1432-42F7-AB1B-C22A376341BA}" presName="hierRoot2" presStyleCnt="0">
        <dgm:presLayoutVars>
          <dgm:hierBranch/>
        </dgm:presLayoutVars>
      </dgm:prSet>
      <dgm:spPr/>
    </dgm:pt>
    <dgm:pt modelId="{8C736026-1299-4196-9A7C-F12FD3740A87}" type="pres">
      <dgm:prSet presAssocID="{312E1243-1432-42F7-AB1B-C22A376341BA}" presName="rootComposite" presStyleCnt="0"/>
      <dgm:spPr/>
    </dgm:pt>
    <dgm:pt modelId="{05515057-879F-4D32-B1FD-AC1C515D5335}" type="pres">
      <dgm:prSet presAssocID="{312E1243-1432-42F7-AB1B-C22A376341BA}" presName="rootText" presStyleLbl="node3" presStyleIdx="1" presStyleCnt="9">
        <dgm:presLayoutVars>
          <dgm:chPref val="3"/>
        </dgm:presLayoutVars>
      </dgm:prSet>
      <dgm:spPr/>
      <dgm:t>
        <a:bodyPr/>
        <a:lstStyle/>
        <a:p>
          <a:endParaRPr lang="sk-SK"/>
        </a:p>
      </dgm:t>
    </dgm:pt>
    <dgm:pt modelId="{0DBF7480-E326-4BF3-B412-09A0CCA5288E}" type="pres">
      <dgm:prSet presAssocID="{312E1243-1432-42F7-AB1B-C22A376341BA}" presName="rootConnector" presStyleLbl="node3" presStyleIdx="1" presStyleCnt="9"/>
      <dgm:spPr/>
      <dgm:t>
        <a:bodyPr/>
        <a:lstStyle/>
        <a:p>
          <a:endParaRPr lang="sk-SK"/>
        </a:p>
      </dgm:t>
    </dgm:pt>
    <dgm:pt modelId="{B30A9599-8546-4E6E-BA6D-D16329E64769}" type="pres">
      <dgm:prSet presAssocID="{312E1243-1432-42F7-AB1B-C22A376341BA}" presName="hierChild4" presStyleCnt="0"/>
      <dgm:spPr/>
    </dgm:pt>
    <dgm:pt modelId="{DA1E4F69-C32C-4403-B03E-1E931D9D489B}" type="pres">
      <dgm:prSet presAssocID="{312E1243-1432-42F7-AB1B-C22A376341BA}" presName="hierChild5" presStyleCnt="0"/>
      <dgm:spPr/>
    </dgm:pt>
    <dgm:pt modelId="{B37BD691-E19F-4907-8CAD-315DB76B54FB}" type="pres">
      <dgm:prSet presAssocID="{7D61DED4-931E-4EBC-9B90-C373D06707ED}" presName="Name35" presStyleLbl="parChTrans1D3" presStyleIdx="2" presStyleCnt="9"/>
      <dgm:spPr/>
      <dgm:t>
        <a:bodyPr/>
        <a:lstStyle/>
        <a:p>
          <a:endParaRPr lang="sk-SK"/>
        </a:p>
      </dgm:t>
    </dgm:pt>
    <dgm:pt modelId="{A08177EE-711E-41E5-8626-80604034D64F}" type="pres">
      <dgm:prSet presAssocID="{10A25E27-9FD4-4943-9587-BC0DF6CC13C7}" presName="hierRoot2" presStyleCnt="0">
        <dgm:presLayoutVars>
          <dgm:hierBranch/>
        </dgm:presLayoutVars>
      </dgm:prSet>
      <dgm:spPr/>
    </dgm:pt>
    <dgm:pt modelId="{E0D4A5CD-4C13-4FD0-8A51-B8F825DF724F}" type="pres">
      <dgm:prSet presAssocID="{10A25E27-9FD4-4943-9587-BC0DF6CC13C7}" presName="rootComposite" presStyleCnt="0"/>
      <dgm:spPr/>
    </dgm:pt>
    <dgm:pt modelId="{744FB36E-E12F-45F4-A124-2F6FA6A2574F}" type="pres">
      <dgm:prSet presAssocID="{10A25E27-9FD4-4943-9587-BC0DF6CC13C7}" presName="rootText" presStyleLbl="node3" presStyleIdx="2" presStyleCnt="9">
        <dgm:presLayoutVars>
          <dgm:chPref val="3"/>
        </dgm:presLayoutVars>
      </dgm:prSet>
      <dgm:spPr/>
      <dgm:t>
        <a:bodyPr/>
        <a:lstStyle/>
        <a:p>
          <a:endParaRPr lang="sk-SK"/>
        </a:p>
      </dgm:t>
    </dgm:pt>
    <dgm:pt modelId="{09EBD14B-ECE0-4DC3-859E-405BD49D78B6}" type="pres">
      <dgm:prSet presAssocID="{10A25E27-9FD4-4943-9587-BC0DF6CC13C7}" presName="rootConnector" presStyleLbl="node3" presStyleIdx="2" presStyleCnt="9"/>
      <dgm:spPr/>
      <dgm:t>
        <a:bodyPr/>
        <a:lstStyle/>
        <a:p>
          <a:endParaRPr lang="sk-SK"/>
        </a:p>
      </dgm:t>
    </dgm:pt>
    <dgm:pt modelId="{2AFAB427-F4B4-4D2B-A390-403F99C1FAB8}" type="pres">
      <dgm:prSet presAssocID="{10A25E27-9FD4-4943-9587-BC0DF6CC13C7}" presName="hierChild4" presStyleCnt="0"/>
      <dgm:spPr/>
    </dgm:pt>
    <dgm:pt modelId="{C04239BF-C36B-475A-89BF-15137352AF6A}" type="pres">
      <dgm:prSet presAssocID="{10A25E27-9FD4-4943-9587-BC0DF6CC13C7}" presName="hierChild5" presStyleCnt="0"/>
      <dgm:spPr/>
    </dgm:pt>
    <dgm:pt modelId="{E6CDE11D-F6BE-4B15-92B5-33A9EA5E9BD0}" type="pres">
      <dgm:prSet presAssocID="{151B3988-40EB-44CB-82D8-FCE8606ACCFB}" presName="Name35" presStyleLbl="parChTrans1D3" presStyleIdx="3" presStyleCnt="9"/>
      <dgm:spPr/>
      <dgm:t>
        <a:bodyPr/>
        <a:lstStyle/>
        <a:p>
          <a:endParaRPr lang="sk-SK"/>
        </a:p>
      </dgm:t>
    </dgm:pt>
    <dgm:pt modelId="{C11D0BEE-5010-4131-B654-4D48C7E3C18F}" type="pres">
      <dgm:prSet presAssocID="{52060DF1-1684-431F-BB01-97DAE3F6B1A5}" presName="hierRoot2" presStyleCnt="0">
        <dgm:presLayoutVars>
          <dgm:hierBranch/>
        </dgm:presLayoutVars>
      </dgm:prSet>
      <dgm:spPr/>
    </dgm:pt>
    <dgm:pt modelId="{6FFCC8BA-76E5-4714-8CEF-5A754694CA32}" type="pres">
      <dgm:prSet presAssocID="{52060DF1-1684-431F-BB01-97DAE3F6B1A5}" presName="rootComposite" presStyleCnt="0"/>
      <dgm:spPr/>
    </dgm:pt>
    <dgm:pt modelId="{99F8C092-F51A-4F34-92D9-4E8BDC051C7D}" type="pres">
      <dgm:prSet presAssocID="{52060DF1-1684-431F-BB01-97DAE3F6B1A5}" presName="rootText" presStyleLbl="node3" presStyleIdx="3" presStyleCnt="9">
        <dgm:presLayoutVars>
          <dgm:chPref val="3"/>
        </dgm:presLayoutVars>
      </dgm:prSet>
      <dgm:spPr/>
      <dgm:t>
        <a:bodyPr/>
        <a:lstStyle/>
        <a:p>
          <a:endParaRPr lang="sk-SK"/>
        </a:p>
      </dgm:t>
    </dgm:pt>
    <dgm:pt modelId="{EB1B5205-9015-4658-8774-A042A0067816}" type="pres">
      <dgm:prSet presAssocID="{52060DF1-1684-431F-BB01-97DAE3F6B1A5}" presName="rootConnector" presStyleLbl="node3" presStyleIdx="3" presStyleCnt="9"/>
      <dgm:spPr/>
      <dgm:t>
        <a:bodyPr/>
        <a:lstStyle/>
        <a:p>
          <a:endParaRPr lang="sk-SK"/>
        </a:p>
      </dgm:t>
    </dgm:pt>
    <dgm:pt modelId="{6862B5B2-5F9B-4BE7-BBC9-6E75C96EE790}" type="pres">
      <dgm:prSet presAssocID="{52060DF1-1684-431F-BB01-97DAE3F6B1A5}" presName="hierChild4" presStyleCnt="0"/>
      <dgm:spPr/>
    </dgm:pt>
    <dgm:pt modelId="{1BEB2079-3B95-4370-9299-C9B958F91072}" type="pres">
      <dgm:prSet presAssocID="{52060DF1-1684-431F-BB01-97DAE3F6B1A5}" presName="hierChild5" presStyleCnt="0"/>
      <dgm:spPr/>
    </dgm:pt>
    <dgm:pt modelId="{429E14FF-8A0A-4E02-A891-01FB2357F631}" type="pres">
      <dgm:prSet presAssocID="{F3641164-AB57-4B10-96C5-7A41A0616DA1}" presName="hierChild5" presStyleCnt="0"/>
      <dgm:spPr/>
    </dgm:pt>
    <dgm:pt modelId="{160A687B-F52D-4ECC-84D7-778803A55C2F}" type="pres">
      <dgm:prSet presAssocID="{AAEE6262-F76A-4D4C-9A91-601191C99486}" presName="Name35" presStyleLbl="parChTrans1D2" presStyleIdx="1" presStyleCnt="2"/>
      <dgm:spPr/>
      <dgm:t>
        <a:bodyPr/>
        <a:lstStyle/>
        <a:p>
          <a:endParaRPr lang="sk-SK"/>
        </a:p>
      </dgm:t>
    </dgm:pt>
    <dgm:pt modelId="{58A40BAD-DB21-4244-B11C-F96FA5D53454}" type="pres">
      <dgm:prSet presAssocID="{E69A44FA-528B-4AD3-A940-3C49E4596464}" presName="hierRoot2" presStyleCnt="0">
        <dgm:presLayoutVars>
          <dgm:hierBranch val="r"/>
        </dgm:presLayoutVars>
      </dgm:prSet>
      <dgm:spPr/>
    </dgm:pt>
    <dgm:pt modelId="{3575EF1C-FD4A-4943-AE15-12136D1F8D75}" type="pres">
      <dgm:prSet presAssocID="{E69A44FA-528B-4AD3-A940-3C49E4596464}" presName="rootComposite" presStyleCnt="0"/>
      <dgm:spPr/>
    </dgm:pt>
    <dgm:pt modelId="{1555B2B0-29B0-434E-A2CA-52294FACCBD2}" type="pres">
      <dgm:prSet presAssocID="{E69A44FA-528B-4AD3-A940-3C49E4596464}" presName="rootText" presStyleLbl="node2" presStyleIdx="1" presStyleCnt="2">
        <dgm:presLayoutVars>
          <dgm:chPref val="3"/>
        </dgm:presLayoutVars>
      </dgm:prSet>
      <dgm:spPr/>
      <dgm:t>
        <a:bodyPr/>
        <a:lstStyle/>
        <a:p>
          <a:endParaRPr lang="sk-SK"/>
        </a:p>
      </dgm:t>
    </dgm:pt>
    <dgm:pt modelId="{5E609DD9-901C-4CFC-9B7C-847129D6F8EE}" type="pres">
      <dgm:prSet presAssocID="{E69A44FA-528B-4AD3-A940-3C49E4596464}" presName="rootConnector" presStyleLbl="node2" presStyleIdx="1" presStyleCnt="2"/>
      <dgm:spPr/>
      <dgm:t>
        <a:bodyPr/>
        <a:lstStyle/>
        <a:p>
          <a:endParaRPr lang="sk-SK"/>
        </a:p>
      </dgm:t>
    </dgm:pt>
    <dgm:pt modelId="{F8E9B394-B996-4BDE-BE47-FF40F9049B4E}" type="pres">
      <dgm:prSet presAssocID="{E69A44FA-528B-4AD3-A940-3C49E4596464}" presName="hierChild4" presStyleCnt="0"/>
      <dgm:spPr/>
    </dgm:pt>
    <dgm:pt modelId="{9F64B4C7-08C2-4F6C-B527-EE2F2E561C0D}" type="pres">
      <dgm:prSet presAssocID="{2D05762E-75D5-4DD7-B36B-EDD9DEF793AB}" presName="Name50" presStyleLbl="parChTrans1D3" presStyleIdx="4" presStyleCnt="9"/>
      <dgm:spPr/>
      <dgm:t>
        <a:bodyPr/>
        <a:lstStyle/>
        <a:p>
          <a:endParaRPr lang="sk-SK"/>
        </a:p>
      </dgm:t>
    </dgm:pt>
    <dgm:pt modelId="{19CF98C0-2F4A-40C9-A551-418A2C0F7B43}" type="pres">
      <dgm:prSet presAssocID="{EA02727D-C4A3-402E-B80B-735122172B2D}" presName="hierRoot2" presStyleCnt="0">
        <dgm:presLayoutVars>
          <dgm:hierBranch val="r"/>
        </dgm:presLayoutVars>
      </dgm:prSet>
      <dgm:spPr/>
    </dgm:pt>
    <dgm:pt modelId="{7D7995DD-409B-469B-9FE2-0972F2F275B0}" type="pres">
      <dgm:prSet presAssocID="{EA02727D-C4A3-402E-B80B-735122172B2D}" presName="rootComposite" presStyleCnt="0"/>
      <dgm:spPr/>
    </dgm:pt>
    <dgm:pt modelId="{96936B64-CA0D-4811-9939-4915B8AA7DB9}" type="pres">
      <dgm:prSet presAssocID="{EA02727D-C4A3-402E-B80B-735122172B2D}" presName="rootText" presStyleLbl="node3" presStyleIdx="4" presStyleCnt="9">
        <dgm:presLayoutVars>
          <dgm:chPref val="3"/>
        </dgm:presLayoutVars>
      </dgm:prSet>
      <dgm:spPr/>
      <dgm:t>
        <a:bodyPr/>
        <a:lstStyle/>
        <a:p>
          <a:endParaRPr lang="sk-SK"/>
        </a:p>
      </dgm:t>
    </dgm:pt>
    <dgm:pt modelId="{18689CA0-8D2E-4942-BCB7-2701D398C3F4}" type="pres">
      <dgm:prSet presAssocID="{EA02727D-C4A3-402E-B80B-735122172B2D}" presName="rootConnector" presStyleLbl="node3" presStyleIdx="4" presStyleCnt="9"/>
      <dgm:spPr/>
      <dgm:t>
        <a:bodyPr/>
        <a:lstStyle/>
        <a:p>
          <a:endParaRPr lang="sk-SK"/>
        </a:p>
      </dgm:t>
    </dgm:pt>
    <dgm:pt modelId="{C54432A1-0D14-4AD4-BDAE-A1F94AFAD097}" type="pres">
      <dgm:prSet presAssocID="{EA02727D-C4A3-402E-B80B-735122172B2D}" presName="hierChild4" presStyleCnt="0"/>
      <dgm:spPr/>
    </dgm:pt>
    <dgm:pt modelId="{66246212-08A3-4412-9C87-E27ECC59ADF1}" type="pres">
      <dgm:prSet presAssocID="{EA02727D-C4A3-402E-B80B-735122172B2D}" presName="hierChild5" presStyleCnt="0"/>
      <dgm:spPr/>
    </dgm:pt>
    <dgm:pt modelId="{A87CD187-2D44-45DF-9425-B838B007328D}" type="pres">
      <dgm:prSet presAssocID="{C3B7D76D-10F1-4CD3-B592-DEC87402D533}" presName="Name50" presStyleLbl="parChTrans1D3" presStyleIdx="5" presStyleCnt="9"/>
      <dgm:spPr/>
      <dgm:t>
        <a:bodyPr/>
        <a:lstStyle/>
        <a:p>
          <a:endParaRPr lang="sk-SK"/>
        </a:p>
      </dgm:t>
    </dgm:pt>
    <dgm:pt modelId="{C3077A0F-6BE3-430A-989B-BAFC098A62E4}" type="pres">
      <dgm:prSet presAssocID="{198AC646-5269-43F7-8FAA-E652DF3451B8}" presName="hierRoot2" presStyleCnt="0">
        <dgm:presLayoutVars>
          <dgm:hierBranch val="r"/>
        </dgm:presLayoutVars>
      </dgm:prSet>
      <dgm:spPr/>
    </dgm:pt>
    <dgm:pt modelId="{1E3EFD99-08E8-4CBE-8D54-24294296558D}" type="pres">
      <dgm:prSet presAssocID="{198AC646-5269-43F7-8FAA-E652DF3451B8}" presName="rootComposite" presStyleCnt="0"/>
      <dgm:spPr/>
    </dgm:pt>
    <dgm:pt modelId="{2D75D107-2F00-45E5-B669-EF8F07C24287}" type="pres">
      <dgm:prSet presAssocID="{198AC646-5269-43F7-8FAA-E652DF3451B8}" presName="rootText" presStyleLbl="node3" presStyleIdx="5" presStyleCnt="9">
        <dgm:presLayoutVars>
          <dgm:chPref val="3"/>
        </dgm:presLayoutVars>
      </dgm:prSet>
      <dgm:spPr/>
      <dgm:t>
        <a:bodyPr/>
        <a:lstStyle/>
        <a:p>
          <a:endParaRPr lang="sk-SK"/>
        </a:p>
      </dgm:t>
    </dgm:pt>
    <dgm:pt modelId="{77CC547D-99BC-4E1D-B4A0-45060BD9D2A7}" type="pres">
      <dgm:prSet presAssocID="{198AC646-5269-43F7-8FAA-E652DF3451B8}" presName="rootConnector" presStyleLbl="node3" presStyleIdx="5" presStyleCnt="9"/>
      <dgm:spPr/>
      <dgm:t>
        <a:bodyPr/>
        <a:lstStyle/>
        <a:p>
          <a:endParaRPr lang="sk-SK"/>
        </a:p>
      </dgm:t>
    </dgm:pt>
    <dgm:pt modelId="{64D1FC97-C80F-4E50-A18C-76EAB2C41941}" type="pres">
      <dgm:prSet presAssocID="{198AC646-5269-43F7-8FAA-E652DF3451B8}" presName="hierChild4" presStyleCnt="0"/>
      <dgm:spPr/>
    </dgm:pt>
    <dgm:pt modelId="{FC08497A-A698-48C0-8F7B-505C6A78550F}" type="pres">
      <dgm:prSet presAssocID="{198AC646-5269-43F7-8FAA-E652DF3451B8}" presName="hierChild5" presStyleCnt="0"/>
      <dgm:spPr/>
    </dgm:pt>
    <dgm:pt modelId="{3FDF4BA8-72F4-41C1-A973-28182216429F}" type="pres">
      <dgm:prSet presAssocID="{71C88D83-E96F-45EF-BADA-B355CD8E0C3E}" presName="Name50" presStyleLbl="parChTrans1D3" presStyleIdx="6" presStyleCnt="9"/>
      <dgm:spPr/>
      <dgm:t>
        <a:bodyPr/>
        <a:lstStyle/>
        <a:p>
          <a:endParaRPr lang="sk-SK"/>
        </a:p>
      </dgm:t>
    </dgm:pt>
    <dgm:pt modelId="{91374A1F-E642-4DE8-AF94-B4464BF157FC}" type="pres">
      <dgm:prSet presAssocID="{CF04E7DF-C021-4A6D-9C48-099414B0A9AF}" presName="hierRoot2" presStyleCnt="0">
        <dgm:presLayoutVars>
          <dgm:hierBranch val="r"/>
        </dgm:presLayoutVars>
      </dgm:prSet>
      <dgm:spPr/>
    </dgm:pt>
    <dgm:pt modelId="{1B652140-ED05-44B5-83C8-370E98344B51}" type="pres">
      <dgm:prSet presAssocID="{CF04E7DF-C021-4A6D-9C48-099414B0A9AF}" presName="rootComposite" presStyleCnt="0"/>
      <dgm:spPr/>
    </dgm:pt>
    <dgm:pt modelId="{20152BF7-67C9-485D-9159-22D20F9A13E1}" type="pres">
      <dgm:prSet presAssocID="{CF04E7DF-C021-4A6D-9C48-099414B0A9AF}" presName="rootText" presStyleLbl="node3" presStyleIdx="6" presStyleCnt="9">
        <dgm:presLayoutVars>
          <dgm:chPref val="3"/>
        </dgm:presLayoutVars>
      </dgm:prSet>
      <dgm:spPr/>
      <dgm:t>
        <a:bodyPr/>
        <a:lstStyle/>
        <a:p>
          <a:endParaRPr lang="sk-SK"/>
        </a:p>
      </dgm:t>
    </dgm:pt>
    <dgm:pt modelId="{4A11AB61-B626-4239-8180-699C32BA77BD}" type="pres">
      <dgm:prSet presAssocID="{CF04E7DF-C021-4A6D-9C48-099414B0A9AF}" presName="rootConnector" presStyleLbl="node3" presStyleIdx="6" presStyleCnt="9"/>
      <dgm:spPr/>
      <dgm:t>
        <a:bodyPr/>
        <a:lstStyle/>
        <a:p>
          <a:endParaRPr lang="sk-SK"/>
        </a:p>
      </dgm:t>
    </dgm:pt>
    <dgm:pt modelId="{922768CE-F651-4E75-9711-CD47F71A46EF}" type="pres">
      <dgm:prSet presAssocID="{CF04E7DF-C021-4A6D-9C48-099414B0A9AF}" presName="hierChild4" presStyleCnt="0"/>
      <dgm:spPr/>
    </dgm:pt>
    <dgm:pt modelId="{48FFB42C-D6DD-43A2-8626-4192B03802D6}" type="pres">
      <dgm:prSet presAssocID="{CF04E7DF-C021-4A6D-9C48-099414B0A9AF}" presName="hierChild5" presStyleCnt="0"/>
      <dgm:spPr/>
    </dgm:pt>
    <dgm:pt modelId="{D303C0BA-5A1C-47C3-A39D-4F4E1BD8F6F5}" type="pres">
      <dgm:prSet presAssocID="{A86DA287-59D3-49F6-A4A8-BF68E94B9EDD}" presName="Name50" presStyleLbl="parChTrans1D3" presStyleIdx="7" presStyleCnt="9"/>
      <dgm:spPr/>
      <dgm:t>
        <a:bodyPr/>
        <a:lstStyle/>
        <a:p>
          <a:endParaRPr lang="sk-SK"/>
        </a:p>
      </dgm:t>
    </dgm:pt>
    <dgm:pt modelId="{43BA02E0-B448-4456-9000-9198C07E8EAB}" type="pres">
      <dgm:prSet presAssocID="{A5EA9753-05B8-4EC0-88E6-E335D784DE1F}" presName="hierRoot2" presStyleCnt="0">
        <dgm:presLayoutVars>
          <dgm:hierBranch val="r"/>
        </dgm:presLayoutVars>
      </dgm:prSet>
      <dgm:spPr/>
    </dgm:pt>
    <dgm:pt modelId="{1DE3445B-D404-40B9-9F38-F02CC625B63F}" type="pres">
      <dgm:prSet presAssocID="{A5EA9753-05B8-4EC0-88E6-E335D784DE1F}" presName="rootComposite" presStyleCnt="0"/>
      <dgm:spPr/>
    </dgm:pt>
    <dgm:pt modelId="{92AD38E5-660E-4B2A-B6D2-C43F8FCBF38E}" type="pres">
      <dgm:prSet presAssocID="{A5EA9753-05B8-4EC0-88E6-E335D784DE1F}" presName="rootText" presStyleLbl="node3" presStyleIdx="7" presStyleCnt="9">
        <dgm:presLayoutVars>
          <dgm:chPref val="3"/>
        </dgm:presLayoutVars>
      </dgm:prSet>
      <dgm:spPr/>
      <dgm:t>
        <a:bodyPr/>
        <a:lstStyle/>
        <a:p>
          <a:endParaRPr lang="sk-SK"/>
        </a:p>
      </dgm:t>
    </dgm:pt>
    <dgm:pt modelId="{D5EAAEE3-2037-47D7-8F7F-8CEEA2305D56}" type="pres">
      <dgm:prSet presAssocID="{A5EA9753-05B8-4EC0-88E6-E335D784DE1F}" presName="rootConnector" presStyleLbl="node3" presStyleIdx="7" presStyleCnt="9"/>
      <dgm:spPr/>
      <dgm:t>
        <a:bodyPr/>
        <a:lstStyle/>
        <a:p>
          <a:endParaRPr lang="sk-SK"/>
        </a:p>
      </dgm:t>
    </dgm:pt>
    <dgm:pt modelId="{10B1B8AB-F09B-49C2-B9F1-86E234E468A9}" type="pres">
      <dgm:prSet presAssocID="{A5EA9753-05B8-4EC0-88E6-E335D784DE1F}" presName="hierChild4" presStyleCnt="0"/>
      <dgm:spPr/>
    </dgm:pt>
    <dgm:pt modelId="{A5F6D24E-09C9-4E81-A6A3-451457E8957E}" type="pres">
      <dgm:prSet presAssocID="{A5EA9753-05B8-4EC0-88E6-E335D784DE1F}" presName="hierChild5" presStyleCnt="0"/>
      <dgm:spPr/>
    </dgm:pt>
    <dgm:pt modelId="{C6679017-1444-4DA5-9AD1-8E3FAF926A86}" type="pres">
      <dgm:prSet presAssocID="{10CA994C-AE87-4B5D-AEBE-0D672D75861A}" presName="Name50" presStyleLbl="parChTrans1D3" presStyleIdx="8" presStyleCnt="9"/>
      <dgm:spPr/>
      <dgm:t>
        <a:bodyPr/>
        <a:lstStyle/>
        <a:p>
          <a:endParaRPr lang="sk-SK"/>
        </a:p>
      </dgm:t>
    </dgm:pt>
    <dgm:pt modelId="{6C57D3FA-57BE-4BAC-A634-C6F828B04D2E}" type="pres">
      <dgm:prSet presAssocID="{AC47E562-7628-41DB-A904-672698DB4430}" presName="hierRoot2" presStyleCnt="0">
        <dgm:presLayoutVars>
          <dgm:hierBranch val="r"/>
        </dgm:presLayoutVars>
      </dgm:prSet>
      <dgm:spPr/>
    </dgm:pt>
    <dgm:pt modelId="{818979A8-886E-435C-9C97-32B9108BD436}" type="pres">
      <dgm:prSet presAssocID="{AC47E562-7628-41DB-A904-672698DB4430}" presName="rootComposite" presStyleCnt="0"/>
      <dgm:spPr/>
    </dgm:pt>
    <dgm:pt modelId="{5DFA9135-E288-456F-BC6E-88CDBCF553F0}" type="pres">
      <dgm:prSet presAssocID="{AC47E562-7628-41DB-A904-672698DB4430}" presName="rootText" presStyleLbl="node3" presStyleIdx="8" presStyleCnt="9">
        <dgm:presLayoutVars>
          <dgm:chPref val="3"/>
        </dgm:presLayoutVars>
      </dgm:prSet>
      <dgm:spPr/>
      <dgm:t>
        <a:bodyPr/>
        <a:lstStyle/>
        <a:p>
          <a:endParaRPr lang="sk-SK"/>
        </a:p>
      </dgm:t>
    </dgm:pt>
    <dgm:pt modelId="{2C812C6B-36EF-48DE-B36E-5B30A434F78B}" type="pres">
      <dgm:prSet presAssocID="{AC47E562-7628-41DB-A904-672698DB4430}" presName="rootConnector" presStyleLbl="node3" presStyleIdx="8" presStyleCnt="9"/>
      <dgm:spPr/>
      <dgm:t>
        <a:bodyPr/>
        <a:lstStyle/>
        <a:p>
          <a:endParaRPr lang="sk-SK"/>
        </a:p>
      </dgm:t>
    </dgm:pt>
    <dgm:pt modelId="{609DE73F-B650-4BCD-8C44-A0CB3E93E1EA}" type="pres">
      <dgm:prSet presAssocID="{AC47E562-7628-41DB-A904-672698DB4430}" presName="hierChild4" presStyleCnt="0"/>
      <dgm:spPr/>
    </dgm:pt>
    <dgm:pt modelId="{18B6A6CB-890A-4977-967B-9726C81896A2}" type="pres">
      <dgm:prSet presAssocID="{AC47E562-7628-41DB-A904-672698DB4430}" presName="hierChild5" presStyleCnt="0"/>
      <dgm:spPr/>
    </dgm:pt>
    <dgm:pt modelId="{49731F93-6205-43C4-83EA-9A39BAC6E481}" type="pres">
      <dgm:prSet presAssocID="{E69A44FA-528B-4AD3-A940-3C49E4596464}" presName="hierChild5" presStyleCnt="0"/>
      <dgm:spPr/>
    </dgm:pt>
    <dgm:pt modelId="{E03FD790-8D60-4E2B-A6DF-70F0E270AD8F}" type="pres">
      <dgm:prSet presAssocID="{D4B9FEFA-5287-4953-88F0-FD846EEC2CA4}" presName="hierChild3" presStyleCnt="0"/>
      <dgm:spPr/>
    </dgm:pt>
  </dgm:ptLst>
  <dgm:cxnLst>
    <dgm:cxn modelId="{B44C86E4-13F0-4025-B243-3A6262BBA9A0}" type="presOf" srcId="{85B542A1-DD2B-4203-A1B2-23653B574FEB}" destId="{9DFA5548-1A1A-4A21-A24A-12A0E15ED902}" srcOrd="0" destOrd="0" presId="urn:microsoft.com/office/officeart/2005/8/layout/orgChart1"/>
    <dgm:cxn modelId="{66C6C009-C76E-4E83-8B93-D2C3CEE8E963}" type="presOf" srcId="{AAEE6262-F76A-4D4C-9A91-601191C99486}" destId="{160A687B-F52D-4ECC-84D7-778803A55C2F}" srcOrd="0" destOrd="0" presId="urn:microsoft.com/office/officeart/2005/8/layout/orgChart1"/>
    <dgm:cxn modelId="{4E4BF06B-2E75-49BD-8BC9-C4CD06706E25}" type="presOf" srcId="{F3641164-AB57-4B10-96C5-7A41A0616DA1}" destId="{1E28682F-52AC-43C2-ABB7-C79162D52BED}" srcOrd="0" destOrd="0" presId="urn:microsoft.com/office/officeart/2005/8/layout/orgChart1"/>
    <dgm:cxn modelId="{AC9DF8CE-2B5D-4E54-9739-6AD4677AF2B0}" type="presOf" srcId="{AC47E562-7628-41DB-A904-672698DB4430}" destId="{2C812C6B-36EF-48DE-B36E-5B30A434F78B}" srcOrd="1" destOrd="0" presId="urn:microsoft.com/office/officeart/2005/8/layout/orgChart1"/>
    <dgm:cxn modelId="{34B0820E-1D67-4590-8BF1-409ED7FBCDD7}" type="presOf" srcId="{A5EA9753-05B8-4EC0-88E6-E335D784DE1F}" destId="{D5EAAEE3-2037-47D7-8F7F-8CEEA2305D56}" srcOrd="1" destOrd="0" presId="urn:microsoft.com/office/officeart/2005/8/layout/orgChart1"/>
    <dgm:cxn modelId="{A626F11D-8558-426F-B6A2-CF310759A81A}" type="presOf" srcId="{2D05762E-75D5-4DD7-B36B-EDD9DEF793AB}" destId="{9F64B4C7-08C2-4F6C-B527-EE2F2E561C0D}" srcOrd="0" destOrd="0" presId="urn:microsoft.com/office/officeart/2005/8/layout/orgChart1"/>
    <dgm:cxn modelId="{6A82BFB3-EF25-4149-B949-13EC39DF8DED}" type="presOf" srcId="{A5EA9753-05B8-4EC0-88E6-E335D784DE1F}" destId="{92AD38E5-660E-4B2A-B6D2-C43F8FCBF38E}" srcOrd="0" destOrd="0" presId="urn:microsoft.com/office/officeart/2005/8/layout/orgChart1"/>
    <dgm:cxn modelId="{E9F1136B-F3CB-4640-9AA5-CE10D45B935E}" srcId="{E69A44FA-528B-4AD3-A940-3C49E4596464}" destId="{AC47E562-7628-41DB-A904-672698DB4430}" srcOrd="4" destOrd="0" parTransId="{10CA994C-AE87-4B5D-AEBE-0D672D75861A}" sibTransId="{6C092404-AFFB-4BAC-AAB2-C945D75D4F10}"/>
    <dgm:cxn modelId="{8589EC2F-4CFC-403B-98D6-CCD0E3E67718}" srcId="{F3641164-AB57-4B10-96C5-7A41A0616DA1}" destId="{41831708-CA58-42D6-B491-19CE8D1160A4}" srcOrd="0" destOrd="0" parTransId="{533426E3-9C8D-4FBD-84E8-33AF7DBDC872}" sibTransId="{1B318769-559E-43CC-9D13-13AB31880EDD}"/>
    <dgm:cxn modelId="{3A22D9B7-C5A5-4A90-B4E1-2AB1D0AC97E7}" srcId="{6C25FA9F-C9A7-44DE-BC7A-D0ED8F0ADEEB}" destId="{D4B9FEFA-5287-4953-88F0-FD846EEC2CA4}" srcOrd="0" destOrd="0" parTransId="{9D6126CC-288E-4741-B56D-DD4BCA227FCE}" sibTransId="{759E12F5-5239-4611-8FEA-DF41302F797C}"/>
    <dgm:cxn modelId="{FE709C9B-24B0-4979-841F-A5FB19AEC3A6}" type="presOf" srcId="{151B3988-40EB-44CB-82D8-FCE8606ACCFB}" destId="{E6CDE11D-F6BE-4B15-92B5-33A9EA5E9BD0}" srcOrd="0" destOrd="0" presId="urn:microsoft.com/office/officeart/2005/8/layout/orgChart1"/>
    <dgm:cxn modelId="{A5271A1B-E096-4FE8-A799-93E25777F6D6}" type="presOf" srcId="{D4B9FEFA-5287-4953-88F0-FD846EEC2CA4}" destId="{1B3E4EA8-888F-425B-85D5-C157098E82F6}" srcOrd="0" destOrd="0" presId="urn:microsoft.com/office/officeart/2005/8/layout/orgChart1"/>
    <dgm:cxn modelId="{2E050867-D079-40E1-92DB-44B6D1E5BCB9}" srcId="{F3641164-AB57-4B10-96C5-7A41A0616DA1}" destId="{312E1243-1432-42F7-AB1B-C22A376341BA}" srcOrd="1" destOrd="0" parTransId="{9E043AC6-38D1-4E32-8E07-2BB9470C27C1}" sibTransId="{55A190CF-81FB-4926-A68A-5C08637F9421}"/>
    <dgm:cxn modelId="{1E4830BA-0923-4FED-91AD-65484941F00D}" type="presOf" srcId="{7D61DED4-931E-4EBC-9B90-C373D06707ED}" destId="{B37BD691-E19F-4907-8CAD-315DB76B54FB}" srcOrd="0" destOrd="0" presId="urn:microsoft.com/office/officeart/2005/8/layout/orgChart1"/>
    <dgm:cxn modelId="{EAC6CE9B-B82B-4B5D-9CB2-EA8D5C9B1899}" type="presOf" srcId="{10A25E27-9FD4-4943-9587-BC0DF6CC13C7}" destId="{09EBD14B-ECE0-4DC3-859E-405BD49D78B6}" srcOrd="1" destOrd="0" presId="urn:microsoft.com/office/officeart/2005/8/layout/orgChart1"/>
    <dgm:cxn modelId="{CDAF15CA-3CB6-4DE6-A4DE-B4AB7E511998}" type="presOf" srcId="{533426E3-9C8D-4FBD-84E8-33AF7DBDC872}" destId="{D3F2DED7-FC9E-4E4F-ACAB-A3BE23FD7955}" srcOrd="0" destOrd="0" presId="urn:microsoft.com/office/officeart/2005/8/layout/orgChart1"/>
    <dgm:cxn modelId="{0521F396-4302-49FC-9E39-75720D2EE7A4}" type="presOf" srcId="{41831708-CA58-42D6-B491-19CE8D1160A4}" destId="{ABB9D037-8796-460B-96A0-6AAF36EF2F9F}" srcOrd="0" destOrd="0" presId="urn:microsoft.com/office/officeart/2005/8/layout/orgChart1"/>
    <dgm:cxn modelId="{8EB7BB42-A3BF-4CB6-A264-1E7206858C8B}" type="presOf" srcId="{198AC646-5269-43F7-8FAA-E652DF3451B8}" destId="{2D75D107-2F00-45E5-B669-EF8F07C24287}" srcOrd="0" destOrd="0" presId="urn:microsoft.com/office/officeart/2005/8/layout/orgChart1"/>
    <dgm:cxn modelId="{BC2816A7-6C10-4BC5-92EC-176B70980A8C}" type="presOf" srcId="{10CA994C-AE87-4B5D-AEBE-0D672D75861A}" destId="{C6679017-1444-4DA5-9AD1-8E3FAF926A86}" srcOrd="0" destOrd="0" presId="urn:microsoft.com/office/officeart/2005/8/layout/orgChart1"/>
    <dgm:cxn modelId="{DF2A989E-1782-4B73-AD68-FBAB56C592DA}" type="presOf" srcId="{312E1243-1432-42F7-AB1B-C22A376341BA}" destId="{0DBF7480-E326-4BF3-B412-09A0CCA5288E}" srcOrd="1" destOrd="0" presId="urn:microsoft.com/office/officeart/2005/8/layout/orgChart1"/>
    <dgm:cxn modelId="{F4FD3293-D3DE-4936-8B7C-EDCF3E51D7AB}" type="presOf" srcId="{9E043AC6-38D1-4E32-8E07-2BB9470C27C1}" destId="{2AEDF909-23B6-4F59-A5ED-1E2ED8518C1A}" srcOrd="0" destOrd="0" presId="urn:microsoft.com/office/officeart/2005/8/layout/orgChart1"/>
    <dgm:cxn modelId="{B86424B4-FC65-440D-A480-3E34D44C09E3}" srcId="{E69A44FA-528B-4AD3-A940-3C49E4596464}" destId="{CF04E7DF-C021-4A6D-9C48-099414B0A9AF}" srcOrd="2" destOrd="0" parTransId="{71C88D83-E96F-45EF-BADA-B355CD8E0C3E}" sibTransId="{29E5F53B-19F3-4F10-A390-7EB7B1D6FBA8}"/>
    <dgm:cxn modelId="{C48C2531-7849-4D57-96B5-375D652F9869}" srcId="{D4B9FEFA-5287-4953-88F0-FD846EEC2CA4}" destId="{E69A44FA-528B-4AD3-A940-3C49E4596464}" srcOrd="1" destOrd="0" parTransId="{AAEE6262-F76A-4D4C-9A91-601191C99486}" sibTransId="{89BC49F2-9C52-4C8D-B8E6-49535848D9BE}"/>
    <dgm:cxn modelId="{14C0938D-354A-431D-8869-CE2A39E52BC9}" type="presOf" srcId="{C3B7D76D-10F1-4CD3-B592-DEC87402D533}" destId="{A87CD187-2D44-45DF-9425-B838B007328D}" srcOrd="0" destOrd="0" presId="urn:microsoft.com/office/officeart/2005/8/layout/orgChart1"/>
    <dgm:cxn modelId="{F50B390B-9E2C-41C1-8397-20600BBAC2EE}" type="presOf" srcId="{E69A44FA-528B-4AD3-A940-3C49E4596464}" destId="{5E609DD9-901C-4CFC-9B7C-847129D6F8EE}" srcOrd="1" destOrd="0" presId="urn:microsoft.com/office/officeart/2005/8/layout/orgChart1"/>
    <dgm:cxn modelId="{2D4C7691-F539-402A-9CC5-1378ED070669}" type="presOf" srcId="{F3641164-AB57-4B10-96C5-7A41A0616DA1}" destId="{9236C20B-643B-4B57-9186-D6C14364F5E9}" srcOrd="1" destOrd="0" presId="urn:microsoft.com/office/officeart/2005/8/layout/orgChart1"/>
    <dgm:cxn modelId="{AEB8633A-32EB-4DFD-82EB-28C59CCC5DBF}" type="presOf" srcId="{312E1243-1432-42F7-AB1B-C22A376341BA}" destId="{05515057-879F-4D32-B1FD-AC1C515D5335}" srcOrd="0" destOrd="0" presId="urn:microsoft.com/office/officeart/2005/8/layout/orgChart1"/>
    <dgm:cxn modelId="{68D51E36-1DEC-415B-9F23-9CE16D247B5D}" srcId="{D4B9FEFA-5287-4953-88F0-FD846EEC2CA4}" destId="{F3641164-AB57-4B10-96C5-7A41A0616DA1}" srcOrd="0" destOrd="0" parTransId="{85B542A1-DD2B-4203-A1B2-23653B574FEB}" sibTransId="{5DC0FF26-4C8D-43ED-9A2D-AED65F347FBE}"/>
    <dgm:cxn modelId="{0073184C-EA8A-4625-BEB2-82599AC76CE1}" type="presOf" srcId="{52060DF1-1684-431F-BB01-97DAE3F6B1A5}" destId="{99F8C092-F51A-4F34-92D9-4E8BDC051C7D}" srcOrd="0" destOrd="0" presId="urn:microsoft.com/office/officeart/2005/8/layout/orgChart1"/>
    <dgm:cxn modelId="{FC56447E-532C-49C6-92EC-6443B14674C7}" type="presOf" srcId="{10A25E27-9FD4-4943-9587-BC0DF6CC13C7}" destId="{744FB36E-E12F-45F4-A124-2F6FA6A2574F}" srcOrd="0" destOrd="0" presId="urn:microsoft.com/office/officeart/2005/8/layout/orgChart1"/>
    <dgm:cxn modelId="{2E14820F-FCBC-4A36-8B79-F5308F62D44F}" srcId="{F3641164-AB57-4B10-96C5-7A41A0616DA1}" destId="{10A25E27-9FD4-4943-9587-BC0DF6CC13C7}" srcOrd="2" destOrd="0" parTransId="{7D61DED4-931E-4EBC-9B90-C373D06707ED}" sibTransId="{2301E720-4604-4411-B171-54429AE4362F}"/>
    <dgm:cxn modelId="{D6BD679D-642F-4AB1-9165-8EFD584EB0F5}" srcId="{F3641164-AB57-4B10-96C5-7A41A0616DA1}" destId="{52060DF1-1684-431F-BB01-97DAE3F6B1A5}" srcOrd="3" destOrd="0" parTransId="{151B3988-40EB-44CB-82D8-FCE8606ACCFB}" sibTransId="{79F7544D-4147-467F-B9DF-EE88F615D398}"/>
    <dgm:cxn modelId="{B478EBDC-372B-498E-88F7-70C0440BD6A3}" type="presOf" srcId="{E69A44FA-528B-4AD3-A940-3C49E4596464}" destId="{1555B2B0-29B0-434E-A2CA-52294FACCBD2}" srcOrd="0" destOrd="0" presId="urn:microsoft.com/office/officeart/2005/8/layout/orgChart1"/>
    <dgm:cxn modelId="{F3E27D8D-AE78-4746-B4B8-3CEA7DE1CE6B}" type="presOf" srcId="{EA02727D-C4A3-402E-B80B-735122172B2D}" destId="{18689CA0-8D2E-4942-BCB7-2701D398C3F4}" srcOrd="1" destOrd="0" presId="urn:microsoft.com/office/officeart/2005/8/layout/orgChart1"/>
    <dgm:cxn modelId="{0CCF4B20-7E01-439F-8AC4-F85DEF384F33}" type="presOf" srcId="{CF04E7DF-C021-4A6D-9C48-099414B0A9AF}" destId="{20152BF7-67C9-485D-9159-22D20F9A13E1}" srcOrd="0" destOrd="0" presId="urn:microsoft.com/office/officeart/2005/8/layout/orgChart1"/>
    <dgm:cxn modelId="{56A3503E-13AF-4B9A-B2CE-A94D57B3A2F3}" srcId="{E69A44FA-528B-4AD3-A940-3C49E4596464}" destId="{198AC646-5269-43F7-8FAA-E652DF3451B8}" srcOrd="1" destOrd="0" parTransId="{C3B7D76D-10F1-4CD3-B592-DEC87402D533}" sibTransId="{535D7424-8948-4253-8B04-028DD82836E7}"/>
    <dgm:cxn modelId="{F3B314F0-8937-461A-89E7-83015E6DC06F}" type="presOf" srcId="{A86DA287-59D3-49F6-A4A8-BF68E94B9EDD}" destId="{D303C0BA-5A1C-47C3-A39D-4F4E1BD8F6F5}" srcOrd="0" destOrd="0" presId="urn:microsoft.com/office/officeart/2005/8/layout/orgChart1"/>
    <dgm:cxn modelId="{EBE5DA3D-1373-4890-AAEA-C133772C5ECC}" type="presOf" srcId="{EA02727D-C4A3-402E-B80B-735122172B2D}" destId="{96936B64-CA0D-4811-9939-4915B8AA7DB9}" srcOrd="0" destOrd="0" presId="urn:microsoft.com/office/officeart/2005/8/layout/orgChart1"/>
    <dgm:cxn modelId="{9674C860-24AE-4E93-B121-1066E450A179}" type="presOf" srcId="{52060DF1-1684-431F-BB01-97DAE3F6B1A5}" destId="{EB1B5205-9015-4658-8774-A042A0067816}" srcOrd="1" destOrd="0" presId="urn:microsoft.com/office/officeart/2005/8/layout/orgChart1"/>
    <dgm:cxn modelId="{97FEC25C-9EEA-4BFA-BC6A-324176D2EE79}" type="presOf" srcId="{6C25FA9F-C9A7-44DE-BC7A-D0ED8F0ADEEB}" destId="{30C45E26-E25A-4A93-A107-6A22E82AF2A9}" srcOrd="0" destOrd="0" presId="urn:microsoft.com/office/officeart/2005/8/layout/orgChart1"/>
    <dgm:cxn modelId="{9C9933D9-2130-44C3-A5EB-AF85C3380A81}" srcId="{E69A44FA-528B-4AD3-A940-3C49E4596464}" destId="{A5EA9753-05B8-4EC0-88E6-E335D784DE1F}" srcOrd="3" destOrd="0" parTransId="{A86DA287-59D3-49F6-A4A8-BF68E94B9EDD}" sibTransId="{731D247A-1F84-4464-932F-0A2623BD16E8}"/>
    <dgm:cxn modelId="{7A307FC1-656A-41C0-937D-4E58221F9B7D}" type="presOf" srcId="{CF04E7DF-C021-4A6D-9C48-099414B0A9AF}" destId="{4A11AB61-B626-4239-8180-699C32BA77BD}" srcOrd="1" destOrd="0" presId="urn:microsoft.com/office/officeart/2005/8/layout/orgChart1"/>
    <dgm:cxn modelId="{C46E1B0D-0EA9-4E47-9C7B-3EABA3316EA6}" type="presOf" srcId="{198AC646-5269-43F7-8FAA-E652DF3451B8}" destId="{77CC547D-99BC-4E1D-B4A0-45060BD9D2A7}" srcOrd="1" destOrd="0" presId="urn:microsoft.com/office/officeart/2005/8/layout/orgChart1"/>
    <dgm:cxn modelId="{4954B963-8353-4223-86ED-72E6DB2633F3}" type="presOf" srcId="{D4B9FEFA-5287-4953-88F0-FD846EEC2CA4}" destId="{134AF410-DFBB-47E1-9FD6-BCBC18DCEF92}" srcOrd="1" destOrd="0" presId="urn:microsoft.com/office/officeart/2005/8/layout/orgChart1"/>
    <dgm:cxn modelId="{EB9C0F60-D6DE-4D39-9A9B-4E9DDB0C9096}" type="presOf" srcId="{41831708-CA58-42D6-B491-19CE8D1160A4}" destId="{A8654CC7-4852-4ADF-8354-4A390A815DFA}" srcOrd="1" destOrd="0" presId="urn:microsoft.com/office/officeart/2005/8/layout/orgChart1"/>
    <dgm:cxn modelId="{5503BAD1-091E-4A45-8866-1CBC8908546C}" type="presOf" srcId="{71C88D83-E96F-45EF-BADA-B355CD8E0C3E}" destId="{3FDF4BA8-72F4-41C1-A973-28182216429F}" srcOrd="0" destOrd="0" presId="urn:microsoft.com/office/officeart/2005/8/layout/orgChart1"/>
    <dgm:cxn modelId="{DD43539A-8D58-4ED3-A7BB-9B0A2C2E265B}" srcId="{E69A44FA-528B-4AD3-A940-3C49E4596464}" destId="{EA02727D-C4A3-402E-B80B-735122172B2D}" srcOrd="0" destOrd="0" parTransId="{2D05762E-75D5-4DD7-B36B-EDD9DEF793AB}" sibTransId="{D9D37D71-F095-4834-AD10-A9A2781C9D72}"/>
    <dgm:cxn modelId="{71515E3D-2173-4BD4-86F5-01C8B02AB691}" type="presOf" srcId="{AC47E562-7628-41DB-A904-672698DB4430}" destId="{5DFA9135-E288-456F-BC6E-88CDBCF553F0}" srcOrd="0" destOrd="0" presId="urn:microsoft.com/office/officeart/2005/8/layout/orgChart1"/>
    <dgm:cxn modelId="{6B300A3D-5C0A-4858-A151-34E7669F3F0B}" type="presParOf" srcId="{30C45E26-E25A-4A93-A107-6A22E82AF2A9}" destId="{BFDA7B4F-5DA3-48EB-90E9-80CCEF8A65C0}" srcOrd="0" destOrd="0" presId="urn:microsoft.com/office/officeart/2005/8/layout/orgChart1"/>
    <dgm:cxn modelId="{7548D2E0-93DC-4B38-8F4E-6EFF30AB54F0}" type="presParOf" srcId="{BFDA7B4F-5DA3-48EB-90E9-80CCEF8A65C0}" destId="{D988D5D1-0EBD-4ED0-82BD-E7DBC187C6FB}" srcOrd="0" destOrd="0" presId="urn:microsoft.com/office/officeart/2005/8/layout/orgChart1"/>
    <dgm:cxn modelId="{1A9F9345-8042-4269-860B-2501615AD478}" type="presParOf" srcId="{D988D5D1-0EBD-4ED0-82BD-E7DBC187C6FB}" destId="{1B3E4EA8-888F-425B-85D5-C157098E82F6}" srcOrd="0" destOrd="0" presId="urn:microsoft.com/office/officeart/2005/8/layout/orgChart1"/>
    <dgm:cxn modelId="{FC3C64C1-B623-4B13-A956-C75A3E37855B}" type="presParOf" srcId="{D988D5D1-0EBD-4ED0-82BD-E7DBC187C6FB}" destId="{134AF410-DFBB-47E1-9FD6-BCBC18DCEF92}" srcOrd="1" destOrd="0" presId="urn:microsoft.com/office/officeart/2005/8/layout/orgChart1"/>
    <dgm:cxn modelId="{397C246E-E989-4D6C-8487-39B7F122481E}" type="presParOf" srcId="{BFDA7B4F-5DA3-48EB-90E9-80CCEF8A65C0}" destId="{FA7C2C6C-F45F-46AC-A6B0-8CA8100CA6AD}" srcOrd="1" destOrd="0" presId="urn:microsoft.com/office/officeart/2005/8/layout/orgChart1"/>
    <dgm:cxn modelId="{7012ADAF-6AF8-4381-A2C4-A7BF95F2EBC4}" type="presParOf" srcId="{FA7C2C6C-F45F-46AC-A6B0-8CA8100CA6AD}" destId="{9DFA5548-1A1A-4A21-A24A-12A0E15ED902}" srcOrd="0" destOrd="0" presId="urn:microsoft.com/office/officeart/2005/8/layout/orgChart1"/>
    <dgm:cxn modelId="{9591714A-B9A1-4173-9519-9271845BB267}" type="presParOf" srcId="{FA7C2C6C-F45F-46AC-A6B0-8CA8100CA6AD}" destId="{682D7D52-A800-4943-80A3-B8E571485F7B}" srcOrd="1" destOrd="0" presId="urn:microsoft.com/office/officeart/2005/8/layout/orgChart1"/>
    <dgm:cxn modelId="{A19C938C-A847-4FF2-8809-FB7AA71B9F3A}" type="presParOf" srcId="{682D7D52-A800-4943-80A3-B8E571485F7B}" destId="{1CCBE809-8E06-467D-A987-2C7A65567A7A}" srcOrd="0" destOrd="0" presId="urn:microsoft.com/office/officeart/2005/8/layout/orgChart1"/>
    <dgm:cxn modelId="{09C42734-2279-473A-8D23-B9660EFDF4CD}" type="presParOf" srcId="{1CCBE809-8E06-467D-A987-2C7A65567A7A}" destId="{1E28682F-52AC-43C2-ABB7-C79162D52BED}" srcOrd="0" destOrd="0" presId="urn:microsoft.com/office/officeart/2005/8/layout/orgChart1"/>
    <dgm:cxn modelId="{9A47490A-7A69-4019-A32A-82FC5DCCD0B2}" type="presParOf" srcId="{1CCBE809-8E06-467D-A987-2C7A65567A7A}" destId="{9236C20B-643B-4B57-9186-D6C14364F5E9}" srcOrd="1" destOrd="0" presId="urn:microsoft.com/office/officeart/2005/8/layout/orgChart1"/>
    <dgm:cxn modelId="{DF0DB887-D3D7-4C49-A265-3D37B0E854B3}" type="presParOf" srcId="{682D7D52-A800-4943-80A3-B8E571485F7B}" destId="{E04435A1-08C0-42AB-8889-1CC49E468967}" srcOrd="1" destOrd="0" presId="urn:microsoft.com/office/officeart/2005/8/layout/orgChart1"/>
    <dgm:cxn modelId="{DBD36189-2F5F-43B3-BD7B-AA274218DE50}" type="presParOf" srcId="{E04435A1-08C0-42AB-8889-1CC49E468967}" destId="{D3F2DED7-FC9E-4E4F-ACAB-A3BE23FD7955}" srcOrd="0" destOrd="0" presId="urn:microsoft.com/office/officeart/2005/8/layout/orgChart1"/>
    <dgm:cxn modelId="{2FC66B42-1F94-4F7E-A72C-9D96216D23FF}" type="presParOf" srcId="{E04435A1-08C0-42AB-8889-1CC49E468967}" destId="{41CD8DA5-BF5B-419B-92EE-CE4D856E9394}" srcOrd="1" destOrd="0" presId="urn:microsoft.com/office/officeart/2005/8/layout/orgChart1"/>
    <dgm:cxn modelId="{470CB340-95FC-4AE4-ABB3-03FAC3961900}" type="presParOf" srcId="{41CD8DA5-BF5B-419B-92EE-CE4D856E9394}" destId="{05C6DDE6-FCD3-49A9-BA23-A1DCA7EBC7F7}" srcOrd="0" destOrd="0" presId="urn:microsoft.com/office/officeart/2005/8/layout/orgChart1"/>
    <dgm:cxn modelId="{73C6AD9E-1B7F-489E-9B79-D7CC9D22E71E}" type="presParOf" srcId="{05C6DDE6-FCD3-49A9-BA23-A1DCA7EBC7F7}" destId="{ABB9D037-8796-460B-96A0-6AAF36EF2F9F}" srcOrd="0" destOrd="0" presId="urn:microsoft.com/office/officeart/2005/8/layout/orgChart1"/>
    <dgm:cxn modelId="{E59B4B27-7CEC-4078-A5E7-57B14041047C}" type="presParOf" srcId="{05C6DDE6-FCD3-49A9-BA23-A1DCA7EBC7F7}" destId="{A8654CC7-4852-4ADF-8354-4A390A815DFA}" srcOrd="1" destOrd="0" presId="urn:microsoft.com/office/officeart/2005/8/layout/orgChart1"/>
    <dgm:cxn modelId="{7B546D87-776B-4F57-882B-98FC5B996D97}" type="presParOf" srcId="{41CD8DA5-BF5B-419B-92EE-CE4D856E9394}" destId="{A0E841DE-652E-413F-ACEC-B40056F8C788}" srcOrd="1" destOrd="0" presId="urn:microsoft.com/office/officeart/2005/8/layout/orgChart1"/>
    <dgm:cxn modelId="{92D9B385-73CE-46F4-B235-16B86D0306FD}" type="presParOf" srcId="{41CD8DA5-BF5B-419B-92EE-CE4D856E9394}" destId="{A4A5DEAD-6306-4F2B-B497-B0C6098DBB3D}" srcOrd="2" destOrd="0" presId="urn:microsoft.com/office/officeart/2005/8/layout/orgChart1"/>
    <dgm:cxn modelId="{AC7948E8-FC41-4F57-8F05-DDC9E60C66CF}" type="presParOf" srcId="{E04435A1-08C0-42AB-8889-1CC49E468967}" destId="{2AEDF909-23B6-4F59-A5ED-1E2ED8518C1A}" srcOrd="2" destOrd="0" presId="urn:microsoft.com/office/officeart/2005/8/layout/orgChart1"/>
    <dgm:cxn modelId="{07594D8B-AFEB-4162-8123-2C2BA43F518B}" type="presParOf" srcId="{E04435A1-08C0-42AB-8889-1CC49E468967}" destId="{2F0FE92B-4D9F-42D3-A3B7-11CC22BD75B9}" srcOrd="3" destOrd="0" presId="urn:microsoft.com/office/officeart/2005/8/layout/orgChart1"/>
    <dgm:cxn modelId="{93B649DD-AD46-49C9-B9E0-C2356A5C3907}" type="presParOf" srcId="{2F0FE92B-4D9F-42D3-A3B7-11CC22BD75B9}" destId="{8C736026-1299-4196-9A7C-F12FD3740A87}" srcOrd="0" destOrd="0" presId="urn:microsoft.com/office/officeart/2005/8/layout/orgChart1"/>
    <dgm:cxn modelId="{742AB7BD-4805-4FD5-9FF3-C86841BF433A}" type="presParOf" srcId="{8C736026-1299-4196-9A7C-F12FD3740A87}" destId="{05515057-879F-4D32-B1FD-AC1C515D5335}" srcOrd="0" destOrd="0" presId="urn:microsoft.com/office/officeart/2005/8/layout/orgChart1"/>
    <dgm:cxn modelId="{141B8018-6940-4407-ABBA-A7A17CC2CA8E}" type="presParOf" srcId="{8C736026-1299-4196-9A7C-F12FD3740A87}" destId="{0DBF7480-E326-4BF3-B412-09A0CCA5288E}" srcOrd="1" destOrd="0" presId="urn:microsoft.com/office/officeart/2005/8/layout/orgChart1"/>
    <dgm:cxn modelId="{88D3E5A6-C60A-49FA-B65D-C54354C620E4}" type="presParOf" srcId="{2F0FE92B-4D9F-42D3-A3B7-11CC22BD75B9}" destId="{B30A9599-8546-4E6E-BA6D-D16329E64769}" srcOrd="1" destOrd="0" presId="urn:microsoft.com/office/officeart/2005/8/layout/orgChart1"/>
    <dgm:cxn modelId="{38F65A13-C4DB-4F98-AA87-AFD04B19F8D9}" type="presParOf" srcId="{2F0FE92B-4D9F-42D3-A3B7-11CC22BD75B9}" destId="{DA1E4F69-C32C-4403-B03E-1E931D9D489B}" srcOrd="2" destOrd="0" presId="urn:microsoft.com/office/officeart/2005/8/layout/orgChart1"/>
    <dgm:cxn modelId="{9DF1070D-3B93-4F8B-B736-12C7733AE425}" type="presParOf" srcId="{E04435A1-08C0-42AB-8889-1CC49E468967}" destId="{B37BD691-E19F-4907-8CAD-315DB76B54FB}" srcOrd="4" destOrd="0" presId="urn:microsoft.com/office/officeart/2005/8/layout/orgChart1"/>
    <dgm:cxn modelId="{8D0777E7-AEBF-4F1E-8415-6078F3A4995A}" type="presParOf" srcId="{E04435A1-08C0-42AB-8889-1CC49E468967}" destId="{A08177EE-711E-41E5-8626-80604034D64F}" srcOrd="5" destOrd="0" presId="urn:microsoft.com/office/officeart/2005/8/layout/orgChart1"/>
    <dgm:cxn modelId="{C30CCE92-1A4D-4600-8D1E-EE8DEC3D3910}" type="presParOf" srcId="{A08177EE-711E-41E5-8626-80604034D64F}" destId="{E0D4A5CD-4C13-4FD0-8A51-B8F825DF724F}" srcOrd="0" destOrd="0" presId="urn:microsoft.com/office/officeart/2005/8/layout/orgChart1"/>
    <dgm:cxn modelId="{FD292130-D928-46D7-BC23-8022C9777675}" type="presParOf" srcId="{E0D4A5CD-4C13-4FD0-8A51-B8F825DF724F}" destId="{744FB36E-E12F-45F4-A124-2F6FA6A2574F}" srcOrd="0" destOrd="0" presId="urn:microsoft.com/office/officeart/2005/8/layout/orgChart1"/>
    <dgm:cxn modelId="{1F1FD2F3-B0F4-4895-ACED-18D9B45FFF4F}" type="presParOf" srcId="{E0D4A5CD-4C13-4FD0-8A51-B8F825DF724F}" destId="{09EBD14B-ECE0-4DC3-859E-405BD49D78B6}" srcOrd="1" destOrd="0" presId="urn:microsoft.com/office/officeart/2005/8/layout/orgChart1"/>
    <dgm:cxn modelId="{106A234D-77BB-4B68-8617-1B9B019432BB}" type="presParOf" srcId="{A08177EE-711E-41E5-8626-80604034D64F}" destId="{2AFAB427-F4B4-4D2B-A390-403F99C1FAB8}" srcOrd="1" destOrd="0" presId="urn:microsoft.com/office/officeart/2005/8/layout/orgChart1"/>
    <dgm:cxn modelId="{13402CDE-8903-44F7-9257-D702E26EA889}" type="presParOf" srcId="{A08177EE-711E-41E5-8626-80604034D64F}" destId="{C04239BF-C36B-475A-89BF-15137352AF6A}" srcOrd="2" destOrd="0" presId="urn:microsoft.com/office/officeart/2005/8/layout/orgChart1"/>
    <dgm:cxn modelId="{917A3737-F68F-4059-B074-A873432A7527}" type="presParOf" srcId="{E04435A1-08C0-42AB-8889-1CC49E468967}" destId="{E6CDE11D-F6BE-4B15-92B5-33A9EA5E9BD0}" srcOrd="6" destOrd="0" presId="urn:microsoft.com/office/officeart/2005/8/layout/orgChart1"/>
    <dgm:cxn modelId="{FCBDC006-D1B9-49DA-B593-7A8DCC9F534B}" type="presParOf" srcId="{E04435A1-08C0-42AB-8889-1CC49E468967}" destId="{C11D0BEE-5010-4131-B654-4D48C7E3C18F}" srcOrd="7" destOrd="0" presId="urn:microsoft.com/office/officeart/2005/8/layout/orgChart1"/>
    <dgm:cxn modelId="{2B3AE98A-3893-4664-8CE9-06801276EB10}" type="presParOf" srcId="{C11D0BEE-5010-4131-B654-4D48C7E3C18F}" destId="{6FFCC8BA-76E5-4714-8CEF-5A754694CA32}" srcOrd="0" destOrd="0" presId="urn:microsoft.com/office/officeart/2005/8/layout/orgChart1"/>
    <dgm:cxn modelId="{B853C133-F447-4934-8120-23EAB472B15C}" type="presParOf" srcId="{6FFCC8BA-76E5-4714-8CEF-5A754694CA32}" destId="{99F8C092-F51A-4F34-92D9-4E8BDC051C7D}" srcOrd="0" destOrd="0" presId="urn:microsoft.com/office/officeart/2005/8/layout/orgChart1"/>
    <dgm:cxn modelId="{8F5CE7E8-1A1E-490E-BA8A-EE761CE9E087}" type="presParOf" srcId="{6FFCC8BA-76E5-4714-8CEF-5A754694CA32}" destId="{EB1B5205-9015-4658-8774-A042A0067816}" srcOrd="1" destOrd="0" presId="urn:microsoft.com/office/officeart/2005/8/layout/orgChart1"/>
    <dgm:cxn modelId="{85783910-A6EE-456D-81A7-05E5DD077CAE}" type="presParOf" srcId="{C11D0BEE-5010-4131-B654-4D48C7E3C18F}" destId="{6862B5B2-5F9B-4BE7-BBC9-6E75C96EE790}" srcOrd="1" destOrd="0" presId="urn:microsoft.com/office/officeart/2005/8/layout/orgChart1"/>
    <dgm:cxn modelId="{E855482F-E065-4D03-B846-0C90503A184F}" type="presParOf" srcId="{C11D0BEE-5010-4131-B654-4D48C7E3C18F}" destId="{1BEB2079-3B95-4370-9299-C9B958F91072}" srcOrd="2" destOrd="0" presId="urn:microsoft.com/office/officeart/2005/8/layout/orgChart1"/>
    <dgm:cxn modelId="{382C746E-9459-4F66-9FD6-8624BA8BBA80}" type="presParOf" srcId="{682D7D52-A800-4943-80A3-B8E571485F7B}" destId="{429E14FF-8A0A-4E02-A891-01FB2357F631}" srcOrd="2" destOrd="0" presId="urn:microsoft.com/office/officeart/2005/8/layout/orgChart1"/>
    <dgm:cxn modelId="{E0E3E168-FEBE-4F1B-8688-0D3502FE2672}" type="presParOf" srcId="{FA7C2C6C-F45F-46AC-A6B0-8CA8100CA6AD}" destId="{160A687B-F52D-4ECC-84D7-778803A55C2F}" srcOrd="2" destOrd="0" presId="urn:microsoft.com/office/officeart/2005/8/layout/orgChart1"/>
    <dgm:cxn modelId="{7FE060B7-0667-4DE2-9B89-76ADE1415AAF}" type="presParOf" srcId="{FA7C2C6C-F45F-46AC-A6B0-8CA8100CA6AD}" destId="{58A40BAD-DB21-4244-B11C-F96FA5D53454}" srcOrd="3" destOrd="0" presId="urn:microsoft.com/office/officeart/2005/8/layout/orgChart1"/>
    <dgm:cxn modelId="{E22205DB-107F-4D72-BCCD-241B9EA0AE5E}" type="presParOf" srcId="{58A40BAD-DB21-4244-B11C-F96FA5D53454}" destId="{3575EF1C-FD4A-4943-AE15-12136D1F8D75}" srcOrd="0" destOrd="0" presId="urn:microsoft.com/office/officeart/2005/8/layout/orgChart1"/>
    <dgm:cxn modelId="{208B21CF-1390-4483-936E-9C3C4585487D}" type="presParOf" srcId="{3575EF1C-FD4A-4943-AE15-12136D1F8D75}" destId="{1555B2B0-29B0-434E-A2CA-52294FACCBD2}" srcOrd="0" destOrd="0" presId="urn:microsoft.com/office/officeart/2005/8/layout/orgChart1"/>
    <dgm:cxn modelId="{761BEC18-38CB-48B7-9026-7389F8B8B3D9}" type="presParOf" srcId="{3575EF1C-FD4A-4943-AE15-12136D1F8D75}" destId="{5E609DD9-901C-4CFC-9B7C-847129D6F8EE}" srcOrd="1" destOrd="0" presId="urn:microsoft.com/office/officeart/2005/8/layout/orgChart1"/>
    <dgm:cxn modelId="{8651F0BA-BD0F-423C-96C0-72538AF5AF97}" type="presParOf" srcId="{58A40BAD-DB21-4244-B11C-F96FA5D53454}" destId="{F8E9B394-B996-4BDE-BE47-FF40F9049B4E}" srcOrd="1" destOrd="0" presId="urn:microsoft.com/office/officeart/2005/8/layout/orgChart1"/>
    <dgm:cxn modelId="{041C58BE-0095-41F3-B068-4B31EFD3B6BC}" type="presParOf" srcId="{F8E9B394-B996-4BDE-BE47-FF40F9049B4E}" destId="{9F64B4C7-08C2-4F6C-B527-EE2F2E561C0D}" srcOrd="0" destOrd="0" presId="urn:microsoft.com/office/officeart/2005/8/layout/orgChart1"/>
    <dgm:cxn modelId="{5D00F66C-7832-49FE-BA6A-8B6D4F58D8EB}" type="presParOf" srcId="{F8E9B394-B996-4BDE-BE47-FF40F9049B4E}" destId="{19CF98C0-2F4A-40C9-A551-418A2C0F7B43}" srcOrd="1" destOrd="0" presId="urn:microsoft.com/office/officeart/2005/8/layout/orgChart1"/>
    <dgm:cxn modelId="{FA247F9F-E653-4A54-BB73-27144C0166B4}" type="presParOf" srcId="{19CF98C0-2F4A-40C9-A551-418A2C0F7B43}" destId="{7D7995DD-409B-469B-9FE2-0972F2F275B0}" srcOrd="0" destOrd="0" presId="urn:microsoft.com/office/officeart/2005/8/layout/orgChart1"/>
    <dgm:cxn modelId="{5F51246A-FF2C-441D-97A6-3A552263F4E9}" type="presParOf" srcId="{7D7995DD-409B-469B-9FE2-0972F2F275B0}" destId="{96936B64-CA0D-4811-9939-4915B8AA7DB9}" srcOrd="0" destOrd="0" presId="urn:microsoft.com/office/officeart/2005/8/layout/orgChart1"/>
    <dgm:cxn modelId="{75BD202B-F30D-4B29-82DA-C277B40B6A9C}" type="presParOf" srcId="{7D7995DD-409B-469B-9FE2-0972F2F275B0}" destId="{18689CA0-8D2E-4942-BCB7-2701D398C3F4}" srcOrd="1" destOrd="0" presId="urn:microsoft.com/office/officeart/2005/8/layout/orgChart1"/>
    <dgm:cxn modelId="{6B02586C-0F71-46F0-A75A-1198CD157F7F}" type="presParOf" srcId="{19CF98C0-2F4A-40C9-A551-418A2C0F7B43}" destId="{C54432A1-0D14-4AD4-BDAE-A1F94AFAD097}" srcOrd="1" destOrd="0" presId="urn:microsoft.com/office/officeart/2005/8/layout/orgChart1"/>
    <dgm:cxn modelId="{D000705D-17EB-4F8A-9FFB-751A4564BF67}" type="presParOf" srcId="{19CF98C0-2F4A-40C9-A551-418A2C0F7B43}" destId="{66246212-08A3-4412-9C87-E27ECC59ADF1}" srcOrd="2" destOrd="0" presId="urn:microsoft.com/office/officeart/2005/8/layout/orgChart1"/>
    <dgm:cxn modelId="{A5D038E2-9A6E-43F0-A61F-24B2B79D70A9}" type="presParOf" srcId="{F8E9B394-B996-4BDE-BE47-FF40F9049B4E}" destId="{A87CD187-2D44-45DF-9425-B838B007328D}" srcOrd="2" destOrd="0" presId="urn:microsoft.com/office/officeart/2005/8/layout/orgChart1"/>
    <dgm:cxn modelId="{EB23C842-EAF0-4082-96FA-BE5C3B7C3346}" type="presParOf" srcId="{F8E9B394-B996-4BDE-BE47-FF40F9049B4E}" destId="{C3077A0F-6BE3-430A-989B-BAFC098A62E4}" srcOrd="3" destOrd="0" presId="urn:microsoft.com/office/officeart/2005/8/layout/orgChart1"/>
    <dgm:cxn modelId="{B4080345-2157-4CAC-B535-010DFBDB2B29}" type="presParOf" srcId="{C3077A0F-6BE3-430A-989B-BAFC098A62E4}" destId="{1E3EFD99-08E8-4CBE-8D54-24294296558D}" srcOrd="0" destOrd="0" presId="urn:microsoft.com/office/officeart/2005/8/layout/orgChart1"/>
    <dgm:cxn modelId="{81E0E417-E6ED-48E6-9ECC-59A4646FAED6}" type="presParOf" srcId="{1E3EFD99-08E8-4CBE-8D54-24294296558D}" destId="{2D75D107-2F00-45E5-B669-EF8F07C24287}" srcOrd="0" destOrd="0" presId="urn:microsoft.com/office/officeart/2005/8/layout/orgChart1"/>
    <dgm:cxn modelId="{44B1E6EE-6EC9-4FAF-B046-53F8052C1BC1}" type="presParOf" srcId="{1E3EFD99-08E8-4CBE-8D54-24294296558D}" destId="{77CC547D-99BC-4E1D-B4A0-45060BD9D2A7}" srcOrd="1" destOrd="0" presId="urn:microsoft.com/office/officeart/2005/8/layout/orgChart1"/>
    <dgm:cxn modelId="{7A8E7DD1-6551-4239-9D3E-C94B511E0D04}" type="presParOf" srcId="{C3077A0F-6BE3-430A-989B-BAFC098A62E4}" destId="{64D1FC97-C80F-4E50-A18C-76EAB2C41941}" srcOrd="1" destOrd="0" presId="urn:microsoft.com/office/officeart/2005/8/layout/orgChart1"/>
    <dgm:cxn modelId="{D67F2F83-9E29-4AFF-AD0C-84A4895DD39D}" type="presParOf" srcId="{C3077A0F-6BE3-430A-989B-BAFC098A62E4}" destId="{FC08497A-A698-48C0-8F7B-505C6A78550F}" srcOrd="2" destOrd="0" presId="urn:microsoft.com/office/officeart/2005/8/layout/orgChart1"/>
    <dgm:cxn modelId="{82F80BEE-09D1-430B-9AF0-4FB22EA3ACB0}" type="presParOf" srcId="{F8E9B394-B996-4BDE-BE47-FF40F9049B4E}" destId="{3FDF4BA8-72F4-41C1-A973-28182216429F}" srcOrd="4" destOrd="0" presId="urn:microsoft.com/office/officeart/2005/8/layout/orgChart1"/>
    <dgm:cxn modelId="{A69B2CB8-9B6C-49B9-A42E-AA55959FAAB4}" type="presParOf" srcId="{F8E9B394-B996-4BDE-BE47-FF40F9049B4E}" destId="{91374A1F-E642-4DE8-AF94-B4464BF157FC}" srcOrd="5" destOrd="0" presId="urn:microsoft.com/office/officeart/2005/8/layout/orgChart1"/>
    <dgm:cxn modelId="{3EA8042A-2B9D-4A0A-9031-0157E9701D7A}" type="presParOf" srcId="{91374A1F-E642-4DE8-AF94-B4464BF157FC}" destId="{1B652140-ED05-44B5-83C8-370E98344B51}" srcOrd="0" destOrd="0" presId="urn:microsoft.com/office/officeart/2005/8/layout/orgChart1"/>
    <dgm:cxn modelId="{22173372-4EDE-4D8A-A2FC-854967E23ADF}" type="presParOf" srcId="{1B652140-ED05-44B5-83C8-370E98344B51}" destId="{20152BF7-67C9-485D-9159-22D20F9A13E1}" srcOrd="0" destOrd="0" presId="urn:microsoft.com/office/officeart/2005/8/layout/orgChart1"/>
    <dgm:cxn modelId="{E45494F1-F41C-4BA2-9CF2-DC4B873FEE6D}" type="presParOf" srcId="{1B652140-ED05-44B5-83C8-370E98344B51}" destId="{4A11AB61-B626-4239-8180-699C32BA77BD}" srcOrd="1" destOrd="0" presId="urn:microsoft.com/office/officeart/2005/8/layout/orgChart1"/>
    <dgm:cxn modelId="{BCBC9061-2BD5-44BE-BC78-59F9804D86CB}" type="presParOf" srcId="{91374A1F-E642-4DE8-AF94-B4464BF157FC}" destId="{922768CE-F651-4E75-9711-CD47F71A46EF}" srcOrd="1" destOrd="0" presId="urn:microsoft.com/office/officeart/2005/8/layout/orgChart1"/>
    <dgm:cxn modelId="{A7414DBD-AD0E-448B-B11C-AF8FFC719238}" type="presParOf" srcId="{91374A1F-E642-4DE8-AF94-B4464BF157FC}" destId="{48FFB42C-D6DD-43A2-8626-4192B03802D6}" srcOrd="2" destOrd="0" presId="urn:microsoft.com/office/officeart/2005/8/layout/orgChart1"/>
    <dgm:cxn modelId="{CB6DED01-9601-4E54-A57D-F5A09595917B}" type="presParOf" srcId="{F8E9B394-B996-4BDE-BE47-FF40F9049B4E}" destId="{D303C0BA-5A1C-47C3-A39D-4F4E1BD8F6F5}" srcOrd="6" destOrd="0" presId="urn:microsoft.com/office/officeart/2005/8/layout/orgChart1"/>
    <dgm:cxn modelId="{BC6E7D90-2E89-4B1D-B5CF-1C1837507C9B}" type="presParOf" srcId="{F8E9B394-B996-4BDE-BE47-FF40F9049B4E}" destId="{43BA02E0-B448-4456-9000-9198C07E8EAB}" srcOrd="7" destOrd="0" presId="urn:microsoft.com/office/officeart/2005/8/layout/orgChart1"/>
    <dgm:cxn modelId="{429518ED-0C56-4D91-9D40-205447403CCF}" type="presParOf" srcId="{43BA02E0-B448-4456-9000-9198C07E8EAB}" destId="{1DE3445B-D404-40B9-9F38-F02CC625B63F}" srcOrd="0" destOrd="0" presId="urn:microsoft.com/office/officeart/2005/8/layout/orgChart1"/>
    <dgm:cxn modelId="{E9B626B9-11C2-491B-90BD-D03DD19FEEFA}" type="presParOf" srcId="{1DE3445B-D404-40B9-9F38-F02CC625B63F}" destId="{92AD38E5-660E-4B2A-B6D2-C43F8FCBF38E}" srcOrd="0" destOrd="0" presId="urn:microsoft.com/office/officeart/2005/8/layout/orgChart1"/>
    <dgm:cxn modelId="{C80BF78E-1A93-4382-B06A-7CD7CEB0EA33}" type="presParOf" srcId="{1DE3445B-D404-40B9-9F38-F02CC625B63F}" destId="{D5EAAEE3-2037-47D7-8F7F-8CEEA2305D56}" srcOrd="1" destOrd="0" presId="urn:microsoft.com/office/officeart/2005/8/layout/orgChart1"/>
    <dgm:cxn modelId="{37A56E3E-5155-4CE5-84DF-DF13843D75ED}" type="presParOf" srcId="{43BA02E0-B448-4456-9000-9198C07E8EAB}" destId="{10B1B8AB-F09B-49C2-B9F1-86E234E468A9}" srcOrd="1" destOrd="0" presId="urn:microsoft.com/office/officeart/2005/8/layout/orgChart1"/>
    <dgm:cxn modelId="{D9BC5E6A-79A8-47B6-A315-A4568FA2322B}" type="presParOf" srcId="{43BA02E0-B448-4456-9000-9198C07E8EAB}" destId="{A5F6D24E-09C9-4E81-A6A3-451457E8957E}" srcOrd="2" destOrd="0" presId="urn:microsoft.com/office/officeart/2005/8/layout/orgChart1"/>
    <dgm:cxn modelId="{E4DAF3BF-5FAA-490D-B283-AC9E80ACCE56}" type="presParOf" srcId="{F8E9B394-B996-4BDE-BE47-FF40F9049B4E}" destId="{C6679017-1444-4DA5-9AD1-8E3FAF926A86}" srcOrd="8" destOrd="0" presId="urn:microsoft.com/office/officeart/2005/8/layout/orgChart1"/>
    <dgm:cxn modelId="{D05CA7A6-FB0A-4880-BD24-67D8915598F3}" type="presParOf" srcId="{F8E9B394-B996-4BDE-BE47-FF40F9049B4E}" destId="{6C57D3FA-57BE-4BAC-A634-C6F828B04D2E}" srcOrd="9" destOrd="0" presId="urn:microsoft.com/office/officeart/2005/8/layout/orgChart1"/>
    <dgm:cxn modelId="{492B2EF4-E856-4560-ABA9-036C6E443018}" type="presParOf" srcId="{6C57D3FA-57BE-4BAC-A634-C6F828B04D2E}" destId="{818979A8-886E-435C-9C97-32B9108BD436}" srcOrd="0" destOrd="0" presId="urn:microsoft.com/office/officeart/2005/8/layout/orgChart1"/>
    <dgm:cxn modelId="{F5934FE2-7CE9-4BFD-804B-49FBECC7D347}" type="presParOf" srcId="{818979A8-886E-435C-9C97-32B9108BD436}" destId="{5DFA9135-E288-456F-BC6E-88CDBCF553F0}" srcOrd="0" destOrd="0" presId="urn:microsoft.com/office/officeart/2005/8/layout/orgChart1"/>
    <dgm:cxn modelId="{69C18B8D-8BCD-460F-88EE-81465B5D0AE5}" type="presParOf" srcId="{818979A8-886E-435C-9C97-32B9108BD436}" destId="{2C812C6B-36EF-48DE-B36E-5B30A434F78B}" srcOrd="1" destOrd="0" presId="urn:microsoft.com/office/officeart/2005/8/layout/orgChart1"/>
    <dgm:cxn modelId="{C7CA50E3-7C75-428F-BF9A-D3C77EA101B8}" type="presParOf" srcId="{6C57D3FA-57BE-4BAC-A634-C6F828B04D2E}" destId="{609DE73F-B650-4BCD-8C44-A0CB3E93E1EA}" srcOrd="1" destOrd="0" presId="urn:microsoft.com/office/officeart/2005/8/layout/orgChart1"/>
    <dgm:cxn modelId="{40095D01-4572-43EE-97F5-174C2F9311C5}" type="presParOf" srcId="{6C57D3FA-57BE-4BAC-A634-C6F828B04D2E}" destId="{18B6A6CB-890A-4977-967B-9726C81896A2}" srcOrd="2" destOrd="0" presId="urn:microsoft.com/office/officeart/2005/8/layout/orgChart1"/>
    <dgm:cxn modelId="{EAC6D391-C08A-482E-BEFE-0FBE34219FA4}" type="presParOf" srcId="{58A40BAD-DB21-4244-B11C-F96FA5D53454}" destId="{49731F93-6205-43C4-83EA-9A39BAC6E481}" srcOrd="2" destOrd="0" presId="urn:microsoft.com/office/officeart/2005/8/layout/orgChart1"/>
    <dgm:cxn modelId="{BBFFD07B-0189-4924-906A-FAED6AA62C10}" type="presParOf" srcId="{BFDA7B4F-5DA3-48EB-90E9-80CCEF8A65C0}" destId="{E03FD790-8D60-4E2B-A6DF-70F0E270AD8F}"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79017-1444-4DA5-9AD1-8E3FAF926A86}">
      <dsp:nvSpPr>
        <dsp:cNvPr id="0" name=""/>
        <dsp:cNvSpPr/>
      </dsp:nvSpPr>
      <dsp:spPr>
        <a:xfrm>
          <a:off x="4580626" y="961558"/>
          <a:ext cx="118959" cy="2617107"/>
        </a:xfrm>
        <a:custGeom>
          <a:avLst/>
          <a:gdLst/>
          <a:ahLst/>
          <a:cxnLst/>
          <a:rect l="0" t="0" r="0" b="0"/>
          <a:pathLst>
            <a:path>
              <a:moveTo>
                <a:pt x="0" y="0"/>
              </a:moveTo>
              <a:lnTo>
                <a:pt x="0" y="2617107"/>
              </a:lnTo>
              <a:lnTo>
                <a:pt x="118959" y="261710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303C0BA-5A1C-47C3-A39D-4F4E1BD8F6F5}">
      <dsp:nvSpPr>
        <dsp:cNvPr id="0" name=""/>
        <dsp:cNvSpPr/>
      </dsp:nvSpPr>
      <dsp:spPr>
        <a:xfrm>
          <a:off x="4580626" y="961558"/>
          <a:ext cx="118959" cy="2054032"/>
        </a:xfrm>
        <a:custGeom>
          <a:avLst/>
          <a:gdLst/>
          <a:ahLst/>
          <a:cxnLst/>
          <a:rect l="0" t="0" r="0" b="0"/>
          <a:pathLst>
            <a:path>
              <a:moveTo>
                <a:pt x="0" y="0"/>
              </a:moveTo>
              <a:lnTo>
                <a:pt x="0" y="2054032"/>
              </a:lnTo>
              <a:lnTo>
                <a:pt x="118959" y="2054032"/>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3FDF4BA8-72F4-41C1-A973-28182216429F}">
      <dsp:nvSpPr>
        <dsp:cNvPr id="0" name=""/>
        <dsp:cNvSpPr/>
      </dsp:nvSpPr>
      <dsp:spPr>
        <a:xfrm>
          <a:off x="4580626" y="961558"/>
          <a:ext cx="118959" cy="1490958"/>
        </a:xfrm>
        <a:custGeom>
          <a:avLst/>
          <a:gdLst/>
          <a:ahLst/>
          <a:cxnLst/>
          <a:rect l="0" t="0" r="0" b="0"/>
          <a:pathLst>
            <a:path>
              <a:moveTo>
                <a:pt x="0" y="0"/>
              </a:moveTo>
              <a:lnTo>
                <a:pt x="0" y="1490958"/>
              </a:lnTo>
              <a:lnTo>
                <a:pt x="118959" y="149095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87CD187-2D44-45DF-9425-B838B007328D}">
      <dsp:nvSpPr>
        <dsp:cNvPr id="0" name=""/>
        <dsp:cNvSpPr/>
      </dsp:nvSpPr>
      <dsp:spPr>
        <a:xfrm>
          <a:off x="4580626" y="961558"/>
          <a:ext cx="118959" cy="927883"/>
        </a:xfrm>
        <a:custGeom>
          <a:avLst/>
          <a:gdLst/>
          <a:ahLst/>
          <a:cxnLst/>
          <a:rect l="0" t="0" r="0" b="0"/>
          <a:pathLst>
            <a:path>
              <a:moveTo>
                <a:pt x="0" y="0"/>
              </a:moveTo>
              <a:lnTo>
                <a:pt x="0" y="927883"/>
              </a:lnTo>
              <a:lnTo>
                <a:pt x="118959" y="92788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F64B4C7-08C2-4F6C-B527-EE2F2E561C0D}">
      <dsp:nvSpPr>
        <dsp:cNvPr id="0" name=""/>
        <dsp:cNvSpPr/>
      </dsp:nvSpPr>
      <dsp:spPr>
        <a:xfrm>
          <a:off x="4580626" y="961558"/>
          <a:ext cx="118959" cy="364808"/>
        </a:xfrm>
        <a:custGeom>
          <a:avLst/>
          <a:gdLst/>
          <a:ahLst/>
          <a:cxnLst/>
          <a:rect l="0" t="0" r="0" b="0"/>
          <a:pathLst>
            <a:path>
              <a:moveTo>
                <a:pt x="0" y="0"/>
              </a:moveTo>
              <a:lnTo>
                <a:pt x="0" y="364808"/>
              </a:lnTo>
              <a:lnTo>
                <a:pt x="118959" y="36480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60A687B-F52D-4ECC-84D7-778803A55C2F}">
      <dsp:nvSpPr>
        <dsp:cNvPr id="0" name=""/>
        <dsp:cNvSpPr/>
      </dsp:nvSpPr>
      <dsp:spPr>
        <a:xfrm>
          <a:off x="3797476" y="398484"/>
          <a:ext cx="1100374" cy="166543"/>
        </a:xfrm>
        <a:custGeom>
          <a:avLst/>
          <a:gdLst/>
          <a:ahLst/>
          <a:cxnLst/>
          <a:rect l="0" t="0" r="0" b="0"/>
          <a:pathLst>
            <a:path>
              <a:moveTo>
                <a:pt x="0" y="0"/>
              </a:moveTo>
              <a:lnTo>
                <a:pt x="0" y="83271"/>
              </a:lnTo>
              <a:lnTo>
                <a:pt x="1100374" y="83271"/>
              </a:lnTo>
              <a:lnTo>
                <a:pt x="1100374" y="16654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6CDE11D-F6BE-4B15-92B5-33A9EA5E9BD0}">
      <dsp:nvSpPr>
        <dsp:cNvPr id="0" name=""/>
        <dsp:cNvSpPr/>
      </dsp:nvSpPr>
      <dsp:spPr>
        <a:xfrm>
          <a:off x="2650898" y="950614"/>
          <a:ext cx="1485612" cy="177487"/>
        </a:xfrm>
        <a:custGeom>
          <a:avLst/>
          <a:gdLst/>
          <a:ahLst/>
          <a:cxnLst/>
          <a:rect l="0" t="0" r="0" b="0"/>
          <a:pathLst>
            <a:path>
              <a:moveTo>
                <a:pt x="0" y="0"/>
              </a:moveTo>
              <a:lnTo>
                <a:pt x="0" y="94215"/>
              </a:lnTo>
              <a:lnTo>
                <a:pt x="1485612" y="94215"/>
              </a:lnTo>
              <a:lnTo>
                <a:pt x="1485612" y="17748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37BD691-E19F-4907-8CAD-315DB76B54FB}">
      <dsp:nvSpPr>
        <dsp:cNvPr id="0" name=""/>
        <dsp:cNvSpPr/>
      </dsp:nvSpPr>
      <dsp:spPr>
        <a:xfrm>
          <a:off x="2650898" y="950614"/>
          <a:ext cx="526006" cy="177487"/>
        </a:xfrm>
        <a:custGeom>
          <a:avLst/>
          <a:gdLst/>
          <a:ahLst/>
          <a:cxnLst/>
          <a:rect l="0" t="0" r="0" b="0"/>
          <a:pathLst>
            <a:path>
              <a:moveTo>
                <a:pt x="0" y="0"/>
              </a:moveTo>
              <a:lnTo>
                <a:pt x="0" y="94215"/>
              </a:lnTo>
              <a:lnTo>
                <a:pt x="526006" y="94215"/>
              </a:lnTo>
              <a:lnTo>
                <a:pt x="526006" y="17748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AEDF909-23B6-4F59-A5ED-1E2ED8518C1A}">
      <dsp:nvSpPr>
        <dsp:cNvPr id="0" name=""/>
        <dsp:cNvSpPr/>
      </dsp:nvSpPr>
      <dsp:spPr>
        <a:xfrm>
          <a:off x="2217298" y="950614"/>
          <a:ext cx="433599" cy="177487"/>
        </a:xfrm>
        <a:custGeom>
          <a:avLst/>
          <a:gdLst/>
          <a:ahLst/>
          <a:cxnLst/>
          <a:rect l="0" t="0" r="0" b="0"/>
          <a:pathLst>
            <a:path>
              <a:moveTo>
                <a:pt x="433599" y="0"/>
              </a:moveTo>
              <a:lnTo>
                <a:pt x="433599" y="94215"/>
              </a:lnTo>
              <a:lnTo>
                <a:pt x="0" y="94215"/>
              </a:lnTo>
              <a:lnTo>
                <a:pt x="0" y="1774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2DED7-FC9E-4E4F-ACAB-A3BE23FD7955}">
      <dsp:nvSpPr>
        <dsp:cNvPr id="0" name=""/>
        <dsp:cNvSpPr/>
      </dsp:nvSpPr>
      <dsp:spPr>
        <a:xfrm>
          <a:off x="1257692" y="950614"/>
          <a:ext cx="1393205" cy="177487"/>
        </a:xfrm>
        <a:custGeom>
          <a:avLst/>
          <a:gdLst/>
          <a:ahLst/>
          <a:cxnLst/>
          <a:rect l="0" t="0" r="0" b="0"/>
          <a:pathLst>
            <a:path>
              <a:moveTo>
                <a:pt x="1393205" y="0"/>
              </a:moveTo>
              <a:lnTo>
                <a:pt x="1393205" y="94215"/>
              </a:lnTo>
              <a:lnTo>
                <a:pt x="0" y="94215"/>
              </a:lnTo>
              <a:lnTo>
                <a:pt x="0" y="177487"/>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DFA5548-1A1A-4A21-A24A-12A0E15ED902}">
      <dsp:nvSpPr>
        <dsp:cNvPr id="0" name=""/>
        <dsp:cNvSpPr/>
      </dsp:nvSpPr>
      <dsp:spPr>
        <a:xfrm>
          <a:off x="2650898" y="398484"/>
          <a:ext cx="1146578" cy="155598"/>
        </a:xfrm>
        <a:custGeom>
          <a:avLst/>
          <a:gdLst/>
          <a:ahLst/>
          <a:cxnLst/>
          <a:rect l="0" t="0" r="0" b="0"/>
          <a:pathLst>
            <a:path>
              <a:moveTo>
                <a:pt x="1146578" y="0"/>
              </a:moveTo>
              <a:lnTo>
                <a:pt x="1146578" y="72327"/>
              </a:lnTo>
              <a:lnTo>
                <a:pt x="0" y="72327"/>
              </a:lnTo>
              <a:lnTo>
                <a:pt x="0" y="15559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B3E4EA8-888F-425B-85D5-C157098E82F6}">
      <dsp:nvSpPr>
        <dsp:cNvPr id="0" name=""/>
        <dsp:cNvSpPr/>
      </dsp:nvSpPr>
      <dsp:spPr>
        <a:xfrm>
          <a:off x="3400945" y="1952"/>
          <a:ext cx="793062" cy="39653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Generálny riaditeľ</a:t>
          </a:r>
          <a:endParaRPr lang="sk-SK" sz="900" b="1" kern="1200"/>
        </a:p>
      </dsp:txBody>
      <dsp:txXfrm>
        <a:off x="3400945" y="1952"/>
        <a:ext cx="793062" cy="396531"/>
      </dsp:txXfrm>
    </dsp:sp>
    <dsp:sp modelId="{1E28682F-52AC-43C2-ABB7-C79162D52BED}">
      <dsp:nvSpPr>
        <dsp:cNvPr id="0" name=""/>
        <dsp:cNvSpPr/>
      </dsp:nvSpPr>
      <dsp:spPr>
        <a:xfrm>
          <a:off x="2254366" y="554083"/>
          <a:ext cx="793062" cy="396531"/>
        </a:xfrm>
        <a:prstGeom prst="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Útvar GR    (15 zam.)</a:t>
          </a:r>
          <a:endParaRPr lang="sk-SK" sz="900" b="1" kern="1200"/>
        </a:p>
      </dsp:txBody>
      <dsp:txXfrm>
        <a:off x="2254366" y="554083"/>
        <a:ext cx="793062" cy="396531"/>
      </dsp:txXfrm>
    </dsp:sp>
    <dsp:sp modelId="{ABB9D037-8796-460B-96A0-6AAF36EF2F9F}">
      <dsp:nvSpPr>
        <dsp:cNvPr id="0" name=""/>
        <dsp:cNvSpPr/>
      </dsp:nvSpPr>
      <dsp:spPr>
        <a:xfrm>
          <a:off x="861161" y="1128102"/>
          <a:ext cx="793062" cy="39653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Právne</a:t>
          </a:r>
          <a:endParaRPr lang="sk-SK" sz="900" b="1" kern="1200"/>
        </a:p>
      </dsp:txBody>
      <dsp:txXfrm>
        <a:off x="861161" y="1128102"/>
        <a:ext cx="793062" cy="396531"/>
      </dsp:txXfrm>
    </dsp:sp>
    <dsp:sp modelId="{05515057-879F-4D32-B1FD-AC1C515D5335}">
      <dsp:nvSpPr>
        <dsp:cNvPr id="0" name=""/>
        <dsp:cNvSpPr/>
      </dsp:nvSpPr>
      <dsp:spPr>
        <a:xfrm>
          <a:off x="1820767" y="1128102"/>
          <a:ext cx="793062" cy="39653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Energetika</a:t>
          </a:r>
          <a:endParaRPr lang="sk-SK" sz="900" b="1" kern="1200"/>
        </a:p>
      </dsp:txBody>
      <dsp:txXfrm>
        <a:off x="1820767" y="1128102"/>
        <a:ext cx="793062" cy="396531"/>
      </dsp:txXfrm>
    </dsp:sp>
    <dsp:sp modelId="{744FB36E-E12F-45F4-A124-2F6FA6A2574F}">
      <dsp:nvSpPr>
        <dsp:cNvPr id="0" name=""/>
        <dsp:cNvSpPr/>
      </dsp:nvSpPr>
      <dsp:spPr>
        <a:xfrm>
          <a:off x="2780373" y="1128102"/>
          <a:ext cx="793062" cy="39653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Analýza, obchod, marketing</a:t>
          </a:r>
          <a:endParaRPr lang="sk-SK" sz="900" b="1" kern="1200"/>
        </a:p>
      </dsp:txBody>
      <dsp:txXfrm>
        <a:off x="2780373" y="1128102"/>
        <a:ext cx="793062" cy="396531"/>
      </dsp:txXfrm>
    </dsp:sp>
    <dsp:sp modelId="{99F8C092-F51A-4F34-92D9-4E8BDC051C7D}">
      <dsp:nvSpPr>
        <dsp:cNvPr id="0" name=""/>
        <dsp:cNvSpPr/>
      </dsp:nvSpPr>
      <dsp:spPr>
        <a:xfrm>
          <a:off x="3739979" y="1128102"/>
          <a:ext cx="793062" cy="396531"/>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Správa útvaru GR</a:t>
          </a:r>
          <a:endParaRPr lang="sk-SK" sz="900" b="1" kern="1200"/>
        </a:p>
      </dsp:txBody>
      <dsp:txXfrm>
        <a:off x="3739979" y="1128102"/>
        <a:ext cx="793062" cy="396531"/>
      </dsp:txXfrm>
    </dsp:sp>
    <dsp:sp modelId="{1555B2B0-29B0-434E-A2CA-52294FACCBD2}">
      <dsp:nvSpPr>
        <dsp:cNvPr id="0" name=""/>
        <dsp:cNvSpPr/>
      </dsp:nvSpPr>
      <dsp:spPr>
        <a:xfrm>
          <a:off x="4501319" y="565027"/>
          <a:ext cx="793062" cy="396531"/>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1" i="0" u="none" strike="noStrike" kern="1200" baseline="0">
              <a:solidFill>
                <a:srgbClr val="000000"/>
              </a:solidFill>
              <a:latin typeface="Arial" panose="020B0604020202020204" pitchFamily="34" charset="0"/>
            </a:rPr>
            <a:t>Divízie</a:t>
          </a:r>
          <a:endParaRPr lang="sk-SK" sz="900" b="1" kern="1200"/>
        </a:p>
      </dsp:txBody>
      <dsp:txXfrm>
        <a:off x="4501319" y="565027"/>
        <a:ext cx="793062" cy="396531"/>
      </dsp:txXfrm>
    </dsp:sp>
    <dsp:sp modelId="{96936B64-CA0D-4811-9939-4915B8AA7DB9}">
      <dsp:nvSpPr>
        <dsp:cNvPr id="0" name=""/>
        <dsp:cNvSpPr/>
      </dsp:nvSpPr>
      <dsp:spPr>
        <a:xfrm>
          <a:off x="4699585" y="1128102"/>
          <a:ext cx="793062" cy="39653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0" i="0" u="none" strike="noStrike" kern="1200" baseline="0">
              <a:solidFill>
                <a:srgbClr val="000000"/>
              </a:solidFill>
              <a:latin typeface="Arial" panose="020B0604020202020204" pitchFamily="34" charset="0"/>
            </a:rPr>
            <a:t>Ekonomická (19 zam.)</a:t>
          </a:r>
          <a:endParaRPr lang="sk-SK" sz="900" kern="1200"/>
        </a:p>
      </dsp:txBody>
      <dsp:txXfrm>
        <a:off x="4699585" y="1128102"/>
        <a:ext cx="793062" cy="396531"/>
      </dsp:txXfrm>
    </dsp:sp>
    <dsp:sp modelId="{2D75D107-2F00-45E5-B669-EF8F07C24287}">
      <dsp:nvSpPr>
        <dsp:cNvPr id="0" name=""/>
        <dsp:cNvSpPr/>
      </dsp:nvSpPr>
      <dsp:spPr>
        <a:xfrm>
          <a:off x="4699585" y="1691176"/>
          <a:ext cx="793062" cy="39653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0" i="0" u="none" strike="noStrike" kern="1200" baseline="0">
              <a:solidFill>
                <a:srgbClr val="000000"/>
              </a:solidFill>
              <a:latin typeface="Arial" panose="020B0604020202020204" pitchFamily="34" charset="0"/>
            </a:rPr>
            <a:t>Správy majetku       (33 zam.)</a:t>
          </a:r>
          <a:endParaRPr lang="sk-SK" sz="900" kern="1200"/>
        </a:p>
      </dsp:txBody>
      <dsp:txXfrm>
        <a:off x="4699585" y="1691176"/>
        <a:ext cx="793062" cy="396531"/>
      </dsp:txXfrm>
    </dsp:sp>
    <dsp:sp modelId="{20152BF7-67C9-485D-9159-22D20F9A13E1}">
      <dsp:nvSpPr>
        <dsp:cNvPr id="0" name=""/>
        <dsp:cNvSpPr/>
      </dsp:nvSpPr>
      <dsp:spPr>
        <a:xfrm>
          <a:off x="4699585" y="2254251"/>
          <a:ext cx="793062" cy="39653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0" i="0" u="none" strike="noStrike" kern="1200" baseline="0">
              <a:solidFill>
                <a:srgbClr val="000000"/>
              </a:solidFill>
              <a:latin typeface="Arial" panose="020B0604020202020204" pitchFamily="34" charset="0"/>
            </a:rPr>
            <a:t>Výroby a služieb         (49 zam.)</a:t>
          </a:r>
          <a:endParaRPr lang="sk-SK" sz="900" kern="1200"/>
        </a:p>
      </dsp:txBody>
      <dsp:txXfrm>
        <a:off x="4699585" y="2254251"/>
        <a:ext cx="793062" cy="396531"/>
      </dsp:txXfrm>
    </dsp:sp>
    <dsp:sp modelId="{92AD38E5-660E-4B2A-B6D2-C43F8FCBF38E}">
      <dsp:nvSpPr>
        <dsp:cNvPr id="0" name=""/>
        <dsp:cNvSpPr/>
      </dsp:nvSpPr>
      <dsp:spPr>
        <a:xfrm>
          <a:off x="4699585" y="2817326"/>
          <a:ext cx="793062" cy="39653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0" i="0" u="none" strike="noStrike" kern="1200" baseline="0">
              <a:solidFill>
                <a:srgbClr val="000000"/>
              </a:solidFill>
              <a:latin typeface="Arial" panose="020B0604020202020204" pitchFamily="34" charset="0"/>
            </a:rPr>
            <a:t>Služieb rozvoja (14 zam.)</a:t>
          </a:r>
          <a:endParaRPr lang="sk-SK" sz="900" kern="1200"/>
        </a:p>
      </dsp:txBody>
      <dsp:txXfrm>
        <a:off x="4699585" y="2817326"/>
        <a:ext cx="793062" cy="396531"/>
      </dsp:txXfrm>
    </dsp:sp>
    <dsp:sp modelId="{5DFA9135-E288-456F-BC6E-88CDBCF553F0}">
      <dsp:nvSpPr>
        <dsp:cNvPr id="0" name=""/>
        <dsp:cNvSpPr/>
      </dsp:nvSpPr>
      <dsp:spPr>
        <a:xfrm>
          <a:off x="4699585" y="3380400"/>
          <a:ext cx="793062" cy="396531"/>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k-SK" sz="900" b="0" i="0" u="none" strike="noStrike" kern="1200" baseline="0">
              <a:solidFill>
                <a:srgbClr val="000000"/>
              </a:solidFill>
              <a:latin typeface="Arial" panose="020B0604020202020204" pitchFamily="34" charset="0"/>
            </a:rPr>
            <a:t>Tepelného hospodárstva (53 zam.)</a:t>
          </a:r>
          <a:endParaRPr lang="sk-SK" sz="900" kern="1200"/>
        </a:p>
      </dsp:txBody>
      <dsp:txXfrm>
        <a:off x="4699585" y="3380400"/>
        <a:ext cx="793062" cy="3965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E7334-FAF9-4C02-88F9-AAEA067C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36</Pages>
  <Words>8327</Words>
  <Characters>47469</Characters>
  <Application>Microsoft Office Word</Application>
  <DocSecurity>0</DocSecurity>
  <Lines>395</Lines>
  <Paragraphs>111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hozakova</dc:creator>
  <cp:keywords/>
  <dc:description/>
  <cp:lastModifiedBy>Sartorisova Alena</cp:lastModifiedBy>
  <cp:revision>15</cp:revision>
  <dcterms:created xsi:type="dcterms:W3CDTF">2016-03-08T21:39:00Z</dcterms:created>
  <dcterms:modified xsi:type="dcterms:W3CDTF">2017-04-27T11:00:00Z</dcterms:modified>
</cp:coreProperties>
</file>