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C95" w:rsidRDefault="00541C95" w:rsidP="00541C95">
      <w:pPr>
        <w:spacing w:after="0" w:line="240" w:lineRule="auto"/>
        <w:jc w:val="center"/>
        <w:rPr>
          <w:rFonts w:ascii="Times New Roman" w:eastAsia="Times New Roman" w:hAnsi="Times New Roman" w:cs="Times New Roman"/>
          <w:b/>
          <w:sz w:val="28"/>
          <w:szCs w:val="28"/>
          <w:lang w:eastAsia="sk-SK"/>
        </w:rPr>
      </w:pPr>
    </w:p>
    <w:p w:rsidR="00541C95" w:rsidRPr="00541C95" w:rsidRDefault="00541C95" w:rsidP="00541C95">
      <w:pPr>
        <w:spacing w:after="0" w:line="240" w:lineRule="auto"/>
        <w:jc w:val="center"/>
        <w:rPr>
          <w:rFonts w:ascii="Times New Roman" w:eastAsia="Times New Roman" w:hAnsi="Times New Roman" w:cs="Times New Roman"/>
          <w:b/>
          <w:sz w:val="28"/>
          <w:szCs w:val="28"/>
          <w:lang w:eastAsia="sk-SK"/>
        </w:rPr>
      </w:pPr>
      <w:r w:rsidRPr="00541C95">
        <w:rPr>
          <w:rFonts w:ascii="Times New Roman" w:eastAsia="Times New Roman" w:hAnsi="Times New Roman" w:cs="Times New Roman"/>
          <w:b/>
          <w:sz w:val="28"/>
          <w:szCs w:val="28"/>
          <w:lang w:eastAsia="sk-SK"/>
        </w:rPr>
        <w:t xml:space="preserve">Poznámky individuálnej účtovnej závierky </w:t>
      </w:r>
    </w:p>
    <w:p w:rsidR="00541C95" w:rsidRPr="00541C95" w:rsidRDefault="00541C95" w:rsidP="00541C95">
      <w:pPr>
        <w:spacing w:after="0" w:line="240" w:lineRule="auto"/>
        <w:jc w:val="center"/>
        <w:rPr>
          <w:rFonts w:ascii="Times New Roman" w:eastAsia="Times New Roman" w:hAnsi="Times New Roman" w:cs="Times New Roman"/>
          <w:sz w:val="28"/>
          <w:szCs w:val="28"/>
          <w:lang w:eastAsia="sk-SK"/>
        </w:rPr>
      </w:pPr>
      <w:r w:rsidRPr="00541C95">
        <w:rPr>
          <w:rFonts w:ascii="Times New Roman" w:eastAsia="Times New Roman" w:hAnsi="Times New Roman" w:cs="Times New Roman"/>
          <w:b/>
          <w:sz w:val="28"/>
          <w:szCs w:val="28"/>
          <w:lang w:eastAsia="sk-SK"/>
        </w:rPr>
        <w:t xml:space="preserve">zostavenej k 31. decembru </w:t>
      </w:r>
      <w:r>
        <w:rPr>
          <w:rFonts w:ascii="Times New Roman" w:eastAsia="Times New Roman" w:hAnsi="Times New Roman" w:cs="Times New Roman"/>
          <w:b/>
          <w:iCs/>
          <w:sz w:val="28"/>
          <w:szCs w:val="28"/>
          <w:lang w:eastAsia="sk-SK"/>
        </w:rPr>
        <w:t>2016</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keepNext/>
        <w:spacing w:before="60" w:after="240" w:line="240" w:lineRule="auto"/>
        <w:ind w:left="-14"/>
        <w:jc w:val="both"/>
        <w:outlineLvl w:val="0"/>
        <w:rPr>
          <w:rFonts w:ascii="Times New Roman" w:eastAsia="Times New Roman" w:hAnsi="Times New Roman" w:cs="Times New Roman"/>
          <w:b/>
          <w:bCs/>
          <w:kern w:val="32"/>
          <w:sz w:val="24"/>
          <w:szCs w:val="24"/>
          <w:lang w:eastAsia="x-none"/>
        </w:rPr>
      </w:pPr>
      <w:bookmarkStart w:id="0" w:name="OLE_LINK5"/>
      <w:bookmarkStart w:id="1" w:name="OLE_LINK6"/>
      <w:r w:rsidRPr="00541C95">
        <w:rPr>
          <w:rFonts w:ascii="Times New Roman" w:eastAsia="Times New Roman" w:hAnsi="Times New Roman" w:cs="Times New Roman"/>
          <w:b/>
          <w:bCs/>
          <w:kern w:val="32"/>
          <w:sz w:val="24"/>
          <w:szCs w:val="24"/>
          <w:lang w:eastAsia="sk-SK"/>
        </w:rPr>
        <w:t>I.</w:t>
      </w:r>
      <w:bookmarkEnd w:id="0"/>
      <w:bookmarkEnd w:id="1"/>
      <w:r w:rsidRPr="00541C95">
        <w:rPr>
          <w:rFonts w:ascii="Times New Roman" w:eastAsia="Times New Roman" w:hAnsi="Times New Roman" w:cs="Times New Roman"/>
          <w:b/>
          <w:bCs/>
          <w:kern w:val="32"/>
          <w:sz w:val="24"/>
          <w:szCs w:val="24"/>
          <w:lang w:eastAsia="sk-SK"/>
        </w:rPr>
        <w:t xml:space="preserve">      VŠEOBECNÉ ÚDAJE</w:t>
      </w:r>
    </w:p>
    <w:p w:rsidR="00541C95" w:rsidRPr="00541C95" w:rsidRDefault="00541C95" w:rsidP="00541C95">
      <w:pPr>
        <w:keepNext/>
        <w:spacing w:before="60" w:after="240" w:line="240" w:lineRule="auto"/>
        <w:ind w:left="-14"/>
        <w:jc w:val="both"/>
        <w:outlineLvl w:val="0"/>
        <w:rPr>
          <w:rFonts w:ascii="Times New Roman" w:eastAsia="Times New Roman" w:hAnsi="Times New Roman" w:cs="Times New Roman"/>
          <w:b/>
          <w:bCs/>
          <w:kern w:val="32"/>
          <w:lang w:eastAsia="x-none"/>
        </w:rPr>
      </w:pPr>
      <w:r w:rsidRPr="00541C95">
        <w:rPr>
          <w:rFonts w:ascii="Times New Roman" w:eastAsia="Times New Roman" w:hAnsi="Times New Roman" w:cs="Times New Roman"/>
          <w:b/>
          <w:bCs/>
          <w:kern w:val="32"/>
          <w:sz w:val="24"/>
          <w:szCs w:val="24"/>
          <w:lang w:eastAsia="sk-SK"/>
        </w:rPr>
        <w:t>Identifikačné údaje účtovnej jednotky</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Základná škola Jána Amosa Komenského</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Nám. B. Bartóka 497/20, 93201 Veľký Meder</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IČO: 36081060</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 xml:space="preserve">Základná škola Veľký Meder (v ďalšom texte len „Základná škola“) bolo založená v roku 1998 svojim zriaďovateľom, Okresným úradom v Dunajskej Strede. Základná škola je od roku 2002 rozpočtovou organizáciou mesta Veľký Meder. </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Účtovná závierka Základnej školy  k 31. decembru 201</w:t>
      </w:r>
      <w:r>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 xml:space="preserve"> je zostavená ako riadna individuálna účtovná závierka podľa zákona č. 431/2002 Z. z. o účtovníctve v znení neskorších predpisov, za účtovné obdobie od 1. januára 201</w:t>
      </w:r>
      <w:r>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 xml:space="preserve"> do 31. decembra 201</w:t>
      </w:r>
      <w:r>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 xml:space="preserve">. </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Základná škola je súčasťou konsolidovaného celku mesta Veľký Meder.</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i/>
          <w:sz w:val="24"/>
          <w:szCs w:val="24"/>
          <w:u w:val="single"/>
          <w:lang w:eastAsia="sk-SK"/>
        </w:rPr>
      </w:pPr>
      <w:r w:rsidRPr="00541C95">
        <w:rPr>
          <w:rFonts w:ascii="Times New Roman" w:eastAsia="Times New Roman" w:hAnsi="Times New Roman" w:cs="Times New Roman"/>
          <w:i/>
          <w:sz w:val="24"/>
          <w:szCs w:val="24"/>
          <w:u w:val="single"/>
          <w:lang w:eastAsia="sk-SK"/>
        </w:rPr>
        <w:t>Opis činnosti účtovnej jednotky</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Základná  škola  je zameraná na poskytovanie základného vzdelania. Základnú školu navštevuje 2</w:t>
      </w:r>
      <w:r>
        <w:rPr>
          <w:rFonts w:ascii="Times New Roman" w:eastAsia="Times New Roman" w:hAnsi="Times New Roman" w:cs="Times New Roman"/>
          <w:sz w:val="24"/>
          <w:szCs w:val="24"/>
          <w:lang w:eastAsia="sk-SK"/>
        </w:rPr>
        <w:t>20</w:t>
      </w:r>
      <w:r w:rsidRPr="00541C95">
        <w:rPr>
          <w:rFonts w:ascii="Times New Roman" w:eastAsia="Times New Roman" w:hAnsi="Times New Roman" w:cs="Times New Roman"/>
          <w:sz w:val="24"/>
          <w:szCs w:val="24"/>
          <w:lang w:eastAsia="sk-SK"/>
        </w:rPr>
        <w:t xml:space="preserve"> žiakov, z toho školský klub navštevuje  </w:t>
      </w:r>
      <w:r>
        <w:rPr>
          <w:rFonts w:ascii="Times New Roman" w:eastAsia="Times New Roman" w:hAnsi="Times New Roman" w:cs="Times New Roman"/>
          <w:sz w:val="24"/>
          <w:szCs w:val="24"/>
          <w:lang w:eastAsia="sk-SK"/>
        </w:rPr>
        <w:t>9</w:t>
      </w:r>
      <w:r w:rsidRPr="00541C95">
        <w:rPr>
          <w:rFonts w:ascii="Times New Roman" w:eastAsia="Times New Roman" w:hAnsi="Times New Roman" w:cs="Times New Roman"/>
          <w:sz w:val="24"/>
          <w:szCs w:val="24"/>
          <w:lang w:eastAsia="sk-SK"/>
        </w:rPr>
        <w:t xml:space="preserve">7 detí.  </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i/>
          <w:sz w:val="24"/>
          <w:szCs w:val="24"/>
          <w:u w:val="single"/>
          <w:lang w:eastAsia="sk-SK"/>
        </w:rPr>
      </w:pPr>
      <w:r w:rsidRPr="00541C95">
        <w:rPr>
          <w:rFonts w:ascii="Times New Roman" w:eastAsia="Times New Roman" w:hAnsi="Times New Roman" w:cs="Times New Roman"/>
          <w:i/>
          <w:sz w:val="24"/>
          <w:szCs w:val="24"/>
          <w:u w:val="single"/>
          <w:lang w:eastAsia="sk-SK"/>
        </w:rPr>
        <w:t>Informácie o vedúcich predstaviteľoch a o organizačnej štruktúre účtovnej jednotky</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 xml:space="preserve">Riaditeľ: </w:t>
      </w:r>
      <w:r w:rsidRPr="00541C95">
        <w:rPr>
          <w:rFonts w:ascii="Times New Roman" w:eastAsia="Times New Roman" w:hAnsi="Times New Roman" w:cs="Times New Roman"/>
          <w:sz w:val="24"/>
          <w:szCs w:val="24"/>
          <w:lang w:eastAsia="sk-SK"/>
        </w:rPr>
        <w:tab/>
      </w:r>
      <w:r w:rsidRPr="00541C95">
        <w:rPr>
          <w:rFonts w:ascii="Times New Roman" w:eastAsia="Times New Roman" w:hAnsi="Times New Roman" w:cs="Times New Roman"/>
          <w:sz w:val="24"/>
          <w:szCs w:val="24"/>
          <w:lang w:eastAsia="sk-SK"/>
        </w:rPr>
        <w:tab/>
      </w:r>
      <w:r w:rsidRPr="00541C95">
        <w:rPr>
          <w:rFonts w:ascii="Times New Roman" w:eastAsia="Times New Roman" w:hAnsi="Times New Roman" w:cs="Times New Roman"/>
          <w:sz w:val="24"/>
          <w:szCs w:val="24"/>
          <w:lang w:eastAsia="sk-SK"/>
        </w:rPr>
        <w:tab/>
        <w:t xml:space="preserve">Mgr. Mária </w:t>
      </w:r>
      <w:proofErr w:type="spellStart"/>
      <w:r w:rsidRPr="00541C95">
        <w:rPr>
          <w:rFonts w:ascii="Times New Roman" w:eastAsia="Times New Roman" w:hAnsi="Times New Roman" w:cs="Times New Roman"/>
          <w:sz w:val="24"/>
          <w:szCs w:val="24"/>
          <w:lang w:eastAsia="sk-SK"/>
        </w:rPr>
        <w:t>Estergájošová</w:t>
      </w:r>
      <w:proofErr w:type="spellEnd"/>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Zástupca riaditeľa:</w:t>
      </w:r>
      <w:r w:rsidRPr="00541C95">
        <w:rPr>
          <w:rFonts w:ascii="Times New Roman" w:eastAsia="Times New Roman" w:hAnsi="Times New Roman" w:cs="Times New Roman"/>
          <w:sz w:val="24"/>
          <w:szCs w:val="24"/>
          <w:lang w:eastAsia="sk-SK"/>
        </w:rPr>
        <w:tab/>
      </w:r>
      <w:r w:rsidRPr="00541C95">
        <w:rPr>
          <w:rFonts w:ascii="Times New Roman" w:eastAsia="Times New Roman" w:hAnsi="Times New Roman" w:cs="Times New Roman"/>
          <w:sz w:val="24"/>
          <w:szCs w:val="24"/>
          <w:lang w:eastAsia="sk-SK"/>
        </w:rPr>
        <w:tab/>
        <w:t>Mgr. Jana Novotná</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Priemerný počet zamestnancov (a zároveň aj počet zamestnancov k 31.12.201</w:t>
      </w:r>
      <w:r>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z</w:t>
      </w:r>
      <w:r w:rsidRPr="00541C95">
        <w:rPr>
          <w:rFonts w:ascii="Times New Roman" w:eastAsia="Times New Roman" w:hAnsi="Times New Roman" w:cs="Times New Roman"/>
          <w:sz w:val="24"/>
          <w:szCs w:val="24"/>
          <w:lang w:eastAsia="sk-SK"/>
        </w:rPr>
        <w:t xml:space="preserve">ákladnej školy bol </w:t>
      </w:r>
      <w:r>
        <w:rPr>
          <w:rFonts w:ascii="Times New Roman" w:eastAsia="Times New Roman" w:hAnsi="Times New Roman" w:cs="Times New Roman"/>
          <w:sz w:val="24"/>
          <w:szCs w:val="24"/>
          <w:lang w:eastAsia="sk-SK"/>
        </w:rPr>
        <w:t>30</w:t>
      </w:r>
      <w:r w:rsidRPr="00541C95">
        <w:rPr>
          <w:rFonts w:ascii="Times New Roman" w:eastAsia="Times New Roman" w:hAnsi="Times New Roman" w:cs="Times New Roman"/>
          <w:sz w:val="24"/>
          <w:szCs w:val="24"/>
          <w:lang w:eastAsia="sk-SK"/>
        </w:rPr>
        <w:t>, z toho 2 vedúci zamestnanci (v roku 201</w:t>
      </w:r>
      <w:r>
        <w:rPr>
          <w:rFonts w:ascii="Times New Roman" w:eastAsia="Times New Roman" w:hAnsi="Times New Roman" w:cs="Times New Roman"/>
          <w:sz w:val="24"/>
          <w:szCs w:val="24"/>
          <w:lang w:eastAsia="sk-SK"/>
        </w:rPr>
        <w:t>5</w:t>
      </w:r>
      <w:r w:rsidRPr="00541C95">
        <w:rPr>
          <w:rFonts w:ascii="Times New Roman" w:eastAsia="Times New Roman" w:hAnsi="Times New Roman" w:cs="Times New Roman"/>
          <w:sz w:val="24"/>
          <w:szCs w:val="24"/>
          <w:lang w:eastAsia="sk-SK"/>
        </w:rPr>
        <w:t xml:space="preserve"> bol priemerný počet zamestnancov 2</w:t>
      </w:r>
      <w:r>
        <w:rPr>
          <w:rFonts w:ascii="Times New Roman" w:eastAsia="Times New Roman" w:hAnsi="Times New Roman" w:cs="Times New Roman"/>
          <w:sz w:val="24"/>
          <w:szCs w:val="24"/>
          <w:lang w:eastAsia="sk-SK"/>
        </w:rPr>
        <w:t>9</w:t>
      </w:r>
      <w:r w:rsidRPr="00541C95">
        <w:rPr>
          <w:rFonts w:ascii="Times New Roman" w:eastAsia="Times New Roman" w:hAnsi="Times New Roman" w:cs="Times New Roman"/>
          <w:sz w:val="24"/>
          <w:szCs w:val="24"/>
          <w:lang w:eastAsia="sk-SK"/>
        </w:rPr>
        <w:t>, z toho 2 vedúci zamestnanci).</w:t>
      </w:r>
    </w:p>
    <w:p w:rsidR="00541C95" w:rsidRPr="00541C95" w:rsidRDefault="00541C95" w:rsidP="00541C95">
      <w:pPr>
        <w:keepNext/>
        <w:spacing w:before="60" w:after="240" w:line="240" w:lineRule="auto"/>
        <w:ind w:left="-14"/>
        <w:jc w:val="both"/>
        <w:outlineLvl w:val="0"/>
        <w:rPr>
          <w:rFonts w:ascii="Times New Roman" w:eastAsia="Times New Roman" w:hAnsi="Times New Roman" w:cs="Times New Roman"/>
          <w:b/>
          <w:bCs/>
          <w:kern w:val="32"/>
          <w:sz w:val="24"/>
          <w:szCs w:val="24"/>
          <w:lang w:eastAsia="x-none"/>
        </w:rPr>
      </w:pPr>
      <w:r w:rsidRPr="00541C95">
        <w:rPr>
          <w:rFonts w:ascii="Times New Roman" w:eastAsia="Times New Roman" w:hAnsi="Times New Roman" w:cs="Times New Roman"/>
          <w:b/>
          <w:bCs/>
          <w:kern w:val="32"/>
          <w:sz w:val="24"/>
          <w:szCs w:val="24"/>
          <w:lang w:eastAsia="sk-SK"/>
        </w:rPr>
        <w:t>II.      INFORMÁCIE O ÚČTOVNÝCH ZÁSADÁCH A ÚČTOVNÝCH METÓDACH</w:t>
      </w:r>
    </w:p>
    <w:p w:rsidR="00541C95" w:rsidRPr="00541C95" w:rsidRDefault="00541C95" w:rsidP="00541C95">
      <w:pPr>
        <w:keepNext/>
        <w:spacing w:before="60" w:after="240" w:line="240" w:lineRule="auto"/>
        <w:ind w:left="-14"/>
        <w:jc w:val="both"/>
        <w:outlineLvl w:val="0"/>
        <w:rPr>
          <w:rFonts w:ascii="Times New Roman" w:eastAsia="Times New Roman" w:hAnsi="Times New Roman" w:cs="Times New Roman"/>
          <w:b/>
          <w:bCs/>
          <w:kern w:val="32"/>
          <w:sz w:val="24"/>
          <w:szCs w:val="24"/>
          <w:lang w:eastAsia="sk-SK"/>
        </w:rPr>
      </w:pPr>
      <w:r w:rsidRPr="00541C95">
        <w:rPr>
          <w:rFonts w:ascii="Times New Roman" w:eastAsia="Times New Roman" w:hAnsi="Times New Roman" w:cs="Times New Roman"/>
          <w:b/>
          <w:bCs/>
          <w:kern w:val="32"/>
          <w:sz w:val="24"/>
          <w:szCs w:val="24"/>
          <w:lang w:eastAsia="sk-SK"/>
        </w:rPr>
        <w:t xml:space="preserve">Informácia o splnení predpokladu nepretržitého pokračovania v činnosti účtovnej jednotky  </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Účtovná závierka Základnej školy bola zostavená za predpokladu nepretržitého trvania  svojej činnosti  v súlade so zákonom o účtovníctve a nadväzujúcimi právnymi predpismi.</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i/>
          <w:sz w:val="24"/>
          <w:szCs w:val="24"/>
          <w:u w:val="single"/>
          <w:lang w:eastAsia="sk-SK"/>
        </w:rPr>
      </w:pPr>
      <w:r w:rsidRPr="00541C95">
        <w:rPr>
          <w:rFonts w:ascii="Times New Roman" w:eastAsia="Times New Roman" w:hAnsi="Times New Roman" w:cs="Times New Roman"/>
          <w:i/>
          <w:sz w:val="24"/>
          <w:szCs w:val="24"/>
          <w:u w:val="single"/>
          <w:lang w:eastAsia="sk-SK"/>
        </w:rPr>
        <w:t>Zmeny účtovných metód a účtovných zásad</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 xml:space="preserve">Účtovné metódy a všeobecné účtovné zásady boli účtovnou jednotkou konzistentne aplikované. Oproti predchádzajúcemu účtovnému obdobiu účtovné metódy a zásady </w:t>
      </w:r>
      <w:r>
        <w:rPr>
          <w:rFonts w:ascii="Times New Roman" w:eastAsia="Times New Roman" w:hAnsi="Times New Roman" w:cs="Times New Roman"/>
          <w:sz w:val="24"/>
          <w:szCs w:val="24"/>
          <w:lang w:eastAsia="sk-SK"/>
        </w:rPr>
        <w:t>ne</w:t>
      </w:r>
      <w:r w:rsidRPr="00541C95">
        <w:rPr>
          <w:rFonts w:ascii="Times New Roman" w:eastAsia="Times New Roman" w:hAnsi="Times New Roman" w:cs="Times New Roman"/>
          <w:sz w:val="24"/>
          <w:szCs w:val="24"/>
          <w:lang w:eastAsia="sk-SK"/>
        </w:rPr>
        <w:t>boli zmenené</w:t>
      </w:r>
      <w:r>
        <w:rPr>
          <w:rFonts w:ascii="Times New Roman" w:eastAsia="Times New Roman" w:hAnsi="Times New Roman" w:cs="Times New Roman"/>
          <w:sz w:val="24"/>
          <w:szCs w:val="24"/>
          <w:lang w:eastAsia="sk-SK"/>
        </w:rPr>
        <w:t>.</w:t>
      </w:r>
      <w:r w:rsidRPr="00541C95">
        <w:rPr>
          <w:rFonts w:ascii="Times New Roman" w:eastAsia="Times New Roman" w:hAnsi="Times New Roman" w:cs="Times New Roman"/>
          <w:sz w:val="24"/>
          <w:szCs w:val="24"/>
          <w:lang w:eastAsia="sk-SK"/>
        </w:rPr>
        <w:t xml:space="preserve">  </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i/>
          <w:sz w:val="24"/>
          <w:szCs w:val="24"/>
          <w:u w:val="single"/>
          <w:lang w:eastAsia="sk-SK"/>
        </w:rPr>
      </w:pPr>
      <w:r w:rsidRPr="00541C95">
        <w:rPr>
          <w:rFonts w:ascii="Times New Roman" w:eastAsia="Times New Roman" w:hAnsi="Times New Roman" w:cs="Times New Roman"/>
          <w:i/>
          <w:sz w:val="24"/>
          <w:szCs w:val="24"/>
          <w:u w:val="single"/>
          <w:lang w:eastAsia="sk-SK"/>
        </w:rPr>
        <w:lastRenderedPageBreak/>
        <w:t>Spôsob ocenenia jednotlivých zložiek</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u w:val="single"/>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u w:val="single"/>
          <w:lang w:eastAsia="sk-SK"/>
        </w:rPr>
        <w:t>Dlhodobý majetok</w:t>
      </w:r>
      <w:r w:rsidRPr="00541C95">
        <w:rPr>
          <w:rFonts w:ascii="Times New Roman" w:eastAsia="Times New Roman" w:hAnsi="Times New Roman" w:cs="Times New Roman"/>
          <w:sz w:val="24"/>
          <w:szCs w:val="24"/>
          <w:lang w:eastAsia="sk-SK"/>
        </w:rPr>
        <w:t xml:space="preserve"> obstaraný kúpou sa oceňuje obstarávacou cenou, ktorá zahrňuje cenu obstarania a náklady súvisiace s obstaraním (clo, prepravu, montáž, poistné a pod.). Súčasťou obstarávacej ceny dlhodobého nehmotného </w:t>
      </w:r>
      <w:r w:rsidRPr="00541C95">
        <w:rPr>
          <w:rFonts w:ascii="Times New Roman" w:eastAsia="Times New Roman" w:hAnsi="Times New Roman" w:cs="Times New Roman"/>
          <w:sz w:val="24"/>
          <w:szCs w:val="24"/>
          <w:lang w:eastAsia="sk-SK"/>
        </w:rPr>
        <w:tab/>
        <w:t>a nehmotného majetku nie sú úroky z úverov do doby zaradenia majetku. O zľave z ceny, ktorú poskytol dodávateľ k majetku sa následne zníži obstarávacia cena predmetného majetku.</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 xml:space="preserve">Dlhodobý majetok vytvorený vlastnou činnosťou sa oceňuje vlastnými nákladmi. Za vlastné náklady s a považujú všetky priame náklady vynaložené na výrobu alebo inú činnosť a všetky nepriame náklady vzťahujúce sa na výrobu </w:t>
      </w:r>
      <w:r w:rsidRPr="00541C95">
        <w:rPr>
          <w:rFonts w:ascii="Times New Roman" w:eastAsia="Times New Roman" w:hAnsi="Times New Roman" w:cs="Times New Roman"/>
          <w:sz w:val="24"/>
          <w:szCs w:val="24"/>
          <w:lang w:eastAsia="sk-SK"/>
        </w:rPr>
        <w:tab/>
        <w:t xml:space="preserve">alebo inú činnosť. Majetok vytvorený vlastnou činnosťou by sa ocenil reprodukčnou obstarávacou cenou v prípade, ak by vlastné náklady boli vyššie </w:t>
      </w:r>
      <w:r w:rsidRPr="00541C95">
        <w:rPr>
          <w:rFonts w:ascii="Times New Roman" w:eastAsia="Times New Roman" w:hAnsi="Times New Roman" w:cs="Times New Roman"/>
          <w:sz w:val="24"/>
          <w:szCs w:val="24"/>
          <w:lang w:eastAsia="sk-SK"/>
        </w:rPr>
        <w:tab/>
        <w:t>ako reprodukčná obstarávacia cena tohto majetku.</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tabs>
          <w:tab w:val="num" w:pos="540"/>
        </w:tabs>
        <w:spacing w:after="0" w:line="240" w:lineRule="auto"/>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rsidR="00541C95" w:rsidRPr="00541C95" w:rsidRDefault="00541C95" w:rsidP="00541C95">
      <w:pPr>
        <w:tabs>
          <w:tab w:val="num" w:pos="540"/>
        </w:tabs>
        <w:spacing w:after="0" w:line="240" w:lineRule="auto"/>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Odpisy dlhodobého nehmotného a dlhodobého hmotného majetku sú stanovené tak, že sa vychádza z predpokladanej doby jeho užívania a predpokladaného priebehu jeho opotrebenia.  Podpisovať sa začína odo dňa jeho zaradenia do používania. Účtovné odpisy sa zaokrúhľujú na celé eurá smerom nahor. Metóda odpisovania sa používa lineárna. Predpokladaná doba užívania,  a odpisová sadzba sú uvedené v nasledujúcej tabuľke:</w:t>
      </w:r>
    </w:p>
    <w:p w:rsidR="00541C95" w:rsidRPr="00541C95" w:rsidRDefault="00541C95" w:rsidP="00541C95">
      <w:pPr>
        <w:spacing w:after="120" w:line="276" w:lineRule="auto"/>
        <w:rPr>
          <w:rFonts w:ascii="Times New Roman" w:eastAsia="Times New Roman" w:hAnsi="Times New Roman" w:cs="Times New Roman"/>
          <w:i/>
          <w:sz w:val="24"/>
          <w:szCs w:val="24"/>
          <w:lang w:eastAsia="sk-SK"/>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541C95" w:rsidRPr="00541C95" w:rsidTr="00130225">
        <w:trPr>
          <w:trHeight w:val="250"/>
        </w:trPr>
        <w:tc>
          <w:tcPr>
            <w:tcW w:w="3828" w:type="dxa"/>
            <w:gridSpan w:val="2"/>
            <w:tcBorders>
              <w:top w:val="single" w:sz="4" w:space="0" w:color="auto"/>
              <w:left w:val="single" w:sz="4" w:space="0" w:color="auto"/>
            </w:tcBorders>
          </w:tcPr>
          <w:p w:rsidR="00541C95" w:rsidRPr="00541C95" w:rsidRDefault="00541C95" w:rsidP="00541C95">
            <w:pPr>
              <w:spacing w:after="0" w:line="276" w:lineRule="auto"/>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Odpisová skupina</w:t>
            </w:r>
          </w:p>
        </w:tc>
        <w:tc>
          <w:tcPr>
            <w:tcW w:w="1701" w:type="dxa"/>
            <w:tcBorders>
              <w:top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predpokladaná</w:t>
            </w:r>
          </w:p>
        </w:tc>
        <w:tc>
          <w:tcPr>
            <w:tcW w:w="141" w:type="dxa"/>
            <w:tcBorders>
              <w:top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metóda</w:t>
            </w:r>
          </w:p>
        </w:tc>
        <w:tc>
          <w:tcPr>
            <w:tcW w:w="142" w:type="dxa"/>
            <w:tcBorders>
              <w:top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right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ročná odpisová</w:t>
            </w:r>
          </w:p>
        </w:tc>
      </w:tr>
      <w:tr w:rsidR="00541C95" w:rsidRPr="00541C95" w:rsidTr="00130225">
        <w:trPr>
          <w:trHeight w:val="250"/>
        </w:trPr>
        <w:tc>
          <w:tcPr>
            <w:tcW w:w="3402" w:type="dxa"/>
            <w:tcBorders>
              <w:left w:val="single" w:sz="4" w:space="0" w:color="auto"/>
              <w:bottom w:val="single" w:sz="4" w:space="0" w:color="auto"/>
            </w:tcBorders>
          </w:tcPr>
          <w:p w:rsidR="00541C95" w:rsidRPr="00541C95" w:rsidRDefault="00541C95" w:rsidP="00541C95">
            <w:pPr>
              <w:spacing w:after="0" w:line="276" w:lineRule="auto"/>
              <w:rPr>
                <w:rFonts w:ascii="Times New Roman" w:eastAsia="Times New Roman" w:hAnsi="Times New Roman" w:cs="Times New Roman"/>
                <w:i/>
                <w:color w:val="000000"/>
                <w:sz w:val="24"/>
                <w:szCs w:val="24"/>
              </w:rPr>
            </w:pPr>
          </w:p>
        </w:tc>
        <w:tc>
          <w:tcPr>
            <w:tcW w:w="426" w:type="dxa"/>
            <w:tcBorders>
              <w:bottom w:val="single" w:sz="4" w:space="0" w:color="auto"/>
            </w:tcBorders>
          </w:tcPr>
          <w:p w:rsidR="00541C95" w:rsidRPr="00541C95" w:rsidRDefault="00541C95" w:rsidP="00541C95">
            <w:pPr>
              <w:spacing w:after="0" w:line="276" w:lineRule="auto"/>
              <w:rPr>
                <w:rFonts w:ascii="Times New Roman" w:eastAsia="Times New Roman" w:hAnsi="Times New Roman" w:cs="Times New Roman"/>
                <w:i/>
                <w:color w:val="000000"/>
                <w:sz w:val="24"/>
                <w:szCs w:val="24"/>
              </w:rPr>
            </w:pPr>
          </w:p>
        </w:tc>
        <w:tc>
          <w:tcPr>
            <w:tcW w:w="1701" w:type="dxa"/>
            <w:tcBorders>
              <w:bottom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doba používania</w:t>
            </w:r>
          </w:p>
        </w:tc>
        <w:tc>
          <w:tcPr>
            <w:tcW w:w="141" w:type="dxa"/>
            <w:tcBorders>
              <w:bottom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odpisovania</w:t>
            </w:r>
          </w:p>
        </w:tc>
        <w:tc>
          <w:tcPr>
            <w:tcW w:w="142" w:type="dxa"/>
            <w:tcBorders>
              <w:bottom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right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sadzba v %</w:t>
            </w:r>
          </w:p>
        </w:tc>
      </w:tr>
      <w:tr w:rsidR="00541C95" w:rsidRPr="00541C95" w:rsidTr="00130225">
        <w:trPr>
          <w:trHeight w:val="250"/>
        </w:trPr>
        <w:tc>
          <w:tcPr>
            <w:tcW w:w="3828" w:type="dxa"/>
            <w:gridSpan w:val="2"/>
            <w:tcBorders>
              <w:top w:val="single" w:sz="4" w:space="0" w:color="auto"/>
              <w:left w:val="single" w:sz="4" w:space="0" w:color="auto"/>
            </w:tcBorders>
          </w:tcPr>
          <w:p w:rsidR="00541C95" w:rsidRPr="00541C95" w:rsidRDefault="00541C95" w:rsidP="00541C95">
            <w:pPr>
              <w:spacing w:after="0" w:line="276" w:lineRule="auto"/>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1</w:t>
            </w:r>
          </w:p>
        </w:tc>
        <w:tc>
          <w:tcPr>
            <w:tcW w:w="1701" w:type="dxa"/>
            <w:tcBorders>
              <w:top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4</w:t>
            </w:r>
          </w:p>
        </w:tc>
        <w:tc>
          <w:tcPr>
            <w:tcW w:w="141" w:type="dxa"/>
            <w:tcBorders>
              <w:top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lineárna</w:t>
            </w:r>
          </w:p>
        </w:tc>
        <w:tc>
          <w:tcPr>
            <w:tcW w:w="142" w:type="dxa"/>
            <w:tcBorders>
              <w:top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top w:val="single" w:sz="4" w:space="0" w:color="auto"/>
              <w:right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1/4</w:t>
            </w:r>
          </w:p>
        </w:tc>
      </w:tr>
      <w:tr w:rsidR="00541C95" w:rsidRPr="00541C95" w:rsidTr="00130225">
        <w:trPr>
          <w:trHeight w:val="250"/>
        </w:trPr>
        <w:tc>
          <w:tcPr>
            <w:tcW w:w="3828" w:type="dxa"/>
            <w:gridSpan w:val="2"/>
            <w:tcBorders>
              <w:left w:val="single" w:sz="4" w:space="0" w:color="auto"/>
            </w:tcBorders>
          </w:tcPr>
          <w:p w:rsidR="00541C95" w:rsidRPr="00541C95" w:rsidRDefault="00541C95" w:rsidP="00541C95">
            <w:pPr>
              <w:spacing w:after="0" w:line="276" w:lineRule="auto"/>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2</w:t>
            </w:r>
          </w:p>
        </w:tc>
        <w:tc>
          <w:tcPr>
            <w:tcW w:w="1701" w:type="dxa"/>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 xml:space="preserve">6 </w:t>
            </w:r>
          </w:p>
        </w:tc>
        <w:tc>
          <w:tcPr>
            <w:tcW w:w="141" w:type="dxa"/>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lineárna</w:t>
            </w:r>
          </w:p>
        </w:tc>
        <w:tc>
          <w:tcPr>
            <w:tcW w:w="142" w:type="dxa"/>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right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1/6</w:t>
            </w:r>
          </w:p>
        </w:tc>
      </w:tr>
      <w:tr w:rsidR="00541C95" w:rsidRPr="00541C95" w:rsidTr="00130225">
        <w:trPr>
          <w:trHeight w:val="250"/>
        </w:trPr>
        <w:tc>
          <w:tcPr>
            <w:tcW w:w="3828" w:type="dxa"/>
            <w:gridSpan w:val="2"/>
            <w:tcBorders>
              <w:left w:val="single" w:sz="4" w:space="0" w:color="auto"/>
            </w:tcBorders>
          </w:tcPr>
          <w:p w:rsidR="00541C95" w:rsidRPr="00541C95" w:rsidRDefault="00541C95" w:rsidP="00541C95">
            <w:pPr>
              <w:spacing w:after="0" w:line="276" w:lineRule="auto"/>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3</w:t>
            </w:r>
          </w:p>
        </w:tc>
        <w:tc>
          <w:tcPr>
            <w:tcW w:w="1701" w:type="dxa"/>
          </w:tcPr>
          <w:p w:rsidR="00541C95" w:rsidRPr="00541C95" w:rsidRDefault="00541C95" w:rsidP="00541C95">
            <w:pPr>
              <w:spacing w:after="0" w:line="276" w:lineRule="auto"/>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 xml:space="preserve">            8</w:t>
            </w:r>
          </w:p>
        </w:tc>
        <w:tc>
          <w:tcPr>
            <w:tcW w:w="141" w:type="dxa"/>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lineárna</w:t>
            </w:r>
          </w:p>
        </w:tc>
        <w:tc>
          <w:tcPr>
            <w:tcW w:w="142" w:type="dxa"/>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right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1/8</w:t>
            </w:r>
          </w:p>
        </w:tc>
      </w:tr>
      <w:tr w:rsidR="00541C95" w:rsidRPr="00541C95" w:rsidTr="00130225">
        <w:trPr>
          <w:trHeight w:val="250"/>
        </w:trPr>
        <w:tc>
          <w:tcPr>
            <w:tcW w:w="3828" w:type="dxa"/>
            <w:gridSpan w:val="2"/>
            <w:tcBorders>
              <w:left w:val="single" w:sz="4" w:space="0" w:color="auto"/>
              <w:bottom w:val="single" w:sz="4" w:space="0" w:color="auto"/>
            </w:tcBorders>
          </w:tcPr>
          <w:p w:rsidR="00541C95" w:rsidRPr="00541C95" w:rsidRDefault="00541C95" w:rsidP="00541C95">
            <w:pPr>
              <w:spacing w:after="0" w:line="276" w:lineRule="auto"/>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4</w:t>
            </w:r>
          </w:p>
          <w:p w:rsidR="00541C95" w:rsidRPr="00541C95" w:rsidRDefault="00541C95" w:rsidP="00541C95">
            <w:pPr>
              <w:spacing w:after="0" w:line="276" w:lineRule="auto"/>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5</w:t>
            </w:r>
          </w:p>
          <w:p w:rsidR="00541C95" w:rsidRPr="00541C95" w:rsidRDefault="00541C95" w:rsidP="00541C95">
            <w:pPr>
              <w:spacing w:after="0" w:line="276" w:lineRule="auto"/>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6</w:t>
            </w:r>
          </w:p>
        </w:tc>
        <w:tc>
          <w:tcPr>
            <w:tcW w:w="1701" w:type="dxa"/>
            <w:tcBorders>
              <w:bottom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12</w:t>
            </w:r>
          </w:p>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20</w:t>
            </w:r>
          </w:p>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40</w:t>
            </w:r>
          </w:p>
        </w:tc>
        <w:tc>
          <w:tcPr>
            <w:tcW w:w="141" w:type="dxa"/>
            <w:tcBorders>
              <w:bottom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Lineárna</w:t>
            </w:r>
          </w:p>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Lineárna</w:t>
            </w:r>
          </w:p>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Lineárna</w:t>
            </w:r>
          </w:p>
        </w:tc>
        <w:tc>
          <w:tcPr>
            <w:tcW w:w="142" w:type="dxa"/>
            <w:tcBorders>
              <w:bottom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p>
        </w:tc>
        <w:tc>
          <w:tcPr>
            <w:tcW w:w="1701" w:type="dxa"/>
            <w:tcBorders>
              <w:bottom w:val="single" w:sz="4" w:space="0" w:color="auto"/>
              <w:right w:val="single" w:sz="4" w:space="0" w:color="auto"/>
            </w:tcBorders>
          </w:tcPr>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1/12</w:t>
            </w:r>
          </w:p>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1/20</w:t>
            </w:r>
          </w:p>
          <w:p w:rsidR="00541C95" w:rsidRPr="00541C95" w:rsidRDefault="00541C95" w:rsidP="00541C95">
            <w:pPr>
              <w:spacing w:after="0" w:line="276" w:lineRule="auto"/>
              <w:jc w:val="center"/>
              <w:rPr>
                <w:rFonts w:ascii="Times New Roman" w:eastAsia="Times New Roman" w:hAnsi="Times New Roman" w:cs="Times New Roman"/>
                <w:i/>
                <w:color w:val="000000"/>
                <w:sz w:val="24"/>
                <w:szCs w:val="24"/>
              </w:rPr>
            </w:pPr>
            <w:r w:rsidRPr="00541C95">
              <w:rPr>
                <w:rFonts w:ascii="Times New Roman" w:eastAsia="Times New Roman" w:hAnsi="Times New Roman" w:cs="Times New Roman"/>
                <w:i/>
                <w:color w:val="000000"/>
                <w:sz w:val="24"/>
                <w:szCs w:val="24"/>
              </w:rPr>
              <w:t>1/40</w:t>
            </w:r>
          </w:p>
        </w:tc>
      </w:tr>
    </w:tbl>
    <w:p w:rsidR="00541C95" w:rsidRPr="00541C95" w:rsidRDefault="00541C95" w:rsidP="00541C95">
      <w:pPr>
        <w:spacing w:after="0" w:line="240" w:lineRule="auto"/>
        <w:ind w:left="-30" w:right="-79"/>
        <w:jc w:val="both"/>
        <w:rPr>
          <w:rFonts w:ascii="Times New Roman" w:eastAsia="Times New Roman" w:hAnsi="Times New Roman" w:cs="Times New Roman"/>
          <w:b/>
          <w:bCs/>
          <w:kern w:val="32"/>
          <w:sz w:val="24"/>
          <w:szCs w:val="24"/>
          <w:lang w:eastAsia="x-none"/>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u w:val="single"/>
          <w:lang w:eastAsia="sk-SK"/>
        </w:rPr>
        <w:t xml:space="preserve">Ako dlhodobý majetok sa neúčtujú: </w:t>
      </w:r>
      <w:r w:rsidRPr="00541C95">
        <w:rPr>
          <w:rFonts w:ascii="Times New Roman" w:eastAsia="Times New Roman" w:hAnsi="Times New Roman" w:cs="Times New Roman"/>
          <w:sz w:val="24"/>
          <w:szCs w:val="24"/>
          <w:lang w:eastAsia="sk-SK"/>
        </w:rPr>
        <w:t>drobný nehmotný majetok od 50,- do 650 Eur, ktorý podľa rozhodnutia účtovnej jednotky nie je dlhodobým nehmotným majetkom, a ktorý sa účtuje pri obstaraní do nákladov na účet 518- ostatné služby, a drobný hmotný majetok od 100,- do 1700,-</w:t>
      </w:r>
      <w:r w:rsidRPr="00541C95">
        <w:rPr>
          <w:rFonts w:ascii="Times New Roman" w:eastAsia="Times New Roman" w:hAnsi="Times New Roman" w:cs="Times New Roman"/>
          <w:color w:val="FF6600"/>
          <w:sz w:val="24"/>
          <w:szCs w:val="24"/>
          <w:lang w:eastAsia="sk-SK"/>
        </w:rPr>
        <w:t xml:space="preserve"> </w:t>
      </w:r>
      <w:r w:rsidRPr="00541C95">
        <w:rPr>
          <w:rFonts w:ascii="Times New Roman" w:eastAsia="Times New Roman" w:hAnsi="Times New Roman" w:cs="Times New Roman"/>
          <w:sz w:val="24"/>
          <w:szCs w:val="24"/>
          <w:lang w:eastAsia="sk-SK"/>
        </w:rPr>
        <w:t xml:space="preserve"> Eur, ktorý podľa rozhodnutia účtovnej jednotky nie je dlhodobým hmotným majetkom, a ktorý sa účtuje ako zásoby.</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u w:val="single"/>
          <w:lang w:eastAsia="sk-SK"/>
        </w:rPr>
        <w:t xml:space="preserve">Zásoby </w:t>
      </w:r>
      <w:r w:rsidRPr="00541C95">
        <w:rPr>
          <w:rFonts w:ascii="Times New Roman" w:eastAsia="Times New Roman" w:hAnsi="Times New Roman" w:cs="Times New Roman"/>
          <w:sz w:val="24"/>
          <w:szCs w:val="24"/>
          <w:lang w:eastAsia="sk-SK"/>
        </w:rPr>
        <w:t xml:space="preserve">nakupované sa oceňujú obstarávacou cenou, ktorá zahrňuje cenu </w:t>
      </w:r>
      <w:r w:rsidRPr="00541C95">
        <w:rPr>
          <w:rFonts w:ascii="Times New Roman" w:eastAsia="Times New Roman" w:hAnsi="Times New Roman" w:cs="Times New Roman"/>
          <w:sz w:val="24"/>
          <w:szCs w:val="24"/>
          <w:lang w:eastAsia="sk-SK"/>
        </w:rPr>
        <w:tab/>
        <w:t xml:space="preserve">obstarania a náklady súvisiace s obstaraním (prepravu, poistné, provízie a pod.) znížené o zľavy z ceny.  </w:t>
      </w:r>
    </w:p>
    <w:p w:rsidR="00541C95" w:rsidRPr="00541C95" w:rsidRDefault="00541C95" w:rsidP="00541C95">
      <w:pPr>
        <w:tabs>
          <w:tab w:val="left" w:pos="360"/>
        </w:tabs>
        <w:spacing w:after="0" w:line="240" w:lineRule="auto"/>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 xml:space="preserve">Zásoby nadobudnuté bezodplatne (darovaním a delimitáciou), prebytky zásob, odpad a zvyškové produkty  sa oceňujú reprodukčnou obstarávacou cenou, čo </w:t>
      </w:r>
      <w:r w:rsidRPr="00541C95">
        <w:rPr>
          <w:rFonts w:ascii="Times New Roman" w:eastAsia="Times New Roman" w:hAnsi="Times New Roman" w:cs="Times New Roman"/>
          <w:sz w:val="24"/>
          <w:szCs w:val="24"/>
          <w:lang w:eastAsia="sk-SK"/>
        </w:rPr>
        <w:tab/>
        <w:t>je cena, za ktorú by sa majetok obstaral v čase, keď sa o ňom účtuje.</w:t>
      </w:r>
      <w:r w:rsidRPr="00541C95">
        <w:rPr>
          <w:rFonts w:ascii="Times New Roman" w:eastAsia="Times New Roman" w:hAnsi="Times New Roman" w:cs="Times New Roman"/>
          <w:bCs/>
          <w:sz w:val="24"/>
          <w:szCs w:val="24"/>
          <w:lang w:eastAsia="sk-SK"/>
        </w:rPr>
        <w:t xml:space="preserve"> </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Novozistené zásoby pri inventarizácii sa oceňujú reprodukčnou obstarávacou cenou.</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u w:val="single"/>
          <w:lang w:eastAsia="sk-SK"/>
        </w:rPr>
        <w:t xml:space="preserve">Pohľadávky </w:t>
      </w:r>
      <w:r w:rsidRPr="00541C95">
        <w:rPr>
          <w:rFonts w:ascii="Times New Roman" w:eastAsia="Times New Roman" w:hAnsi="Times New Roman" w:cs="Times New Roman"/>
          <w:sz w:val="24"/>
          <w:szCs w:val="24"/>
          <w:lang w:eastAsia="sk-SK"/>
        </w:rPr>
        <w:t>pri ich vzniku sa oceňujú menovitou hodnotou. Pohľadávky pri odplatnom nadobudnutí sa oceňujú obstarávacou cenou, t. j. vrátane nákladov súvisiacich s obstaraním. Toto ocenenie sa znižuje o pochybné,  nedobytným pohľadávky a o pohľadávky, pri ktorých existuje riziko nevymožiteľnosti.</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u w:val="single"/>
          <w:lang w:eastAsia="sk-SK"/>
        </w:rPr>
        <w:t>Peňažné prostriedky a ceniny</w:t>
      </w:r>
      <w:r w:rsidRPr="00541C95">
        <w:rPr>
          <w:rFonts w:ascii="Times New Roman" w:eastAsia="Times New Roman" w:hAnsi="Times New Roman" w:cs="Times New Roman"/>
          <w:sz w:val="24"/>
          <w:szCs w:val="24"/>
          <w:lang w:eastAsia="sk-SK"/>
        </w:rPr>
        <w:t xml:space="preserve"> sa oceňujú menovitou hodnotou.</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u w:val="single"/>
          <w:lang w:eastAsia="sk-SK"/>
        </w:rPr>
        <w:t>Rezervy</w:t>
      </w:r>
      <w:r w:rsidRPr="00541C95">
        <w:rPr>
          <w:rFonts w:ascii="Times New Roman" w:eastAsia="Times New Roman" w:hAnsi="Times New Roman" w:cs="Times New Roman"/>
          <w:sz w:val="24"/>
          <w:szCs w:val="24"/>
          <w:lang w:eastAsia="sk-SK"/>
        </w:rPr>
        <w:t xml:space="preserve"> sú záväzky s neurčitým časovým vymedzením alebo výškou a oceňujú sa v očakávanej výške záväzku.</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u w:val="single"/>
          <w:lang w:eastAsia="sk-SK"/>
        </w:rPr>
        <w:t>Záväzky</w:t>
      </w:r>
      <w:r w:rsidRPr="00541C95">
        <w:rPr>
          <w:rFonts w:ascii="Times New Roman" w:eastAsia="Times New Roman" w:hAnsi="Times New Roman" w:cs="Times New Roman"/>
          <w:sz w:val="24"/>
          <w:szCs w:val="24"/>
          <w:lang w:eastAsia="sk-SK"/>
        </w:rPr>
        <w:t xml:space="preserve"> sa pri ich vzniku oceňujú menovitou hodnotou a pri ich prevzatí sa oceňujú obstarávacou cenou. </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 xml:space="preserve">Účty </w:t>
      </w:r>
      <w:r w:rsidRPr="00541C95">
        <w:rPr>
          <w:rFonts w:ascii="Times New Roman" w:eastAsia="Times New Roman" w:hAnsi="Times New Roman" w:cs="Times New Roman"/>
          <w:sz w:val="24"/>
          <w:szCs w:val="24"/>
          <w:u w:val="single"/>
          <w:lang w:eastAsia="sk-SK"/>
        </w:rPr>
        <w:t>časového rozlíšenia aktív a pasív</w:t>
      </w:r>
      <w:r w:rsidRPr="00541C95">
        <w:rPr>
          <w:rFonts w:ascii="Times New Roman" w:eastAsia="Times New Roman" w:hAnsi="Times New Roman" w:cs="Times New Roman"/>
          <w:sz w:val="24"/>
          <w:szCs w:val="24"/>
          <w:lang w:eastAsia="sk-SK"/>
        </w:rPr>
        <w:t xml:space="preserve"> sú vykázané vo výške, ktorá je potrebná </w:t>
      </w:r>
      <w:r w:rsidRPr="00541C95">
        <w:rPr>
          <w:rFonts w:ascii="Times New Roman" w:eastAsia="Times New Roman" w:hAnsi="Times New Roman" w:cs="Times New Roman"/>
          <w:sz w:val="24"/>
          <w:szCs w:val="24"/>
          <w:lang w:eastAsia="sk-SK"/>
        </w:rPr>
        <w:tab/>
        <w:t>na dodržanie zásady vecnej a časovej súvislosti s účtovným obdobím.</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u w:val="single"/>
          <w:lang w:eastAsia="sk-SK"/>
        </w:rPr>
        <w:t>Majetok obstaraný z transferov</w:t>
      </w:r>
      <w:r w:rsidRPr="00541C95">
        <w:rPr>
          <w:rFonts w:ascii="Times New Roman" w:eastAsia="Times New Roman" w:hAnsi="Times New Roman" w:cs="Times New Roman"/>
          <w:sz w:val="24"/>
          <w:szCs w:val="24"/>
          <w:lang w:eastAsia="sk-SK"/>
        </w:rPr>
        <w:t xml:space="preserve"> sa oceňuje obstarávacou cenou.</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 xml:space="preserve">Účtovná jednotka </w:t>
      </w:r>
      <w:r w:rsidRPr="00541C95">
        <w:rPr>
          <w:rFonts w:ascii="Times New Roman" w:eastAsia="Times New Roman" w:hAnsi="Times New Roman" w:cs="Times New Roman"/>
          <w:sz w:val="24"/>
          <w:szCs w:val="24"/>
          <w:u w:val="single"/>
          <w:lang w:eastAsia="sk-SK"/>
        </w:rPr>
        <w:t>nie je platiteľom dane z pridanej hodnoty</w:t>
      </w:r>
      <w:r w:rsidRPr="00541C95">
        <w:rPr>
          <w:rFonts w:ascii="Times New Roman" w:eastAsia="Times New Roman" w:hAnsi="Times New Roman" w:cs="Times New Roman"/>
          <w:sz w:val="24"/>
          <w:szCs w:val="24"/>
          <w:lang w:eastAsia="sk-SK"/>
        </w:rPr>
        <w:t xml:space="preserve">. V prípadoch, keď dodávatelia sú platiteľmi DPH, fakturovaná DPH je súčasťou ocenenia dlhodobého majetku, zásob, nákladov.  </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keepNext/>
        <w:spacing w:before="60" w:after="240" w:line="240" w:lineRule="auto"/>
        <w:ind w:left="-14"/>
        <w:jc w:val="both"/>
        <w:outlineLvl w:val="0"/>
        <w:rPr>
          <w:rFonts w:ascii="Times New Roman" w:eastAsia="Times New Roman" w:hAnsi="Times New Roman" w:cs="Times New Roman"/>
          <w:b/>
          <w:bCs/>
          <w:kern w:val="32"/>
          <w:sz w:val="24"/>
          <w:szCs w:val="24"/>
          <w:lang w:eastAsia="x-none"/>
        </w:rPr>
      </w:pPr>
      <w:r w:rsidRPr="00541C95">
        <w:rPr>
          <w:rFonts w:ascii="Times New Roman" w:eastAsia="Times New Roman" w:hAnsi="Times New Roman" w:cs="Times New Roman"/>
          <w:b/>
          <w:bCs/>
          <w:kern w:val="32"/>
          <w:sz w:val="24"/>
          <w:szCs w:val="24"/>
          <w:lang w:eastAsia="sk-SK"/>
        </w:rPr>
        <w:tab/>
        <w:t>III.    INFORMÁCIE O ÚDAJOCH NA STRANE AKTÍV SÚVAHY</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Prehľad pohybu dlhodobého nehmotného a dlhodobého hmotného majetku od 1. januára 201</w:t>
      </w:r>
      <w:r w:rsidR="00EA5219">
        <w:rPr>
          <w:rFonts w:ascii="Times New Roman" w:eastAsia="Times New Roman" w:hAnsi="Times New Roman" w:cs="Times New Roman"/>
          <w:sz w:val="24"/>
          <w:szCs w:val="24"/>
          <w:lang w:eastAsia="sk-SK"/>
        </w:rPr>
        <w:t xml:space="preserve">6 </w:t>
      </w:r>
      <w:r w:rsidRPr="00541C95">
        <w:rPr>
          <w:rFonts w:ascii="Times New Roman" w:eastAsia="Times New Roman" w:hAnsi="Times New Roman" w:cs="Times New Roman"/>
          <w:sz w:val="24"/>
          <w:szCs w:val="24"/>
          <w:lang w:eastAsia="sk-SK"/>
        </w:rPr>
        <w:t>do 31. decembra 201</w:t>
      </w:r>
      <w:r w:rsidR="00EA5219">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 xml:space="preserve"> je uvedený v tabuľkovej časti </w:t>
      </w:r>
      <w:r w:rsidRPr="00541C95">
        <w:rPr>
          <w:rFonts w:ascii="Times New Roman" w:eastAsia="Times New Roman" w:hAnsi="Times New Roman" w:cs="Times New Roman"/>
          <w:i/>
          <w:sz w:val="24"/>
          <w:szCs w:val="24"/>
          <w:lang w:eastAsia="sk-SK"/>
        </w:rPr>
        <w:t>Prehľad o pohybe dlhodobého majetku.</w:t>
      </w:r>
    </w:p>
    <w:p w:rsidR="00541C95" w:rsidRPr="00541C95" w:rsidRDefault="00541C95" w:rsidP="00541C95">
      <w:pPr>
        <w:spacing w:after="0" w:line="240" w:lineRule="auto"/>
        <w:ind w:left="-30" w:right="-79"/>
        <w:jc w:val="both"/>
        <w:rPr>
          <w:rFonts w:ascii="Times New Roman" w:eastAsia="Times New Roman" w:hAnsi="Times New Roman" w:cs="Times New Roman"/>
          <w:color w:val="FF0000"/>
          <w:sz w:val="24"/>
          <w:szCs w:val="24"/>
          <w:lang w:eastAsia="sk-SK"/>
        </w:rPr>
      </w:pPr>
    </w:p>
    <w:p w:rsidR="00541C95" w:rsidRPr="00541C95" w:rsidRDefault="00541C95" w:rsidP="00541C95">
      <w:pPr>
        <w:keepNext/>
        <w:spacing w:before="60" w:after="240" w:line="240" w:lineRule="auto"/>
        <w:ind w:left="-14"/>
        <w:jc w:val="both"/>
        <w:outlineLvl w:val="0"/>
        <w:rPr>
          <w:rFonts w:ascii="Times New Roman" w:eastAsia="Times New Roman" w:hAnsi="Times New Roman" w:cs="Times New Roman"/>
          <w:b/>
          <w:bCs/>
          <w:kern w:val="32"/>
          <w:sz w:val="24"/>
          <w:szCs w:val="24"/>
          <w:lang w:eastAsia="x-none"/>
        </w:rPr>
      </w:pPr>
      <w:r w:rsidRPr="00541C95">
        <w:rPr>
          <w:rFonts w:ascii="Times New Roman" w:eastAsia="Times New Roman" w:hAnsi="Times New Roman" w:cs="Times New Roman"/>
          <w:b/>
          <w:bCs/>
          <w:kern w:val="32"/>
          <w:sz w:val="24"/>
          <w:szCs w:val="24"/>
          <w:lang w:eastAsia="sk-SK"/>
        </w:rPr>
        <w:t>IV.    INFORMÁCIE O ÚDAJOCH NA STRANE PASÍV SÚVAHY</w:t>
      </w:r>
    </w:p>
    <w:p w:rsidR="00541C95" w:rsidRPr="00541C95" w:rsidRDefault="00541C95" w:rsidP="00541C95">
      <w:pPr>
        <w:spacing w:after="0" w:line="240" w:lineRule="auto"/>
        <w:ind w:left="-30" w:right="-79"/>
        <w:jc w:val="both"/>
        <w:rPr>
          <w:rFonts w:ascii="Times New Roman" w:eastAsia="Times New Roman" w:hAnsi="Times New Roman" w:cs="Times New Roman"/>
          <w:i/>
          <w:sz w:val="24"/>
          <w:szCs w:val="24"/>
          <w:lang w:eastAsia="sk-SK"/>
        </w:rPr>
      </w:pPr>
      <w:r w:rsidRPr="00541C95">
        <w:rPr>
          <w:rFonts w:ascii="Times New Roman" w:eastAsia="Times New Roman" w:hAnsi="Times New Roman" w:cs="Times New Roman"/>
          <w:sz w:val="24"/>
          <w:szCs w:val="24"/>
          <w:lang w:eastAsia="sk-SK"/>
        </w:rPr>
        <w:t>Prehľad vlastného imania účtovnej jednotky od 1. januára 201</w:t>
      </w:r>
      <w:r w:rsidR="00EA5219">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 xml:space="preserve"> do 31. decembra 201</w:t>
      </w:r>
      <w:r w:rsidR="00EA5219">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 xml:space="preserve"> je uvedený  v tabuľkovej časti.</w:t>
      </w:r>
    </w:p>
    <w:p w:rsidR="00541C95" w:rsidRPr="00541C95" w:rsidRDefault="00541C95" w:rsidP="00541C95">
      <w:pPr>
        <w:spacing w:after="0" w:line="240" w:lineRule="auto"/>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Prehľad záväzkov podľa splatnosti je uvedený v tabuľkovej</w:t>
      </w:r>
      <w:r w:rsidRPr="00541C95">
        <w:rPr>
          <w:rFonts w:ascii="Times New Roman" w:eastAsia="Times New Roman" w:hAnsi="Times New Roman" w:cs="Times New Roman"/>
          <w:color w:val="FF0000"/>
          <w:sz w:val="24"/>
          <w:szCs w:val="24"/>
          <w:lang w:eastAsia="sk-SK"/>
        </w:rPr>
        <w:t xml:space="preserve"> </w:t>
      </w:r>
      <w:r w:rsidRPr="00541C95">
        <w:rPr>
          <w:rFonts w:ascii="Times New Roman" w:eastAsia="Times New Roman" w:hAnsi="Times New Roman" w:cs="Times New Roman"/>
          <w:sz w:val="24"/>
          <w:szCs w:val="24"/>
          <w:lang w:eastAsia="sk-SK"/>
        </w:rPr>
        <w:t>časti.</w:t>
      </w:r>
    </w:p>
    <w:p w:rsidR="00541C95" w:rsidRPr="00541C95" w:rsidRDefault="00541C95" w:rsidP="00541C95">
      <w:pPr>
        <w:spacing w:after="0" w:line="240" w:lineRule="auto"/>
        <w:rPr>
          <w:rFonts w:ascii="Times New Roman" w:eastAsia="Times New Roman" w:hAnsi="Times New Roman" w:cs="Times New Roman"/>
          <w:color w:val="FF0000"/>
          <w:sz w:val="24"/>
          <w:szCs w:val="24"/>
          <w:lang w:eastAsia="sk-SK"/>
        </w:rPr>
      </w:pPr>
    </w:p>
    <w:p w:rsidR="00541C95" w:rsidRPr="00541C95" w:rsidRDefault="00541C95" w:rsidP="00541C95">
      <w:pPr>
        <w:spacing w:after="0" w:line="240" w:lineRule="auto"/>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Záväzky predstavujú predovšetkým mzdové záväzky voči zamestnancom a z nevyplatených</w:t>
      </w:r>
      <w:r w:rsidRPr="00541C95">
        <w:rPr>
          <w:rFonts w:ascii="Times New Roman" w:eastAsia="Times New Roman" w:hAnsi="Times New Roman" w:cs="Times New Roman"/>
          <w:color w:val="FF0000"/>
          <w:sz w:val="24"/>
          <w:szCs w:val="24"/>
          <w:lang w:eastAsia="sk-SK"/>
        </w:rPr>
        <w:t xml:space="preserve"> </w:t>
      </w:r>
      <w:r w:rsidRPr="00541C95">
        <w:rPr>
          <w:rFonts w:ascii="Times New Roman" w:eastAsia="Times New Roman" w:hAnsi="Times New Roman" w:cs="Times New Roman"/>
          <w:sz w:val="24"/>
          <w:szCs w:val="24"/>
          <w:lang w:eastAsia="sk-SK"/>
        </w:rPr>
        <w:t>miezd a odvodov za december 201</w:t>
      </w:r>
      <w:r w:rsidR="00EA5219">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 xml:space="preserve">. </w:t>
      </w:r>
    </w:p>
    <w:p w:rsidR="00541C95" w:rsidRPr="00541C95" w:rsidRDefault="00541C95" w:rsidP="00541C95">
      <w:pPr>
        <w:spacing w:after="0" w:line="240" w:lineRule="auto"/>
        <w:ind w:left="426"/>
        <w:rPr>
          <w:rFonts w:ascii="Times New Roman" w:eastAsia="Times New Roman" w:hAnsi="Times New Roman" w:cs="Times New Roman"/>
          <w:color w:val="FF0000"/>
          <w:lang w:eastAsia="sk-SK"/>
        </w:rPr>
      </w:pPr>
    </w:p>
    <w:p w:rsidR="00541C95" w:rsidRPr="00541C95" w:rsidRDefault="00541C95" w:rsidP="00541C95">
      <w:pPr>
        <w:spacing w:after="0" w:line="240" w:lineRule="auto"/>
        <w:rPr>
          <w:rFonts w:ascii="Times New Roman" w:eastAsia="Times New Roman" w:hAnsi="Times New Roman" w:cs="Times New Roman"/>
          <w:color w:val="FF0000"/>
          <w:lang w:eastAsia="sk-SK"/>
        </w:rPr>
      </w:pPr>
    </w:p>
    <w:p w:rsidR="00541C95" w:rsidRPr="00541C95" w:rsidRDefault="00541C95" w:rsidP="00541C95">
      <w:pPr>
        <w:tabs>
          <w:tab w:val="left" w:pos="0"/>
          <w:tab w:val="left" w:pos="360"/>
          <w:tab w:val="left" w:pos="420"/>
        </w:tabs>
        <w:spacing w:after="0" w:line="240" w:lineRule="auto"/>
        <w:ind w:left="-14" w:hanging="70"/>
        <w:rPr>
          <w:rFonts w:ascii="Times New Roman" w:eastAsia="Times New Roman" w:hAnsi="Times New Roman" w:cs="Times New Roman"/>
          <w:b/>
          <w:lang w:eastAsia="sk-SK"/>
        </w:rPr>
      </w:pPr>
      <w:r w:rsidRPr="00541C95">
        <w:rPr>
          <w:rFonts w:ascii="Times New Roman" w:eastAsia="Times New Roman" w:hAnsi="Times New Roman" w:cs="Times New Roman"/>
          <w:lang w:eastAsia="sk-SK"/>
        </w:rPr>
        <w:t xml:space="preserve">  </w:t>
      </w:r>
      <w:r w:rsidRPr="00541C95">
        <w:rPr>
          <w:rFonts w:ascii="Times New Roman" w:eastAsia="Times New Roman" w:hAnsi="Times New Roman" w:cs="Times New Roman"/>
          <w:b/>
          <w:lang w:eastAsia="sk-SK"/>
        </w:rPr>
        <w:t>V.</w:t>
      </w:r>
      <w:r w:rsidRPr="00541C95">
        <w:rPr>
          <w:rFonts w:ascii="Times New Roman" w:eastAsia="Times New Roman" w:hAnsi="Times New Roman" w:cs="Times New Roman"/>
          <w:b/>
          <w:lang w:eastAsia="sk-SK"/>
        </w:rPr>
        <w:tab/>
      </w:r>
      <w:r w:rsidRPr="00541C95">
        <w:rPr>
          <w:rFonts w:ascii="Times New Roman" w:eastAsia="Times New Roman" w:hAnsi="Times New Roman" w:cs="Times New Roman"/>
          <w:b/>
          <w:lang w:eastAsia="sk-SK"/>
        </w:rPr>
        <w:tab/>
        <w:t>INFORMÁCIE O VÝNOSOCH  A  NÁKLADOCH</w:t>
      </w:r>
    </w:p>
    <w:p w:rsidR="00541C95" w:rsidRPr="00541C95" w:rsidRDefault="00541C95" w:rsidP="00541C95">
      <w:pPr>
        <w:tabs>
          <w:tab w:val="left" w:pos="0"/>
          <w:tab w:val="left" w:pos="360"/>
          <w:tab w:val="left" w:pos="420"/>
        </w:tabs>
        <w:spacing w:after="0" w:line="240" w:lineRule="auto"/>
        <w:ind w:left="-14" w:hanging="70"/>
        <w:rPr>
          <w:rFonts w:ascii="Times New Roman" w:eastAsia="Times New Roman" w:hAnsi="Times New Roman" w:cs="Times New Roman"/>
          <w:b/>
          <w:color w:val="FF0000"/>
          <w:lang w:eastAsia="sk-SK"/>
        </w:rPr>
      </w:pPr>
    </w:p>
    <w:p w:rsidR="00541C95" w:rsidRPr="00541C95" w:rsidRDefault="00541C95" w:rsidP="00541C95">
      <w:pPr>
        <w:spacing w:after="0" w:line="240" w:lineRule="auto"/>
        <w:jc w:val="both"/>
        <w:rPr>
          <w:rFonts w:ascii="Times New Roman" w:eastAsia="Times New Roman" w:hAnsi="Times New Roman" w:cs="Times New Roman"/>
          <w:sz w:val="24"/>
          <w:szCs w:val="24"/>
          <w:lang w:eastAsia="x-none"/>
        </w:rPr>
      </w:pPr>
      <w:r w:rsidRPr="00541C95">
        <w:rPr>
          <w:rFonts w:ascii="Times New Roman" w:eastAsia="Times New Roman" w:hAnsi="Times New Roman" w:cs="Times New Roman"/>
          <w:sz w:val="24"/>
          <w:szCs w:val="24"/>
          <w:lang w:eastAsia="x-none"/>
        </w:rPr>
        <w:t>Významnou položkou výnosov sú výnosy z prijatých transferov od zriaďovateľa a transferov</w:t>
      </w:r>
      <w:r w:rsidRPr="00541C95">
        <w:rPr>
          <w:rFonts w:ascii="Times New Roman" w:eastAsia="Times New Roman" w:hAnsi="Times New Roman" w:cs="Times New Roman"/>
          <w:color w:val="FF0000"/>
          <w:sz w:val="24"/>
          <w:szCs w:val="24"/>
          <w:lang w:eastAsia="x-none"/>
        </w:rPr>
        <w:t xml:space="preserve"> </w:t>
      </w:r>
      <w:r w:rsidRPr="00541C95">
        <w:rPr>
          <w:rFonts w:ascii="Times New Roman" w:eastAsia="Times New Roman" w:hAnsi="Times New Roman" w:cs="Times New Roman"/>
          <w:sz w:val="24"/>
          <w:szCs w:val="24"/>
          <w:lang w:eastAsia="x-none"/>
        </w:rPr>
        <w:t xml:space="preserve">prijatých zo štátneho rozpočtu. </w:t>
      </w:r>
    </w:p>
    <w:p w:rsidR="00541C95" w:rsidRPr="00541C95" w:rsidRDefault="00541C95" w:rsidP="00541C95">
      <w:pPr>
        <w:spacing w:after="0" w:line="240" w:lineRule="auto"/>
        <w:jc w:val="both"/>
        <w:rPr>
          <w:rFonts w:ascii="Times New Roman" w:eastAsia="Times New Roman" w:hAnsi="Times New Roman" w:cs="Times New Roman"/>
          <w:color w:val="FF0000"/>
          <w:lang w:eastAsia="sk-SK"/>
        </w:rPr>
      </w:pPr>
    </w:p>
    <w:p w:rsidR="00541C95" w:rsidRPr="00541C95" w:rsidRDefault="00541C95" w:rsidP="00541C95">
      <w:pPr>
        <w:spacing w:after="0" w:line="240" w:lineRule="auto"/>
        <w:rPr>
          <w:rFonts w:ascii="Times New Roman" w:eastAsia="Times New Roman" w:hAnsi="Times New Roman" w:cs="Times New Roman"/>
          <w:b/>
          <w:color w:val="FF0000"/>
          <w:sz w:val="24"/>
          <w:szCs w:val="24"/>
          <w:lang w:eastAsia="x-none"/>
        </w:rPr>
      </w:pPr>
    </w:p>
    <w:p w:rsidR="00541C95" w:rsidRPr="00541C95" w:rsidRDefault="00541C95" w:rsidP="00541C95">
      <w:pPr>
        <w:spacing w:after="0" w:line="240" w:lineRule="auto"/>
        <w:rPr>
          <w:rFonts w:ascii="Times New Roman" w:eastAsia="Times New Roman" w:hAnsi="Times New Roman" w:cs="Times New Roman"/>
          <w:b/>
          <w:color w:val="FF0000"/>
          <w:sz w:val="24"/>
          <w:szCs w:val="24"/>
          <w:lang w:eastAsia="x-none"/>
        </w:rPr>
      </w:pPr>
    </w:p>
    <w:p w:rsidR="00541C95" w:rsidRDefault="00541C95" w:rsidP="00541C95">
      <w:pPr>
        <w:spacing w:after="0" w:line="240" w:lineRule="auto"/>
        <w:rPr>
          <w:rFonts w:ascii="Times New Roman" w:eastAsia="Times New Roman" w:hAnsi="Times New Roman" w:cs="Times New Roman"/>
          <w:b/>
          <w:color w:val="FF0000"/>
          <w:sz w:val="24"/>
          <w:szCs w:val="24"/>
          <w:lang w:eastAsia="x-none"/>
        </w:rPr>
      </w:pPr>
    </w:p>
    <w:p w:rsidR="00EA5219" w:rsidRDefault="00EA5219" w:rsidP="00541C95">
      <w:pPr>
        <w:spacing w:after="0" w:line="240" w:lineRule="auto"/>
        <w:rPr>
          <w:rFonts w:ascii="Times New Roman" w:eastAsia="Times New Roman" w:hAnsi="Times New Roman" w:cs="Times New Roman"/>
          <w:b/>
          <w:color w:val="FF0000"/>
          <w:sz w:val="24"/>
          <w:szCs w:val="24"/>
          <w:lang w:eastAsia="x-none"/>
        </w:rPr>
      </w:pPr>
    </w:p>
    <w:p w:rsidR="00EA5219" w:rsidRPr="00541C95" w:rsidRDefault="00EA5219" w:rsidP="00541C95">
      <w:pPr>
        <w:spacing w:after="0" w:line="240" w:lineRule="auto"/>
        <w:rPr>
          <w:rFonts w:ascii="Times New Roman" w:eastAsia="Times New Roman" w:hAnsi="Times New Roman" w:cs="Times New Roman"/>
          <w:b/>
          <w:color w:val="FF0000"/>
          <w:sz w:val="24"/>
          <w:szCs w:val="24"/>
          <w:lang w:eastAsia="x-none"/>
        </w:rPr>
      </w:pPr>
    </w:p>
    <w:p w:rsidR="00541C95" w:rsidRPr="00541C95" w:rsidRDefault="00541C95" w:rsidP="00541C95">
      <w:pPr>
        <w:spacing w:after="0" w:line="240" w:lineRule="auto"/>
        <w:rPr>
          <w:rFonts w:ascii="Times New Roman" w:eastAsia="Times New Roman" w:hAnsi="Times New Roman" w:cs="Times New Roman"/>
          <w:b/>
          <w:color w:val="FF0000"/>
          <w:sz w:val="24"/>
          <w:szCs w:val="24"/>
          <w:lang w:eastAsia="x-none"/>
        </w:rPr>
      </w:pPr>
    </w:p>
    <w:p w:rsidR="00541C95" w:rsidRPr="00541C95" w:rsidRDefault="00541C95" w:rsidP="00541C95">
      <w:pPr>
        <w:spacing w:after="0" w:line="240" w:lineRule="auto"/>
        <w:rPr>
          <w:rFonts w:ascii="Times New Roman" w:eastAsia="Times New Roman" w:hAnsi="Times New Roman" w:cs="Times New Roman"/>
          <w:b/>
          <w:color w:val="FF0000"/>
          <w:sz w:val="24"/>
          <w:szCs w:val="24"/>
          <w:lang w:eastAsia="x-none"/>
        </w:rPr>
      </w:pPr>
    </w:p>
    <w:p w:rsidR="00541C95" w:rsidRPr="00541C95" w:rsidRDefault="00541C95" w:rsidP="00541C95">
      <w:pPr>
        <w:spacing w:after="0" w:line="240" w:lineRule="auto"/>
        <w:rPr>
          <w:rFonts w:ascii="Times New Roman" w:eastAsia="Times New Roman" w:hAnsi="Times New Roman" w:cs="Times New Roman"/>
          <w:b/>
          <w:sz w:val="24"/>
          <w:szCs w:val="24"/>
          <w:lang w:eastAsia="x-none"/>
        </w:rPr>
      </w:pPr>
      <w:r w:rsidRPr="00541C95">
        <w:rPr>
          <w:rFonts w:ascii="Times New Roman" w:eastAsia="Times New Roman" w:hAnsi="Times New Roman" w:cs="Times New Roman"/>
          <w:b/>
          <w:sz w:val="24"/>
          <w:szCs w:val="24"/>
          <w:lang w:eastAsia="x-none"/>
        </w:rPr>
        <w:lastRenderedPageBreak/>
        <w:t>Prehľad o nákladov na materiál, energie a služby</w:t>
      </w:r>
    </w:p>
    <w:p w:rsidR="00541C95" w:rsidRPr="00541C95" w:rsidRDefault="00541C95" w:rsidP="00541C95">
      <w:pPr>
        <w:spacing w:after="0" w:line="240" w:lineRule="auto"/>
        <w:ind w:left="426"/>
        <w:jc w:val="right"/>
        <w:rPr>
          <w:rFonts w:ascii="Times New Roman" w:eastAsia="Times New Roman" w:hAnsi="Times New Roman" w:cs="Times New Roman"/>
          <w:i/>
          <w:lang w:eastAsia="sk-SK"/>
        </w:rPr>
      </w:pPr>
      <w:r w:rsidRPr="00541C95">
        <w:rPr>
          <w:rFonts w:ascii="Times New Roman" w:eastAsia="Times New Roman" w:hAnsi="Times New Roman" w:cs="Times New Roman"/>
          <w:i/>
          <w:lang w:eastAsia="sk-SK"/>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43"/>
        <w:gridCol w:w="1825"/>
        <w:gridCol w:w="1994"/>
      </w:tblGrid>
      <w:tr w:rsidR="00541C95" w:rsidRPr="00541C95" w:rsidTr="00EA5219">
        <w:trPr>
          <w:trHeight w:val="305"/>
        </w:trPr>
        <w:tc>
          <w:tcPr>
            <w:tcW w:w="5243" w:type="dxa"/>
          </w:tcPr>
          <w:p w:rsidR="00541C95" w:rsidRPr="00541C95" w:rsidRDefault="00541C95" w:rsidP="00541C95">
            <w:pPr>
              <w:spacing w:after="0" w:line="240" w:lineRule="auto"/>
              <w:jc w:val="both"/>
              <w:rPr>
                <w:rFonts w:ascii="Times New Roman" w:eastAsia="Times New Roman" w:hAnsi="Times New Roman" w:cs="Times New Roman"/>
                <w:sz w:val="24"/>
                <w:szCs w:val="24"/>
                <w:lang w:eastAsia="sk-SK"/>
              </w:rPr>
            </w:pPr>
          </w:p>
        </w:tc>
        <w:tc>
          <w:tcPr>
            <w:tcW w:w="1825" w:type="dxa"/>
            <w:shd w:val="clear" w:color="auto" w:fill="BFBFBF"/>
          </w:tcPr>
          <w:p w:rsidR="00541C95" w:rsidRPr="00541C95" w:rsidRDefault="00EA5219" w:rsidP="00541C95">
            <w:pPr>
              <w:spacing w:after="0" w:line="240" w:lineRule="auto"/>
              <w:jc w:val="center"/>
              <w:rPr>
                <w:rFonts w:ascii="Times New Roman" w:eastAsia="Times New Roman" w:hAnsi="Times New Roman" w:cs="Times New Roman"/>
                <w:i/>
                <w:sz w:val="20"/>
                <w:szCs w:val="20"/>
                <w:lang w:eastAsia="sk-SK"/>
              </w:rPr>
            </w:pPr>
            <w:r>
              <w:rPr>
                <w:rFonts w:ascii="Times New Roman" w:eastAsia="Times New Roman" w:hAnsi="Times New Roman" w:cs="Times New Roman"/>
                <w:i/>
                <w:sz w:val="20"/>
                <w:szCs w:val="20"/>
                <w:lang w:eastAsia="sk-SK"/>
              </w:rPr>
              <w:t>31.12.2016</w:t>
            </w:r>
          </w:p>
        </w:tc>
        <w:tc>
          <w:tcPr>
            <w:tcW w:w="1994" w:type="dxa"/>
            <w:shd w:val="clear" w:color="auto" w:fill="BFBFBF"/>
          </w:tcPr>
          <w:p w:rsidR="00541C95" w:rsidRPr="00541C95" w:rsidRDefault="00EA5219" w:rsidP="00541C95">
            <w:pPr>
              <w:spacing w:after="0" w:line="240" w:lineRule="auto"/>
              <w:jc w:val="center"/>
              <w:rPr>
                <w:rFonts w:ascii="Times New Roman" w:eastAsia="Times New Roman" w:hAnsi="Times New Roman" w:cs="Times New Roman"/>
                <w:i/>
                <w:sz w:val="20"/>
                <w:szCs w:val="20"/>
                <w:lang w:eastAsia="sk-SK"/>
              </w:rPr>
            </w:pPr>
            <w:r>
              <w:rPr>
                <w:rFonts w:ascii="Times New Roman" w:eastAsia="Times New Roman" w:hAnsi="Times New Roman" w:cs="Times New Roman"/>
                <w:i/>
                <w:sz w:val="20"/>
                <w:szCs w:val="20"/>
                <w:lang w:eastAsia="sk-SK"/>
              </w:rPr>
              <w:t>31.12.2015</w:t>
            </w:r>
          </w:p>
        </w:tc>
      </w:tr>
      <w:tr w:rsidR="00EA5219" w:rsidRPr="00541C95" w:rsidTr="00EA5219">
        <w:tc>
          <w:tcPr>
            <w:tcW w:w="5243" w:type="dxa"/>
            <w:vAlign w:val="bottom"/>
          </w:tcPr>
          <w:p w:rsidR="00EA5219" w:rsidRPr="00541C95" w:rsidRDefault="00EA5219" w:rsidP="00EA5219">
            <w:pPr>
              <w:spacing w:after="0" w:line="240" w:lineRule="auto"/>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501 – spotreba materiálu</w:t>
            </w:r>
          </w:p>
        </w:tc>
        <w:tc>
          <w:tcPr>
            <w:tcW w:w="1825"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66820</w:t>
            </w:r>
          </w:p>
        </w:tc>
        <w:tc>
          <w:tcPr>
            <w:tcW w:w="1994"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47805</w:t>
            </w:r>
          </w:p>
        </w:tc>
      </w:tr>
      <w:tr w:rsidR="00EA5219" w:rsidRPr="00541C95" w:rsidTr="00EA5219">
        <w:tc>
          <w:tcPr>
            <w:tcW w:w="5243" w:type="dxa"/>
            <w:vAlign w:val="bottom"/>
          </w:tcPr>
          <w:p w:rsidR="00EA5219" w:rsidRPr="00541C95" w:rsidRDefault="00EA5219" w:rsidP="00EA5219">
            <w:pPr>
              <w:spacing w:after="0" w:line="240" w:lineRule="auto"/>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502 – spotreba energie</w:t>
            </w:r>
          </w:p>
        </w:tc>
        <w:tc>
          <w:tcPr>
            <w:tcW w:w="1825"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7218</w:t>
            </w:r>
          </w:p>
        </w:tc>
        <w:tc>
          <w:tcPr>
            <w:tcW w:w="1994"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6863</w:t>
            </w:r>
          </w:p>
        </w:tc>
      </w:tr>
      <w:tr w:rsidR="00EA5219" w:rsidRPr="00541C95" w:rsidTr="00EA5219">
        <w:tc>
          <w:tcPr>
            <w:tcW w:w="5243" w:type="dxa"/>
            <w:vAlign w:val="bottom"/>
          </w:tcPr>
          <w:p w:rsidR="00EA5219" w:rsidRPr="00541C95" w:rsidRDefault="00EA5219" w:rsidP="00EA5219">
            <w:pPr>
              <w:spacing w:after="0" w:line="240" w:lineRule="auto"/>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 xml:space="preserve">511 – opravy a údržba </w:t>
            </w:r>
          </w:p>
        </w:tc>
        <w:tc>
          <w:tcPr>
            <w:tcW w:w="1825"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3294</w:t>
            </w:r>
          </w:p>
        </w:tc>
        <w:tc>
          <w:tcPr>
            <w:tcW w:w="1994"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11399</w:t>
            </w:r>
          </w:p>
        </w:tc>
      </w:tr>
      <w:tr w:rsidR="00EA5219" w:rsidRPr="00541C95" w:rsidTr="00EA5219">
        <w:tc>
          <w:tcPr>
            <w:tcW w:w="5243" w:type="dxa"/>
            <w:vAlign w:val="bottom"/>
          </w:tcPr>
          <w:p w:rsidR="00EA5219" w:rsidRPr="00541C95" w:rsidRDefault="00EA5219" w:rsidP="00EA5219">
            <w:pPr>
              <w:spacing w:after="0" w:line="240" w:lineRule="auto"/>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518 – ostatné služby</w:t>
            </w:r>
          </w:p>
        </w:tc>
        <w:tc>
          <w:tcPr>
            <w:tcW w:w="1825"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29207</w:t>
            </w:r>
          </w:p>
        </w:tc>
        <w:tc>
          <w:tcPr>
            <w:tcW w:w="1994"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20272</w:t>
            </w:r>
          </w:p>
        </w:tc>
      </w:tr>
      <w:tr w:rsidR="00EA5219" w:rsidRPr="00541C95" w:rsidTr="00EA5219">
        <w:tc>
          <w:tcPr>
            <w:tcW w:w="5243" w:type="dxa"/>
            <w:vAlign w:val="bottom"/>
          </w:tcPr>
          <w:p w:rsidR="00EA5219" w:rsidRPr="00541C95" w:rsidRDefault="00EA5219" w:rsidP="00EA5219">
            <w:pPr>
              <w:spacing w:after="0" w:line="240" w:lineRule="auto"/>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512 – cestovné náklady</w:t>
            </w:r>
          </w:p>
        </w:tc>
        <w:tc>
          <w:tcPr>
            <w:tcW w:w="1825"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Pr>
                <w:rFonts w:ascii="Times New Roman" w:eastAsia="Times New Roman" w:hAnsi="Times New Roman" w:cs="Times New Roman"/>
                <w:sz w:val="20"/>
                <w:szCs w:val="20"/>
                <w:lang w:eastAsia="sk-SK"/>
              </w:rPr>
              <w:t>1911</w:t>
            </w:r>
          </w:p>
        </w:tc>
        <w:tc>
          <w:tcPr>
            <w:tcW w:w="1994" w:type="dxa"/>
            <w:vAlign w:val="bottom"/>
          </w:tcPr>
          <w:p w:rsidR="00EA5219" w:rsidRPr="00541C95" w:rsidRDefault="00EA5219" w:rsidP="00EA5219">
            <w:pPr>
              <w:spacing w:after="0" w:line="240" w:lineRule="auto"/>
              <w:jc w:val="right"/>
              <w:rPr>
                <w:rFonts w:ascii="Times New Roman" w:eastAsia="Times New Roman" w:hAnsi="Times New Roman" w:cs="Times New Roman"/>
                <w:sz w:val="20"/>
                <w:szCs w:val="20"/>
                <w:lang w:eastAsia="sk-SK"/>
              </w:rPr>
            </w:pPr>
            <w:r w:rsidRPr="00541C95">
              <w:rPr>
                <w:rFonts w:ascii="Times New Roman" w:eastAsia="Times New Roman" w:hAnsi="Times New Roman" w:cs="Times New Roman"/>
                <w:sz w:val="20"/>
                <w:szCs w:val="20"/>
                <w:lang w:eastAsia="sk-SK"/>
              </w:rPr>
              <w:t>1076</w:t>
            </w:r>
          </w:p>
        </w:tc>
      </w:tr>
    </w:tbl>
    <w:p w:rsidR="00541C95" w:rsidRPr="00541C95" w:rsidRDefault="00541C95" w:rsidP="00541C95">
      <w:pPr>
        <w:tabs>
          <w:tab w:val="left" w:pos="0"/>
          <w:tab w:val="left" w:pos="360"/>
          <w:tab w:val="left" w:pos="420"/>
        </w:tabs>
        <w:spacing w:after="0" w:line="240" w:lineRule="auto"/>
        <w:ind w:left="-14" w:hanging="70"/>
        <w:rPr>
          <w:rFonts w:ascii="Times New Roman" w:eastAsia="Times New Roman" w:hAnsi="Times New Roman" w:cs="Times New Roman"/>
          <w:b/>
          <w:color w:val="FF0000"/>
          <w:lang w:eastAsia="sk-SK"/>
        </w:rPr>
      </w:pPr>
    </w:p>
    <w:p w:rsidR="00541C95" w:rsidRPr="00541C95" w:rsidRDefault="00541C95" w:rsidP="00541C95">
      <w:pPr>
        <w:spacing w:after="0" w:line="240" w:lineRule="auto"/>
        <w:rPr>
          <w:rFonts w:ascii="Times New Roman" w:eastAsia="Times New Roman" w:hAnsi="Times New Roman" w:cs="Times New Roman"/>
          <w:color w:val="FF0000"/>
          <w:lang w:eastAsia="sk-SK"/>
        </w:rPr>
      </w:pPr>
    </w:p>
    <w:p w:rsidR="00541C95" w:rsidRPr="00541C95" w:rsidRDefault="00541C95" w:rsidP="00541C95">
      <w:pPr>
        <w:tabs>
          <w:tab w:val="left" w:pos="462"/>
        </w:tabs>
        <w:spacing w:after="0" w:line="240" w:lineRule="auto"/>
        <w:rPr>
          <w:rFonts w:ascii="Times New Roman" w:eastAsia="Times New Roman" w:hAnsi="Times New Roman" w:cs="Times New Roman"/>
          <w:b/>
          <w:lang w:eastAsia="sk-SK"/>
        </w:rPr>
      </w:pPr>
      <w:r w:rsidRPr="00541C95">
        <w:rPr>
          <w:rFonts w:ascii="Times New Roman" w:eastAsia="Times New Roman" w:hAnsi="Times New Roman" w:cs="Times New Roman"/>
          <w:b/>
          <w:lang w:eastAsia="sk-SK"/>
        </w:rPr>
        <w:t xml:space="preserve">VIII. INFORMÁCIE O SPRIAZNENÝCH OSOBÁCH A O EKONOMICKÝCH VZŤAHOCH ÚČTOVNEJ JEDNOTKY A SPRIAZNENÝCH OSÔB </w:t>
      </w:r>
    </w:p>
    <w:p w:rsidR="00541C95" w:rsidRPr="00541C95" w:rsidRDefault="00541C95" w:rsidP="00541C95">
      <w:pPr>
        <w:spacing w:after="0" w:line="240" w:lineRule="auto"/>
        <w:rPr>
          <w:rFonts w:ascii="Times New Roman" w:eastAsia="Times New Roman" w:hAnsi="Times New Roman" w:cs="Times New Roman"/>
          <w:lang w:eastAsia="sk-SK"/>
        </w:rPr>
      </w:pPr>
    </w:p>
    <w:p w:rsidR="00541C95" w:rsidRPr="00541C95" w:rsidRDefault="00541C95" w:rsidP="00541C95">
      <w:pPr>
        <w:spacing w:after="0" w:line="240" w:lineRule="auto"/>
        <w:rPr>
          <w:rFonts w:ascii="Arial" w:eastAsia="Times New Roman" w:hAnsi="Arial" w:cs="Arial"/>
          <w:sz w:val="18"/>
          <w:szCs w:val="18"/>
          <w:lang w:eastAsia="sk-SK"/>
        </w:rPr>
      </w:pPr>
      <w:r w:rsidRPr="00541C95">
        <w:rPr>
          <w:rFonts w:ascii="Times New Roman" w:eastAsia="Times New Roman" w:hAnsi="Times New Roman" w:cs="Times New Roman"/>
          <w:sz w:val="24"/>
          <w:szCs w:val="24"/>
          <w:lang w:eastAsia="sk-SK"/>
        </w:rPr>
        <w:t xml:space="preserve">Základná škola uskutočnila v priebehu účtovného obdobia transakciu s materskou účtovnou jednotkou mestom Veľký Meder vo forme prijatia transferu vo výške </w:t>
      </w:r>
      <w:r w:rsidR="00EA5219">
        <w:rPr>
          <w:rFonts w:ascii="Times New Roman" w:eastAsia="Times New Roman" w:hAnsi="Times New Roman" w:cs="Times New Roman"/>
          <w:sz w:val="24"/>
          <w:szCs w:val="24"/>
          <w:lang w:eastAsia="sk-SK"/>
        </w:rPr>
        <w:t>78</w:t>
      </w:r>
      <w:r w:rsidRPr="00541C95">
        <w:rPr>
          <w:rFonts w:ascii="Times New Roman" w:eastAsia="Times New Roman" w:hAnsi="Times New Roman" w:cs="Times New Roman"/>
          <w:sz w:val="24"/>
          <w:szCs w:val="24"/>
          <w:lang w:eastAsia="sk-SK"/>
        </w:rPr>
        <w:t>.</w:t>
      </w:r>
      <w:r w:rsidR="00EA5219">
        <w:rPr>
          <w:rFonts w:ascii="Times New Roman" w:eastAsia="Times New Roman" w:hAnsi="Times New Roman" w:cs="Times New Roman"/>
          <w:sz w:val="24"/>
          <w:szCs w:val="24"/>
          <w:lang w:eastAsia="sk-SK"/>
        </w:rPr>
        <w:t>124</w:t>
      </w:r>
      <w:r w:rsidRPr="00541C95">
        <w:rPr>
          <w:rFonts w:ascii="Times New Roman" w:eastAsia="Times New Roman" w:hAnsi="Times New Roman" w:cs="Times New Roman"/>
          <w:sz w:val="24"/>
          <w:szCs w:val="24"/>
          <w:lang w:eastAsia="sk-SK"/>
        </w:rPr>
        <w:t>,</w:t>
      </w:r>
      <w:r w:rsidR="00EA5219">
        <w:rPr>
          <w:rFonts w:ascii="Times New Roman" w:eastAsia="Times New Roman" w:hAnsi="Times New Roman" w:cs="Times New Roman"/>
          <w:sz w:val="24"/>
          <w:szCs w:val="24"/>
          <w:lang w:eastAsia="sk-SK"/>
        </w:rPr>
        <w:t>67</w:t>
      </w:r>
      <w:r w:rsidRPr="00541C95">
        <w:rPr>
          <w:rFonts w:ascii="Times New Roman" w:eastAsia="Times New Roman" w:hAnsi="Times New Roman" w:cs="Times New Roman"/>
          <w:sz w:val="24"/>
          <w:szCs w:val="24"/>
          <w:lang w:eastAsia="sk-SK"/>
        </w:rPr>
        <w:t xml:space="preserve"> eur.</w:t>
      </w:r>
    </w:p>
    <w:p w:rsidR="00541C95" w:rsidRPr="00541C95" w:rsidRDefault="00541C95" w:rsidP="00541C95">
      <w:pPr>
        <w:tabs>
          <w:tab w:val="left" w:pos="448"/>
        </w:tabs>
        <w:spacing w:after="0" w:line="240" w:lineRule="auto"/>
        <w:ind w:left="425" w:hanging="425"/>
        <w:rPr>
          <w:rFonts w:ascii="Times New Roman" w:eastAsia="Times New Roman" w:hAnsi="Times New Roman" w:cs="Times New Roman"/>
          <w:b/>
          <w:lang w:eastAsia="sk-SK"/>
        </w:rPr>
      </w:pPr>
    </w:p>
    <w:p w:rsidR="00541C95" w:rsidRPr="00541C95" w:rsidRDefault="00541C95" w:rsidP="00541C95">
      <w:pPr>
        <w:tabs>
          <w:tab w:val="left" w:pos="448"/>
        </w:tabs>
        <w:spacing w:after="0" w:line="240" w:lineRule="auto"/>
        <w:ind w:left="425" w:hanging="425"/>
        <w:rPr>
          <w:rFonts w:ascii="Times New Roman" w:eastAsia="Times New Roman" w:hAnsi="Times New Roman" w:cs="Times New Roman"/>
          <w:b/>
          <w:lang w:eastAsia="sk-SK"/>
        </w:rPr>
      </w:pPr>
    </w:p>
    <w:p w:rsidR="00541C95" w:rsidRPr="00541C95" w:rsidRDefault="00541C95" w:rsidP="00541C95">
      <w:pPr>
        <w:tabs>
          <w:tab w:val="left" w:pos="448"/>
        </w:tabs>
        <w:spacing w:after="0" w:line="240" w:lineRule="auto"/>
        <w:ind w:left="425" w:hanging="425"/>
        <w:rPr>
          <w:rFonts w:ascii="Times New Roman" w:eastAsia="Times New Roman" w:hAnsi="Times New Roman" w:cs="Times New Roman"/>
          <w:b/>
          <w:lang w:eastAsia="sk-SK"/>
        </w:rPr>
      </w:pPr>
      <w:r w:rsidRPr="00541C95">
        <w:rPr>
          <w:rFonts w:ascii="Times New Roman" w:eastAsia="Times New Roman" w:hAnsi="Times New Roman" w:cs="Times New Roman"/>
          <w:b/>
          <w:lang w:eastAsia="sk-SK"/>
        </w:rPr>
        <w:t>IX. INFORMÁCIE O ROZPOČTE A HODNOTENIE PLNENIA ROZPOČET</w:t>
      </w:r>
    </w:p>
    <w:p w:rsidR="00541C95" w:rsidRPr="00541C95" w:rsidRDefault="00541C95" w:rsidP="00541C95">
      <w:pPr>
        <w:tabs>
          <w:tab w:val="left" w:pos="448"/>
        </w:tabs>
        <w:spacing w:after="0" w:line="240" w:lineRule="auto"/>
        <w:ind w:left="425" w:hanging="425"/>
        <w:rPr>
          <w:rFonts w:ascii="Times New Roman" w:eastAsia="Times New Roman" w:hAnsi="Times New Roman" w:cs="Times New Roman"/>
          <w:b/>
          <w:lang w:eastAsia="sk-SK"/>
        </w:rPr>
      </w:pPr>
    </w:p>
    <w:p w:rsidR="00541C95" w:rsidRPr="00541C95" w:rsidRDefault="00541C95" w:rsidP="00541C95">
      <w:pPr>
        <w:tabs>
          <w:tab w:val="left" w:pos="448"/>
        </w:tabs>
        <w:spacing w:after="0" w:line="240" w:lineRule="auto"/>
        <w:ind w:left="425" w:hanging="425"/>
        <w:rPr>
          <w:rFonts w:ascii="Times New Roman" w:eastAsia="Times New Roman" w:hAnsi="Times New Roman" w:cs="Times New Roman"/>
          <w:b/>
          <w:sz w:val="24"/>
          <w:szCs w:val="24"/>
          <w:lang w:eastAsia="sk-SK"/>
        </w:rPr>
      </w:pPr>
      <w:r w:rsidRPr="00541C95">
        <w:rPr>
          <w:rFonts w:ascii="Times New Roman" w:eastAsia="Times New Roman" w:hAnsi="Times New Roman" w:cs="Times New Roman"/>
          <w:sz w:val="24"/>
          <w:szCs w:val="24"/>
          <w:lang w:eastAsia="x-none"/>
        </w:rPr>
        <w:t>Informácie</w:t>
      </w:r>
      <w:r w:rsidRPr="00541C95">
        <w:rPr>
          <w:rFonts w:ascii="Times New Roman" w:eastAsia="Times New Roman" w:hAnsi="Times New Roman" w:cs="Times New Roman"/>
          <w:sz w:val="24"/>
          <w:szCs w:val="24"/>
          <w:lang w:eastAsia="sk-SK"/>
        </w:rPr>
        <w:t xml:space="preserve"> o rozpočte sú uvedené v tabuľkovej časti. </w:t>
      </w:r>
    </w:p>
    <w:p w:rsidR="00541C95" w:rsidRPr="00541C95" w:rsidRDefault="00541C95" w:rsidP="00541C95">
      <w:pPr>
        <w:tabs>
          <w:tab w:val="left" w:pos="448"/>
        </w:tabs>
        <w:spacing w:after="0" w:line="240" w:lineRule="auto"/>
        <w:rPr>
          <w:rFonts w:ascii="Times New Roman" w:eastAsia="Times New Roman" w:hAnsi="Times New Roman" w:cs="Times New Roman"/>
          <w:b/>
          <w:lang w:eastAsia="sk-SK"/>
        </w:rPr>
      </w:pPr>
    </w:p>
    <w:p w:rsidR="00541C95" w:rsidRPr="00541C95" w:rsidRDefault="00541C95" w:rsidP="00541C95">
      <w:pPr>
        <w:tabs>
          <w:tab w:val="left" w:pos="448"/>
        </w:tabs>
        <w:spacing w:after="0" w:line="240" w:lineRule="auto"/>
        <w:ind w:left="425" w:hanging="425"/>
        <w:rPr>
          <w:rFonts w:ascii="Times New Roman" w:eastAsia="Times New Roman" w:hAnsi="Times New Roman" w:cs="Times New Roman"/>
          <w:b/>
          <w:lang w:eastAsia="sk-SK"/>
        </w:rPr>
      </w:pPr>
      <w:r w:rsidRPr="00541C95">
        <w:rPr>
          <w:rFonts w:ascii="Times New Roman" w:eastAsia="Times New Roman" w:hAnsi="Times New Roman" w:cs="Times New Roman"/>
          <w:b/>
          <w:lang w:eastAsia="sk-SK"/>
        </w:rPr>
        <w:t>X.</w:t>
      </w:r>
      <w:r w:rsidRPr="00541C95">
        <w:rPr>
          <w:rFonts w:ascii="Times New Roman" w:eastAsia="Times New Roman" w:hAnsi="Times New Roman" w:cs="Times New Roman"/>
          <w:b/>
          <w:lang w:eastAsia="sk-SK"/>
        </w:rPr>
        <w:tab/>
        <w:t xml:space="preserve"> SKUTOČNOSTI, KTORÉ NASTALI PO DNI, KU KTORÉMU SA ZOSTAVUJE ÚČTOVNÁ ZÁVIERKA, DO DŇA JEJ ZOSTAVENIA</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r w:rsidRPr="00541C95">
        <w:rPr>
          <w:rFonts w:ascii="Times New Roman" w:eastAsia="Times New Roman" w:hAnsi="Times New Roman" w:cs="Times New Roman"/>
          <w:sz w:val="24"/>
          <w:szCs w:val="24"/>
          <w:lang w:eastAsia="sk-SK"/>
        </w:rPr>
        <w:t xml:space="preserve">Po 31. decembri </w:t>
      </w:r>
      <w:r w:rsidRPr="00541C95">
        <w:rPr>
          <w:rFonts w:ascii="Times New Roman" w:eastAsia="Times New Roman" w:hAnsi="Times New Roman" w:cs="Times New Roman"/>
          <w:iCs/>
          <w:sz w:val="24"/>
          <w:szCs w:val="24"/>
          <w:lang w:eastAsia="sk-SK"/>
        </w:rPr>
        <w:t>201</w:t>
      </w:r>
      <w:r w:rsidR="00EA5219">
        <w:rPr>
          <w:rFonts w:ascii="Times New Roman" w:eastAsia="Times New Roman" w:hAnsi="Times New Roman" w:cs="Times New Roman"/>
          <w:iCs/>
          <w:sz w:val="24"/>
          <w:szCs w:val="24"/>
          <w:lang w:eastAsia="sk-SK"/>
        </w:rPr>
        <w:t>6</w:t>
      </w:r>
      <w:r w:rsidRPr="00541C95">
        <w:rPr>
          <w:rFonts w:ascii="Times New Roman" w:eastAsia="Times New Roman" w:hAnsi="Times New Roman" w:cs="Times New Roman"/>
          <w:sz w:val="24"/>
          <w:szCs w:val="24"/>
          <w:lang w:eastAsia="sk-SK"/>
        </w:rPr>
        <w:t xml:space="preserve"> nenastali také udalosti, ktoré by si vyžadovali zverejnenie alebo vykázanie v účtovnej závierke za rok 201</w:t>
      </w:r>
      <w:r w:rsidR="00EA5219">
        <w:rPr>
          <w:rFonts w:ascii="Times New Roman" w:eastAsia="Times New Roman" w:hAnsi="Times New Roman" w:cs="Times New Roman"/>
          <w:sz w:val="24"/>
          <w:szCs w:val="24"/>
          <w:lang w:eastAsia="sk-SK"/>
        </w:rPr>
        <w:t>6</w:t>
      </w:r>
      <w:r w:rsidRPr="00541C95">
        <w:rPr>
          <w:rFonts w:ascii="Times New Roman" w:eastAsia="Times New Roman" w:hAnsi="Times New Roman" w:cs="Times New Roman"/>
          <w:sz w:val="24"/>
          <w:szCs w:val="24"/>
          <w:lang w:eastAsia="sk-SK"/>
        </w:rPr>
        <w:t>.</w:t>
      </w:r>
    </w:p>
    <w:p w:rsidR="00541C95" w:rsidRPr="00541C95" w:rsidRDefault="00541C95" w:rsidP="00541C95">
      <w:pPr>
        <w:spacing w:after="0" w:line="240" w:lineRule="auto"/>
        <w:ind w:left="-30" w:right="-79"/>
        <w:jc w:val="both"/>
        <w:rPr>
          <w:rFonts w:ascii="Times New Roman" w:eastAsia="Times New Roman" w:hAnsi="Times New Roman" w:cs="Times New Roman"/>
          <w:sz w:val="24"/>
          <w:szCs w:val="24"/>
          <w:lang w:eastAsia="sk-SK"/>
        </w:rPr>
      </w:pPr>
    </w:p>
    <w:p w:rsidR="00541C95" w:rsidRPr="00541C95" w:rsidRDefault="00541C95" w:rsidP="00541C95">
      <w:pPr>
        <w:spacing w:after="0" w:line="240" w:lineRule="auto"/>
        <w:ind w:left="-30" w:right="-79"/>
        <w:jc w:val="both"/>
        <w:rPr>
          <w:rFonts w:ascii="Times New Roman" w:eastAsia="Times New Roman" w:hAnsi="Times New Roman" w:cs="Times New Roman"/>
          <w:color w:val="FF0000"/>
          <w:sz w:val="24"/>
          <w:szCs w:val="24"/>
          <w:lang w:eastAsia="sk-SK"/>
        </w:rPr>
      </w:pPr>
    </w:p>
    <w:p w:rsidR="00541C95" w:rsidRPr="00541C95" w:rsidRDefault="00541C95" w:rsidP="00541C95">
      <w:pPr>
        <w:spacing w:after="0" w:line="240" w:lineRule="auto"/>
        <w:rPr>
          <w:rFonts w:ascii="Times New Roman" w:eastAsia="Times New Roman" w:hAnsi="Times New Roman" w:cs="Times New Roman"/>
          <w:color w:val="FF0000"/>
          <w:lang w:eastAsia="sk-SK"/>
        </w:rPr>
      </w:pPr>
      <w:bookmarkStart w:id="2" w:name="_GoBack"/>
      <w:bookmarkEnd w:id="2"/>
    </w:p>
    <w:p w:rsidR="00541C95" w:rsidRPr="00541C95" w:rsidRDefault="00541C95" w:rsidP="00541C95">
      <w:pPr>
        <w:spacing w:after="0" w:line="240" w:lineRule="auto"/>
        <w:rPr>
          <w:rFonts w:ascii="Cambria" w:eastAsia="Times New Roman" w:hAnsi="Cambria" w:cs="Times New Roman"/>
          <w:color w:val="FF0000"/>
          <w:lang w:eastAsia="sk-SK"/>
        </w:rPr>
      </w:pPr>
    </w:p>
    <w:p w:rsidR="00541C95" w:rsidRPr="00541C95" w:rsidRDefault="00541C95" w:rsidP="00541C95">
      <w:pPr>
        <w:spacing w:after="0" w:line="240" w:lineRule="auto"/>
        <w:rPr>
          <w:rFonts w:ascii="Cambria" w:eastAsia="Times New Roman" w:hAnsi="Cambria" w:cs="Times New Roman"/>
          <w:color w:val="FF0000"/>
          <w:lang w:eastAsia="sk-SK"/>
        </w:rPr>
      </w:pPr>
    </w:p>
    <w:p w:rsidR="00541C95" w:rsidRPr="00541C95" w:rsidRDefault="00541C95" w:rsidP="00541C95">
      <w:pPr>
        <w:spacing w:after="0" w:line="240" w:lineRule="auto"/>
        <w:rPr>
          <w:rFonts w:ascii="Cambria" w:eastAsia="Times New Roman" w:hAnsi="Cambria" w:cs="Times New Roman"/>
          <w:lang w:eastAsia="sk-SK"/>
        </w:rPr>
      </w:pPr>
      <w:r w:rsidRPr="00541C95">
        <w:rPr>
          <w:rFonts w:ascii="Cambria" w:eastAsia="Times New Roman" w:hAnsi="Cambria" w:cs="Times New Roman"/>
          <w:lang w:eastAsia="sk-SK"/>
        </w:rPr>
        <w:t>Vo Veľkom Mederi dňa 21.4.201</w:t>
      </w:r>
      <w:r w:rsidR="00EA5219">
        <w:rPr>
          <w:rFonts w:ascii="Cambria" w:eastAsia="Times New Roman" w:hAnsi="Cambria" w:cs="Times New Roman"/>
          <w:lang w:eastAsia="sk-SK"/>
        </w:rPr>
        <w:t>7</w:t>
      </w:r>
      <w:r w:rsidRPr="00541C95">
        <w:rPr>
          <w:rFonts w:ascii="Cambria" w:eastAsia="Times New Roman" w:hAnsi="Cambria" w:cs="Times New Roman"/>
          <w:lang w:eastAsia="sk-SK"/>
        </w:rPr>
        <w:tab/>
      </w:r>
      <w:r w:rsidRPr="00541C95">
        <w:rPr>
          <w:rFonts w:ascii="Cambria" w:eastAsia="Times New Roman" w:hAnsi="Cambria" w:cs="Times New Roman"/>
          <w:lang w:eastAsia="sk-SK"/>
        </w:rPr>
        <w:tab/>
      </w:r>
      <w:r w:rsidRPr="00541C95">
        <w:rPr>
          <w:rFonts w:ascii="Cambria" w:eastAsia="Times New Roman" w:hAnsi="Cambria" w:cs="Times New Roman"/>
          <w:lang w:eastAsia="sk-SK"/>
        </w:rPr>
        <w:tab/>
      </w:r>
      <w:r w:rsidRPr="00541C95">
        <w:rPr>
          <w:rFonts w:ascii="Cambria" w:eastAsia="Times New Roman" w:hAnsi="Cambria" w:cs="Times New Roman"/>
          <w:lang w:eastAsia="sk-SK"/>
        </w:rPr>
        <w:tab/>
        <w:t>___________________________________</w:t>
      </w:r>
    </w:p>
    <w:p w:rsidR="00541C95" w:rsidRPr="00541C95" w:rsidRDefault="00541C95" w:rsidP="00541C95">
      <w:pPr>
        <w:spacing w:after="0" w:line="240" w:lineRule="auto"/>
        <w:rPr>
          <w:rFonts w:ascii="Cambria" w:eastAsia="Times New Roman" w:hAnsi="Cambria" w:cs="Times New Roman"/>
          <w:lang w:eastAsia="sk-SK"/>
        </w:rPr>
      </w:pPr>
      <w:r w:rsidRPr="00541C95">
        <w:rPr>
          <w:rFonts w:ascii="Cambria" w:eastAsia="Times New Roman" w:hAnsi="Cambria" w:cs="Times New Roman"/>
          <w:lang w:eastAsia="sk-SK"/>
        </w:rPr>
        <w:tab/>
      </w:r>
      <w:r w:rsidRPr="00541C95">
        <w:rPr>
          <w:rFonts w:ascii="Cambria" w:eastAsia="Times New Roman" w:hAnsi="Cambria" w:cs="Times New Roman"/>
          <w:lang w:eastAsia="sk-SK"/>
        </w:rPr>
        <w:tab/>
      </w:r>
      <w:r w:rsidRPr="00541C95">
        <w:rPr>
          <w:rFonts w:ascii="Cambria" w:eastAsia="Times New Roman" w:hAnsi="Cambria" w:cs="Times New Roman"/>
          <w:lang w:eastAsia="sk-SK"/>
        </w:rPr>
        <w:tab/>
      </w:r>
      <w:r w:rsidRPr="00541C95">
        <w:rPr>
          <w:rFonts w:ascii="Cambria" w:eastAsia="Times New Roman" w:hAnsi="Cambria" w:cs="Times New Roman"/>
          <w:lang w:eastAsia="sk-SK"/>
        </w:rPr>
        <w:tab/>
      </w:r>
      <w:r w:rsidRPr="00541C95">
        <w:rPr>
          <w:rFonts w:ascii="Cambria" w:eastAsia="Times New Roman" w:hAnsi="Cambria" w:cs="Times New Roman"/>
          <w:lang w:eastAsia="sk-SK"/>
        </w:rPr>
        <w:tab/>
      </w:r>
      <w:r w:rsidRPr="00541C95">
        <w:rPr>
          <w:rFonts w:ascii="Cambria" w:eastAsia="Times New Roman" w:hAnsi="Cambria" w:cs="Times New Roman"/>
          <w:lang w:eastAsia="sk-SK"/>
        </w:rPr>
        <w:tab/>
      </w:r>
      <w:r w:rsidRPr="00541C95">
        <w:rPr>
          <w:rFonts w:ascii="Cambria" w:eastAsia="Times New Roman" w:hAnsi="Cambria" w:cs="Times New Roman"/>
          <w:lang w:eastAsia="sk-SK"/>
        </w:rPr>
        <w:tab/>
      </w:r>
      <w:r w:rsidRPr="00541C95">
        <w:rPr>
          <w:rFonts w:ascii="Cambria" w:eastAsia="Times New Roman" w:hAnsi="Cambria" w:cs="Times New Roman"/>
          <w:lang w:eastAsia="sk-SK"/>
        </w:rPr>
        <w:tab/>
        <w:t xml:space="preserve">    Mgr. Mária </w:t>
      </w:r>
      <w:proofErr w:type="spellStart"/>
      <w:r w:rsidRPr="00541C95">
        <w:rPr>
          <w:rFonts w:ascii="Cambria" w:eastAsia="Times New Roman" w:hAnsi="Cambria" w:cs="Times New Roman"/>
          <w:lang w:eastAsia="sk-SK"/>
        </w:rPr>
        <w:t>Estergájošová</w:t>
      </w:r>
      <w:proofErr w:type="spellEnd"/>
    </w:p>
    <w:p w:rsidR="0050006A" w:rsidRDefault="00541C95" w:rsidP="00541C95">
      <w:r w:rsidRPr="00541C95">
        <w:rPr>
          <w:rFonts w:ascii="Cambria" w:eastAsia="Times New Roman" w:hAnsi="Cambria" w:cs="Times New Roman"/>
          <w:lang w:eastAsia="sk-SK"/>
        </w:rPr>
        <w:tab/>
      </w:r>
    </w:p>
    <w:sectPr w:rsidR="0050006A">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1C95" w:rsidRDefault="00541C95" w:rsidP="00541C95">
      <w:pPr>
        <w:spacing w:after="0" w:line="240" w:lineRule="auto"/>
      </w:pPr>
      <w:r>
        <w:separator/>
      </w:r>
    </w:p>
  </w:endnote>
  <w:endnote w:type="continuationSeparator" w:id="0">
    <w:p w:rsidR="00541C95" w:rsidRDefault="00541C95" w:rsidP="00541C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1C95" w:rsidRDefault="00541C95" w:rsidP="00541C95">
      <w:pPr>
        <w:spacing w:after="0" w:line="240" w:lineRule="auto"/>
      </w:pPr>
      <w:r>
        <w:separator/>
      </w:r>
    </w:p>
  </w:footnote>
  <w:footnote w:type="continuationSeparator" w:id="0">
    <w:p w:rsidR="00541C95" w:rsidRDefault="00541C95" w:rsidP="00541C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1C95" w:rsidRPr="00541C95" w:rsidRDefault="00541C95" w:rsidP="00541C95">
    <w:pPr>
      <w:pStyle w:val="Hlavika"/>
      <w:jc w:val="center"/>
      <w:rPr>
        <w:b/>
        <w:sz w:val="28"/>
        <w:szCs w:val="28"/>
      </w:rPr>
    </w:pPr>
    <w:r w:rsidRPr="00541C95">
      <w:rPr>
        <w:b/>
        <w:sz w:val="28"/>
        <w:szCs w:val="28"/>
      </w:rPr>
      <w:t>Základná škola Jána Amosa Komenského Veľký Meder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1C95"/>
    <w:rsid w:val="0050006A"/>
    <w:rsid w:val="00541C95"/>
    <w:rsid w:val="00EA521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3C1886-3CA3-440C-936E-06E8B2AF4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541C9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541C95"/>
  </w:style>
  <w:style w:type="paragraph" w:styleId="Pta">
    <w:name w:val="footer"/>
    <w:basedOn w:val="Normlny"/>
    <w:link w:val="PtaChar"/>
    <w:uiPriority w:val="99"/>
    <w:unhideWhenUsed/>
    <w:rsid w:val="00541C95"/>
    <w:pPr>
      <w:tabs>
        <w:tab w:val="center" w:pos="4536"/>
        <w:tab w:val="right" w:pos="9072"/>
      </w:tabs>
      <w:spacing w:after="0" w:line="240" w:lineRule="auto"/>
    </w:pPr>
  </w:style>
  <w:style w:type="character" w:customStyle="1" w:styleId="PtaChar">
    <w:name w:val="Päta Char"/>
    <w:basedOn w:val="Predvolenpsmoodseku"/>
    <w:link w:val="Pta"/>
    <w:uiPriority w:val="99"/>
    <w:rsid w:val="00541C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4</Pages>
  <Words>948</Words>
  <Characters>6548</Characters>
  <Application>Microsoft Office Word</Application>
  <DocSecurity>0</DocSecurity>
  <Lines>54</Lines>
  <Paragraphs>14</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Méryová</dc:creator>
  <cp:keywords/>
  <dc:description/>
  <cp:lastModifiedBy>Méryová</cp:lastModifiedBy>
  <cp:revision>1</cp:revision>
  <dcterms:created xsi:type="dcterms:W3CDTF">2017-04-24T06:32:00Z</dcterms:created>
  <dcterms:modified xsi:type="dcterms:W3CDTF">2017-04-24T06:50:00Z</dcterms:modified>
</cp:coreProperties>
</file>