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435" w:rsidRPr="00A55E63" w:rsidRDefault="00DB2435">
      <w:pPr>
        <w:spacing w:before="2" w:line="140" w:lineRule="exact"/>
        <w:rPr>
          <w:sz w:val="14"/>
          <w:szCs w:val="14"/>
          <w:lang w:val="en-US"/>
        </w:rPr>
      </w:pPr>
    </w:p>
    <w:p w:rsidR="00DB2435" w:rsidRPr="00A55E63" w:rsidRDefault="00DB2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účtovnej závierke za rok 201</w:t>
      </w:r>
      <w:r w:rsidR="002B79AC">
        <w:rPr>
          <w:rFonts w:ascii="Arial Narrow" w:hAnsi="Arial Narrow"/>
          <w:b/>
        </w:rPr>
        <w:t>6</w:t>
      </w:r>
    </w:p>
    <w:p w:rsidR="00DB2435" w:rsidRPr="00A55E63" w:rsidRDefault="00DB2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DB2435" w:rsidRPr="00A55E63" w:rsidRDefault="00DB2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č.10/2014)</w:t>
      </w:r>
    </w:p>
    <w:p w:rsidR="00DB2435" w:rsidRPr="00A55E63" w:rsidRDefault="00DB2435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DB2435" w:rsidRPr="00A55E63" w:rsidRDefault="00DB2435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DB2435" w:rsidRPr="00A55E63" w:rsidRDefault="00DB2435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DB2435" w:rsidRPr="00A55E63" w:rsidRDefault="00DB2435" w:rsidP="00AD749D">
      <w:pPr>
        <w:spacing w:before="7" w:line="240" w:lineRule="exact"/>
        <w:jc w:val="both"/>
        <w:rPr>
          <w:rFonts w:ascii="Arial" w:hAnsi="Arial" w:cs="Arial"/>
        </w:rPr>
      </w:pPr>
    </w:p>
    <w:p w:rsidR="00DB2435" w:rsidRPr="00A55E63" w:rsidRDefault="00DB2435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B2435" w:rsidRPr="00A55E63" w:rsidRDefault="00DB2435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2"/>
        <w:gridCol w:w="6495"/>
      </w:tblGrid>
      <w:tr w:rsidR="00DB2435" w:rsidRPr="00672263" w:rsidTr="00672263">
        <w:tc>
          <w:tcPr>
            <w:tcW w:w="3085" w:type="dxa"/>
          </w:tcPr>
          <w:p w:rsidR="00DB2435" w:rsidRPr="00672263" w:rsidRDefault="00DB2435" w:rsidP="0067226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DB2435" w:rsidRPr="00672263" w:rsidRDefault="00F53061" w:rsidP="00F530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Cinema</w:t>
            </w:r>
            <w:proofErr w:type="spellEnd"/>
            <w:r>
              <w:rPr>
                <w:rFonts w:ascii="Arial" w:hAnsi="Arial" w:cs="Arial"/>
              </w:rPr>
              <w:t xml:space="preserve"> Design,</w:t>
            </w:r>
            <w:r w:rsidR="006D0FE7">
              <w:rPr>
                <w:rFonts w:ascii="Arial" w:hAnsi="Arial" w:cs="Arial"/>
              </w:rPr>
              <w:t xml:space="preserve"> s</w:t>
            </w:r>
            <w:r>
              <w:rPr>
                <w:rFonts w:ascii="Arial" w:hAnsi="Arial" w:cs="Arial"/>
              </w:rPr>
              <w:t>.</w:t>
            </w:r>
            <w:r w:rsidR="006D0FE7">
              <w:rPr>
                <w:rFonts w:ascii="Arial" w:hAnsi="Arial" w:cs="Arial"/>
              </w:rPr>
              <w:t> </w:t>
            </w:r>
            <w:proofErr w:type="spellStart"/>
            <w:r w:rsidR="006D0FE7">
              <w:rPr>
                <w:rFonts w:ascii="Arial" w:hAnsi="Arial" w:cs="Arial"/>
              </w:rPr>
              <w:t>r.o</w:t>
            </w:r>
            <w:proofErr w:type="spellEnd"/>
            <w:r w:rsidR="006D0FE7">
              <w:rPr>
                <w:rFonts w:ascii="Arial" w:hAnsi="Arial" w:cs="Arial"/>
              </w:rPr>
              <w:t>.</w:t>
            </w:r>
          </w:p>
        </w:tc>
      </w:tr>
      <w:tr w:rsidR="00DB2435" w:rsidRPr="00672263" w:rsidTr="00672263">
        <w:tc>
          <w:tcPr>
            <w:tcW w:w="3085" w:type="dxa"/>
          </w:tcPr>
          <w:p w:rsidR="00DB2435" w:rsidRPr="00672263" w:rsidRDefault="00DB2435" w:rsidP="0067226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DB2435" w:rsidRPr="00672263" w:rsidRDefault="00F53061" w:rsidP="006D0FE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46567500</w:t>
            </w:r>
          </w:p>
        </w:tc>
      </w:tr>
      <w:tr w:rsidR="00DB2435" w:rsidRPr="00672263" w:rsidTr="00672263">
        <w:tc>
          <w:tcPr>
            <w:tcW w:w="3085" w:type="dxa"/>
          </w:tcPr>
          <w:p w:rsidR="00DB2435" w:rsidRPr="00672263" w:rsidRDefault="00DB2435" w:rsidP="00672263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DB2435" w:rsidRPr="00672263" w:rsidRDefault="00F53061" w:rsidP="00F530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Svornosti 50,</w:t>
            </w:r>
            <w:r w:rsidR="008F7D18">
              <w:rPr>
                <w:rFonts w:ascii="Arial" w:hAnsi="Arial" w:cs="Arial"/>
              </w:rPr>
              <w:t xml:space="preserve"> 8</w:t>
            </w:r>
            <w:r>
              <w:rPr>
                <w:rFonts w:ascii="Arial" w:hAnsi="Arial" w:cs="Arial"/>
              </w:rPr>
              <w:t>2</w:t>
            </w:r>
            <w:r w:rsidR="008F7D18">
              <w:rPr>
                <w:rFonts w:ascii="Arial" w:hAnsi="Arial" w:cs="Arial"/>
              </w:rPr>
              <w:t>1 0</w:t>
            </w:r>
            <w:r>
              <w:rPr>
                <w:rFonts w:ascii="Arial" w:hAnsi="Arial" w:cs="Arial"/>
              </w:rPr>
              <w:t>6</w:t>
            </w:r>
            <w:r w:rsidR="008F7D18">
              <w:rPr>
                <w:rFonts w:ascii="Arial" w:hAnsi="Arial" w:cs="Arial"/>
              </w:rPr>
              <w:t xml:space="preserve"> Bratislava</w:t>
            </w:r>
            <w:r w:rsidR="00515F1E">
              <w:rPr>
                <w:rFonts w:ascii="Arial" w:hAnsi="Arial" w:cs="Arial"/>
              </w:rPr>
              <w:t xml:space="preserve"> </w:t>
            </w:r>
          </w:p>
        </w:tc>
      </w:tr>
    </w:tbl>
    <w:p w:rsidR="00DB2435" w:rsidRPr="00A55E63" w:rsidRDefault="00DB2435" w:rsidP="00EB55FA">
      <w:pPr>
        <w:spacing w:line="260" w:lineRule="exact"/>
        <w:jc w:val="both"/>
        <w:rPr>
          <w:rFonts w:ascii="Arial" w:hAnsi="Arial" w:cs="Arial"/>
        </w:rPr>
      </w:pPr>
    </w:p>
    <w:p w:rsidR="00DB2435" w:rsidRPr="00A55E63" w:rsidRDefault="00DB2435" w:rsidP="00EB55FA">
      <w:pPr>
        <w:spacing w:line="260" w:lineRule="exact"/>
        <w:jc w:val="both"/>
        <w:rPr>
          <w:rFonts w:ascii="Arial" w:hAnsi="Arial" w:cs="Arial"/>
        </w:rPr>
      </w:pPr>
    </w:p>
    <w:p w:rsidR="00DB2435" w:rsidRPr="00A55E63" w:rsidRDefault="00DB243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="006B5D06">
        <w:rPr>
          <w:rFonts w:ascii="Arial" w:hAnsi="Arial" w:cs="Arial"/>
          <w:spacing w:val="-5"/>
          <w:sz w:val="22"/>
          <w:szCs w:val="22"/>
        </w:rPr>
        <w:t xml:space="preserve"> Účtovná jednotka nie je súčasťou konsolidovaného celku.</w:t>
      </w:r>
    </w:p>
    <w:p w:rsidR="00DB2435" w:rsidRPr="00A55E63" w:rsidRDefault="00DB243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B2435" w:rsidRPr="00A55E63" w:rsidRDefault="00DB243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B2435" w:rsidRPr="00A55E63" w:rsidRDefault="00DB2435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DB2435" w:rsidRPr="00A55E63" w:rsidRDefault="00DB243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3"/>
        <w:gridCol w:w="2095"/>
        <w:gridCol w:w="3299"/>
      </w:tblGrid>
      <w:tr w:rsidR="00DB2435" w:rsidRPr="00672263" w:rsidTr="00672263">
        <w:tc>
          <w:tcPr>
            <w:tcW w:w="4219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Bežné účtovné</w:t>
            </w:r>
          </w:p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DB2435" w:rsidRPr="00672263" w:rsidRDefault="00DB2435" w:rsidP="0067226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6722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B2435" w:rsidRPr="00672263" w:rsidTr="00672263">
        <w:tc>
          <w:tcPr>
            <w:tcW w:w="4219" w:type="dxa"/>
          </w:tcPr>
          <w:p w:rsidR="00DB2435" w:rsidRPr="00672263" w:rsidRDefault="00DB2435" w:rsidP="00672263">
            <w:pPr>
              <w:spacing w:line="260" w:lineRule="exact"/>
              <w:rPr>
                <w:rFonts w:ascii="Arial" w:hAnsi="Arial" w:cs="Arial"/>
              </w:rPr>
            </w:pPr>
            <w:r w:rsidRPr="006722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DB2435" w:rsidRPr="00672263" w:rsidRDefault="008219FE" w:rsidP="00672263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DB2435" w:rsidRPr="00672263" w:rsidRDefault="008219FE" w:rsidP="00672263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DB2435" w:rsidRPr="00A55E63" w:rsidRDefault="00DB2435" w:rsidP="00AD6C8A">
      <w:pPr>
        <w:spacing w:line="260" w:lineRule="exact"/>
        <w:jc w:val="both"/>
        <w:rPr>
          <w:rFonts w:ascii="Arial" w:hAnsi="Arial" w:cs="Arial"/>
        </w:rPr>
      </w:pPr>
    </w:p>
    <w:p w:rsidR="00DB2435" w:rsidRPr="00A55E63" w:rsidRDefault="00DB2435" w:rsidP="00AD749D">
      <w:pPr>
        <w:spacing w:before="1" w:line="280" w:lineRule="exact"/>
        <w:jc w:val="both"/>
        <w:rPr>
          <w:rFonts w:ascii="Arial" w:hAnsi="Arial" w:cs="Arial"/>
        </w:rPr>
      </w:pPr>
    </w:p>
    <w:p w:rsidR="00DB2435" w:rsidRPr="00A55E63" w:rsidRDefault="00DB2435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DB2435" w:rsidRPr="00A55E63" w:rsidRDefault="00DB2435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DB2435" w:rsidRPr="00A55E63" w:rsidRDefault="00DB2435" w:rsidP="00AD749D">
      <w:pPr>
        <w:spacing w:before="11" w:line="260" w:lineRule="exact"/>
        <w:jc w:val="both"/>
        <w:rPr>
          <w:rFonts w:ascii="Arial" w:hAnsi="Arial" w:cs="Arial"/>
        </w:rPr>
      </w:pPr>
    </w:p>
    <w:p w:rsidR="00DB2435" w:rsidRPr="00A53406" w:rsidRDefault="00DB2435" w:rsidP="00A534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3406">
        <w:rPr>
          <w:rFonts w:ascii="Arial" w:hAnsi="Arial" w:cs="Arial"/>
          <w:spacing w:val="-1"/>
          <w:sz w:val="22"/>
          <w:szCs w:val="22"/>
        </w:rPr>
        <w:t>1. Účtovná závierka bola zostavená za predpokladu nepretržitého trvania Spoločnosti (</w:t>
      </w:r>
      <w:proofErr w:type="spellStart"/>
      <w:r w:rsidRPr="00A53406">
        <w:rPr>
          <w:rFonts w:ascii="Arial" w:hAnsi="Arial" w:cs="Arial"/>
          <w:spacing w:val="-1"/>
          <w:sz w:val="22"/>
          <w:szCs w:val="22"/>
        </w:rPr>
        <w:t>going</w:t>
      </w:r>
      <w:proofErr w:type="spellEnd"/>
      <w:r w:rsidRPr="00A53406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Pr="00A53406">
        <w:rPr>
          <w:rFonts w:ascii="Arial" w:hAnsi="Arial" w:cs="Arial"/>
          <w:spacing w:val="-1"/>
          <w:sz w:val="22"/>
          <w:szCs w:val="22"/>
        </w:rPr>
        <w:t>concern</w:t>
      </w:r>
      <w:proofErr w:type="spellEnd"/>
      <w:r w:rsidRPr="00A53406">
        <w:rPr>
          <w:rFonts w:ascii="Arial" w:hAnsi="Arial" w:cs="Arial"/>
          <w:spacing w:val="-1"/>
          <w:sz w:val="22"/>
          <w:szCs w:val="22"/>
        </w:rPr>
        <w:t>).</w:t>
      </w: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7"/>
        <w:gridCol w:w="4770"/>
      </w:tblGrid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22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22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n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672263">
              <w:rPr>
                <w:rFonts w:ascii="Arial" w:hAnsi="Arial" w:cs="Arial"/>
                <w:sz w:val="22"/>
                <w:szCs w:val="22"/>
              </w:rPr>
              <w:t>ný ma</w:t>
            </w:r>
            <w:r w:rsidRPr="006722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r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672263">
              <w:rPr>
                <w:rFonts w:ascii="Arial" w:hAnsi="Arial" w:cs="Arial"/>
                <w:sz w:val="22"/>
                <w:szCs w:val="22"/>
              </w:rPr>
              <w:t>kúpo</w:t>
            </w:r>
            <w:r w:rsidRPr="006722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6722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6722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672263">
              <w:rPr>
                <w:rFonts w:ascii="Arial" w:hAnsi="Arial" w:cs="Arial"/>
                <w:sz w:val="22"/>
                <w:szCs w:val="22"/>
              </w:rPr>
              <w:t>tvor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6722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d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672263">
              <w:rPr>
                <w:rFonts w:ascii="Arial" w:hAnsi="Arial" w:cs="Arial"/>
                <w:sz w:val="22"/>
                <w:szCs w:val="22"/>
              </w:rPr>
              <w:t>d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K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6722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672263">
              <w:rPr>
                <w:rFonts w:ascii="Arial" w:hAnsi="Arial" w:cs="Arial"/>
                <w:sz w:val="22"/>
                <w:szCs w:val="22"/>
              </w:rPr>
              <w:t>ina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672263">
              <w:rPr>
                <w:rFonts w:ascii="Arial" w:hAnsi="Arial" w:cs="Arial"/>
                <w:sz w:val="22"/>
                <w:szCs w:val="22"/>
              </w:rPr>
              <w:t>ný maj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672263">
              <w:rPr>
                <w:rFonts w:ascii="Arial" w:hAnsi="Arial" w:cs="Arial"/>
                <w:sz w:val="22"/>
                <w:szCs w:val="22"/>
              </w:rPr>
              <w:t>v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672263">
              <w:rPr>
                <w:rFonts w:ascii="Arial" w:hAnsi="Arial" w:cs="Arial"/>
                <w:sz w:val="22"/>
                <w:szCs w:val="22"/>
              </w:rPr>
              <w:t>ky v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672263">
              <w:rPr>
                <w:rFonts w:ascii="Arial" w:hAnsi="Arial" w:cs="Arial"/>
                <w:sz w:val="22"/>
                <w:szCs w:val="22"/>
              </w:rPr>
              <w:t>tane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Pô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672263">
              <w:rPr>
                <w:rFonts w:ascii="Arial" w:hAnsi="Arial" w:cs="Arial"/>
                <w:sz w:val="22"/>
                <w:szCs w:val="22"/>
              </w:rPr>
              <w:t>ičky a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672263">
              <w:rPr>
                <w:rFonts w:ascii="Arial" w:hAnsi="Arial" w:cs="Arial"/>
                <w:sz w:val="22"/>
                <w:szCs w:val="22"/>
              </w:rPr>
              <w:t>úv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B2435" w:rsidRPr="00672263" w:rsidTr="00672263">
        <w:tc>
          <w:tcPr>
            <w:tcW w:w="4843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D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riv</w:t>
            </w:r>
            <w:r w:rsidRPr="006722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672263">
              <w:rPr>
                <w:rFonts w:ascii="Arial" w:hAnsi="Arial" w:cs="Arial"/>
                <w:sz w:val="22"/>
                <w:szCs w:val="22"/>
              </w:rPr>
              <w:t>to</w:t>
            </w:r>
            <w:r w:rsidRPr="006722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672263">
              <w:rPr>
                <w:rFonts w:ascii="Arial" w:hAnsi="Arial" w:cs="Arial"/>
                <w:sz w:val="22"/>
                <w:szCs w:val="22"/>
              </w:rPr>
              <w:t>op</w:t>
            </w:r>
            <w:r w:rsidRPr="006722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672263">
              <w:rPr>
                <w:rFonts w:ascii="Arial" w:hAnsi="Arial" w:cs="Arial"/>
                <w:sz w:val="22"/>
                <w:szCs w:val="22"/>
              </w:rPr>
              <w:t>rá</w:t>
            </w:r>
            <w:r w:rsidRPr="006722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6722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DB2435" w:rsidRPr="00672263" w:rsidRDefault="00DB2435" w:rsidP="0067226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2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lastRenderedPageBreak/>
        <w:t>Dlhodobý majetok nakupovaný sa oceňuje obstarávacou cenou, ktorá zahŕňa cenu obstarania a náklady súvisiace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s obstaraním (clo, prepravu, montáž, poistné a pod.).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Dlhodobý majetok vytvorený vlastnou činnosťou sa oceňuje vlastnými nákladmi. Vlastnými nákladmi sú všetky priame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náklady vynaložené na výrobu alebo inú činnosť a nepriame náklady, ktoré sa vzťahujú na výrobu alebo inú činnosť.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Odpisy dlhodobého nehmotného majetku sú stanovené vychádzajúc z predpokladanej doby jeho používania a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predpokladaného priebehu jeho opotrebenia. Odpisovať sa začína v mesiaci uvedenia dlhodobého majetku do používania.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Drobný dlhodobý nehmotný majetok, ktorého obstarávacia cena (resp. vlastné náklady) je 2 400 EUR a nižšia, sa odpisuje jednorazovo pri uvedení do používania. Odpisy dlhodobého hmotného majetku sú stanovené vychádzajúc z predpokladanej doby jeho používania a predpokladaného priebehu jeho opotrebenia. Odpisovať sa začína v mesiaci uvedenia dlhodobého majetku do používania. Drobný dlhodobý hmotný majetok, ktorého obstarávacia cena (resp. vlastné náklady) je 1 700 EUR a nižšia, sa odpisuje jednorazovo pri uvedení do používania. Pozemky sa neodpisujú.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Predpokladaná doba používania,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metóda odpisovania a odpisová sadzba sú uvedené v nasledujúcej tabuľke:</w:t>
      </w:r>
    </w:p>
    <w:p w:rsidR="00DB2435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</w:p>
    <w:p w:rsidR="00DB2435" w:rsidRPr="009F50AE" w:rsidRDefault="00DB2435" w:rsidP="00A53406">
      <w:pPr>
        <w:autoSpaceDE w:val="0"/>
        <w:autoSpaceDN w:val="0"/>
        <w:adjustRightInd w:val="0"/>
        <w:ind w:left="2832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Predpokladaná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Metóda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R</w:t>
      </w:r>
      <w:r w:rsidRPr="009F50AE">
        <w:rPr>
          <w:rFonts w:ascii="Times New Roman" w:hAnsi="Times New Roman"/>
          <w:sz w:val="18"/>
          <w:szCs w:val="18"/>
          <w:lang w:eastAsia="sk-SK"/>
        </w:rPr>
        <w:t>očná odpisová</w:t>
      </w:r>
    </w:p>
    <w:p w:rsidR="00DB2435" w:rsidRPr="009F50AE" w:rsidRDefault="00DB2435" w:rsidP="00A53406">
      <w:pPr>
        <w:autoSpaceDE w:val="0"/>
        <w:autoSpaceDN w:val="0"/>
        <w:adjustRightInd w:val="0"/>
        <w:ind w:left="2124" w:firstLine="708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doba používania</w:t>
      </w:r>
      <w:r>
        <w:rPr>
          <w:rFonts w:ascii="Times New Roman" w:hAnsi="Times New Roman"/>
          <w:sz w:val="18"/>
          <w:szCs w:val="18"/>
          <w:lang w:eastAsia="sk-SK"/>
        </w:rPr>
        <w:tab/>
        <w:t>o</w:t>
      </w:r>
      <w:r w:rsidRPr="009F50AE">
        <w:rPr>
          <w:rFonts w:ascii="Times New Roman" w:hAnsi="Times New Roman"/>
          <w:sz w:val="18"/>
          <w:szCs w:val="18"/>
          <w:lang w:eastAsia="sk-SK"/>
        </w:rPr>
        <w:t>dpisovania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sadzba v %</w:t>
      </w:r>
    </w:p>
    <w:p w:rsidR="00DB2435" w:rsidRPr="009F50AE" w:rsidRDefault="00DB2435" w:rsidP="00A53406">
      <w:pPr>
        <w:autoSpaceDE w:val="0"/>
        <w:autoSpaceDN w:val="0"/>
        <w:adjustRightInd w:val="0"/>
        <w:ind w:left="2124" w:firstLine="708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>v rokoch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Aktivované náklady na vývoj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5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20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Softvér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4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25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Oceniteľné práva (licencia)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8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12,5</w:t>
      </w:r>
    </w:p>
    <w:p w:rsidR="00DB2435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Drobný dlhodobý nehmotný majetok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rôzna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jednorazový odpis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100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Stavby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4</w:t>
      </w:r>
      <w:r w:rsidRPr="009F50AE">
        <w:rPr>
          <w:rFonts w:ascii="Times New Roman" w:hAnsi="Times New Roman"/>
          <w:sz w:val="18"/>
          <w:szCs w:val="18"/>
          <w:lang w:eastAsia="sk-SK"/>
        </w:rPr>
        <w:t>0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2,5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Stroje, prístroje a zariadenia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6</w:t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 až 12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lineárna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8,3 až 12,5</w:t>
      </w:r>
    </w:p>
    <w:p w:rsidR="00DB2435" w:rsidRPr="009F50AE" w:rsidRDefault="00DB2435" w:rsidP="00A53406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Dopravné prostriedky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4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  <w:t>lineárna</w:t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16 až 30</w:t>
      </w:r>
    </w:p>
    <w:p w:rsidR="00DB2435" w:rsidRDefault="00DB2435" w:rsidP="00A53406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eastAsia="sk-SK"/>
        </w:rPr>
      </w:pPr>
      <w:r w:rsidRPr="009F50AE">
        <w:rPr>
          <w:rFonts w:ascii="Times New Roman" w:hAnsi="Times New Roman"/>
          <w:sz w:val="18"/>
          <w:szCs w:val="18"/>
          <w:lang w:eastAsia="sk-SK"/>
        </w:rPr>
        <w:t xml:space="preserve">Drobný dlhodobý hmotný majetok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rôzna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 xml:space="preserve">jednorazový odpis </w:t>
      </w:r>
      <w:r>
        <w:rPr>
          <w:rFonts w:ascii="Times New Roman" w:hAnsi="Times New Roman"/>
          <w:sz w:val="18"/>
          <w:szCs w:val="18"/>
          <w:lang w:eastAsia="sk-SK"/>
        </w:rPr>
        <w:tab/>
      </w:r>
      <w:r>
        <w:rPr>
          <w:rFonts w:ascii="Times New Roman" w:hAnsi="Times New Roman"/>
          <w:sz w:val="18"/>
          <w:szCs w:val="18"/>
          <w:lang w:eastAsia="sk-SK"/>
        </w:rPr>
        <w:tab/>
      </w:r>
      <w:r w:rsidRPr="009F50AE">
        <w:rPr>
          <w:rFonts w:ascii="Times New Roman" w:hAnsi="Times New Roman"/>
          <w:sz w:val="18"/>
          <w:szCs w:val="18"/>
          <w:lang w:eastAsia="sk-SK"/>
        </w:rPr>
        <w:t>100.</w:t>
      </w:r>
    </w:p>
    <w:p w:rsidR="00DB2435" w:rsidRDefault="00DB2435" w:rsidP="00A53406">
      <w:pPr>
        <w:autoSpaceDE w:val="0"/>
        <w:autoSpaceDN w:val="0"/>
        <w:adjustRightInd w:val="0"/>
        <w:rPr>
          <w:rFonts w:ascii="Times New Roman" w:hAnsi="Times New Roman"/>
          <w:sz w:val="18"/>
          <w:szCs w:val="18"/>
          <w:lang w:eastAsia="sk-SK"/>
        </w:rPr>
      </w:pPr>
    </w:p>
    <w:p w:rsidR="00DB2435" w:rsidRDefault="00DB2435" w:rsidP="00A53406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DB2435" w:rsidRPr="009F50AE" w:rsidRDefault="00DB2435" w:rsidP="00A53406">
      <w:pPr>
        <w:autoSpaceDE w:val="0"/>
        <w:autoSpaceDN w:val="0"/>
        <w:adjustRightInd w:val="0"/>
        <w:rPr>
          <w:rFonts w:ascii="Times New Roman" w:hAnsi="Times New Roman"/>
          <w:b/>
          <w:bCs/>
          <w:sz w:val="18"/>
          <w:szCs w:val="18"/>
          <w:lang w:eastAsia="sk-SK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– spoločnosť v roku 201</w:t>
      </w:r>
      <w:r w:rsidR="00855A85">
        <w:rPr>
          <w:rFonts w:ascii="Arial" w:hAnsi="Arial" w:cs="Arial"/>
          <w:spacing w:val="-5"/>
          <w:sz w:val="22"/>
          <w:szCs w:val="22"/>
        </w:rPr>
        <w:t>6</w:t>
      </w:r>
      <w:r>
        <w:rPr>
          <w:rFonts w:ascii="Arial" w:hAnsi="Arial" w:cs="Arial"/>
          <w:spacing w:val="-5"/>
          <w:sz w:val="22"/>
          <w:szCs w:val="22"/>
        </w:rPr>
        <w:t xml:space="preserve"> nevykonala žiadne zmeny účtovných zásad a metód.</w:t>
      </w: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O nároku na dotácie zo štátneho rozpočtu sa účtuje, ak je takmer isté, že na základe splnených podmienok na poskytnutie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dotácie sa Spoločnosti daná dotácia poskytne.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Dotácie na hospodársku činnosť Spoločnosti sa najskôr vykazujú ako výnosy budúcich období a do výkazu ziskov a</w:t>
      </w:r>
      <w:r>
        <w:rPr>
          <w:rFonts w:ascii="Arial" w:hAnsi="Arial" w:cs="Arial"/>
          <w:sz w:val="22"/>
          <w:szCs w:val="22"/>
        </w:rPr>
        <w:t> </w:t>
      </w:r>
      <w:r w:rsidRPr="006C5286">
        <w:rPr>
          <w:rFonts w:ascii="Arial" w:hAnsi="Arial" w:cs="Arial"/>
          <w:sz w:val="22"/>
          <w:szCs w:val="22"/>
        </w:rPr>
        <w:t>strát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sa rozpúšťajú ako výnosy z hospodárskej činnosti v časovej a vecnej súvislosti s vynaložením nákladov na príslušný účel</w:t>
      </w:r>
      <w:r w:rsidR="006B5D06">
        <w:rPr>
          <w:rFonts w:ascii="Arial" w:hAnsi="Arial" w:cs="Arial"/>
          <w:sz w:val="22"/>
          <w:szCs w:val="22"/>
        </w:rPr>
        <w:t xml:space="preserve"> spoločnosť neúčtuje.</w:t>
      </w:r>
    </w:p>
    <w:p w:rsidR="00DB2435" w:rsidRPr="006C5286" w:rsidRDefault="00DB2435" w:rsidP="006C528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6C5286">
        <w:rPr>
          <w:rFonts w:ascii="Arial" w:hAnsi="Arial" w:cs="Arial"/>
          <w:sz w:val="22"/>
          <w:szCs w:val="22"/>
        </w:rPr>
        <w:t>Dotácie na obstaranie dlhodobého hmotného majetku a dlhodobého nehmotného majetku sa najskôr vykazujú ako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výnosy budúcich období a do výkazu ziskov a strát sa rozpúšťajú v časovej a vecnej súvislosti so zaúčtovaním odpisov</w:t>
      </w:r>
      <w:r>
        <w:rPr>
          <w:rFonts w:ascii="Arial" w:hAnsi="Arial" w:cs="Arial"/>
          <w:sz w:val="22"/>
          <w:szCs w:val="22"/>
        </w:rPr>
        <w:t xml:space="preserve"> </w:t>
      </w:r>
      <w:r w:rsidRPr="006C5286">
        <w:rPr>
          <w:rFonts w:ascii="Arial" w:hAnsi="Arial" w:cs="Arial"/>
          <w:sz w:val="22"/>
          <w:szCs w:val="22"/>
        </w:rPr>
        <w:t>z tohto dlhodobého majetku</w:t>
      </w:r>
      <w:r w:rsidR="006B5D06">
        <w:rPr>
          <w:rFonts w:ascii="Arial" w:hAnsi="Arial" w:cs="Arial"/>
          <w:sz w:val="22"/>
          <w:szCs w:val="22"/>
        </w:rPr>
        <w:t xml:space="preserve"> - s</w:t>
      </w:r>
      <w:r w:rsidRPr="006C5286">
        <w:rPr>
          <w:rFonts w:ascii="Arial" w:hAnsi="Arial" w:cs="Arial"/>
          <w:sz w:val="22"/>
          <w:szCs w:val="22"/>
        </w:rPr>
        <w:t>poločnosť o nich neúčtuje</w:t>
      </w:r>
      <w:r w:rsidR="006B5D06">
        <w:rPr>
          <w:rFonts w:ascii="Arial" w:hAnsi="Arial" w:cs="Arial"/>
          <w:sz w:val="22"/>
          <w:szCs w:val="22"/>
        </w:rPr>
        <w:t>.</w:t>
      </w: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  <w:r w:rsidR="006B5D06">
        <w:rPr>
          <w:rFonts w:ascii="Arial" w:hAnsi="Arial" w:cs="Arial"/>
          <w:sz w:val="22"/>
          <w:szCs w:val="22"/>
        </w:rPr>
        <w:t xml:space="preserve"> spoločnosť neúčtuje</w:t>
      </w: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AD749D">
      <w:pPr>
        <w:spacing w:before="1" w:line="280" w:lineRule="exact"/>
        <w:jc w:val="both"/>
        <w:rPr>
          <w:rFonts w:ascii="Arial" w:hAnsi="Arial" w:cs="Arial"/>
        </w:rPr>
      </w:pPr>
    </w:p>
    <w:p w:rsidR="00DB2435" w:rsidRDefault="00DB2435" w:rsidP="00401155">
      <w:pPr>
        <w:pStyle w:val="Nadpis1"/>
        <w:ind w:right="157"/>
        <w:jc w:val="center"/>
        <w:rPr>
          <w:rFonts w:ascii="Arial" w:hAnsi="Arial" w:cs="Arial"/>
          <w:sz w:val="22"/>
          <w:szCs w:val="22"/>
        </w:rPr>
      </w:pPr>
    </w:p>
    <w:p w:rsidR="00DB2435" w:rsidRPr="00A55E63" w:rsidRDefault="00DB2435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DB2435" w:rsidRPr="00A55E63" w:rsidRDefault="00DB2435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DB2435" w:rsidRPr="00A55E63" w:rsidRDefault="00DB2435" w:rsidP="00AD749D">
      <w:pPr>
        <w:spacing w:before="11" w:line="260" w:lineRule="exact"/>
        <w:jc w:val="both"/>
        <w:rPr>
          <w:rFonts w:ascii="Arial" w:hAnsi="Arial" w:cs="Arial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</w:t>
      </w:r>
      <w:r w:rsidR="006B5D06">
        <w:rPr>
          <w:rFonts w:ascii="Arial" w:hAnsi="Arial" w:cs="Arial"/>
          <w:sz w:val="22"/>
          <w:szCs w:val="22"/>
        </w:rPr>
        <w:t xml:space="preserve"> ne</w:t>
      </w:r>
      <w:r>
        <w:rPr>
          <w:rFonts w:ascii="Arial" w:hAnsi="Arial" w:cs="Arial"/>
          <w:sz w:val="22"/>
          <w:szCs w:val="22"/>
        </w:rPr>
        <w:t>eviduje</w:t>
      </w:r>
      <w:r w:rsidR="006B5D06">
        <w:rPr>
          <w:rFonts w:ascii="Arial" w:hAnsi="Arial" w:cs="Arial"/>
          <w:sz w:val="22"/>
          <w:szCs w:val="22"/>
        </w:rPr>
        <w:t>.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– spoločnosť je spoločnosťou s ručením obmedzeným, nie je akciovou spoločnosťou.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 – spoločnosť neeviduje</w:t>
      </w:r>
    </w:p>
    <w:p w:rsidR="00DB2435" w:rsidRPr="00A55E63" w:rsidRDefault="00DB24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Default="00DB2435" w:rsidP="00855A8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</w:t>
      </w:r>
      <w:r>
        <w:rPr>
          <w:rFonts w:ascii="Arial" w:hAnsi="Arial" w:cs="Arial"/>
          <w:spacing w:val="-2"/>
          <w:sz w:val="22"/>
          <w:szCs w:val="22"/>
        </w:rPr>
        <w:t xml:space="preserve"> – </w:t>
      </w:r>
      <w:r w:rsidR="00855A85">
        <w:rPr>
          <w:rFonts w:ascii="Arial" w:hAnsi="Arial" w:cs="Arial"/>
          <w:spacing w:val="-2"/>
          <w:sz w:val="22"/>
          <w:szCs w:val="22"/>
        </w:rPr>
        <w:t>spoločnosť neeviduje</w:t>
      </w:r>
      <w:bookmarkStart w:id="0" w:name="_GoBack"/>
      <w:bookmarkEnd w:id="0"/>
    </w:p>
    <w:p w:rsidR="00855A85" w:rsidRDefault="00855A85" w:rsidP="00855A8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855A85" w:rsidRPr="00A55E63" w:rsidRDefault="00855A85" w:rsidP="00855A8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pacing w:val="-8"/>
          <w:sz w:val="22"/>
          <w:szCs w:val="22"/>
        </w:rPr>
        <w:t xml:space="preserve"> – spoločnosť neeviduje</w:t>
      </w:r>
    </w:p>
    <w:p w:rsidR="00DB2435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sa </w:t>
      </w:r>
      <w:r w:rsidRPr="00A55E63">
        <w:rPr>
          <w:rFonts w:ascii="Arial" w:hAnsi="Arial" w:cs="Arial"/>
          <w:sz w:val="22"/>
          <w:szCs w:val="22"/>
        </w:rPr>
        <w:lastRenderedPageBreak/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>
        <w:rPr>
          <w:rFonts w:ascii="Arial" w:hAnsi="Arial" w:cs="Arial"/>
          <w:sz w:val="22"/>
          <w:szCs w:val="22"/>
        </w:rPr>
        <w:t xml:space="preserve"> – spoločnosť nemá dcérske spoločnosti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– spoločnosť neeviduje</w:t>
      </w: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B2435" w:rsidRPr="00A55E63" w:rsidRDefault="00DB24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</w:t>
      </w:r>
      <w:r>
        <w:rPr>
          <w:rFonts w:ascii="Arial" w:hAnsi="Arial" w:cs="Arial"/>
          <w:sz w:val="22"/>
          <w:szCs w:val="22"/>
        </w:rPr>
        <w:t>ch činnosti účtovnej jednotky – spoločnosť neeviduje</w:t>
      </w:r>
    </w:p>
    <w:sectPr w:rsidR="00DB2435" w:rsidRPr="00A55E63" w:rsidSect="00BC46D5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8A9" w:rsidRDefault="00CD68A9">
      <w:r>
        <w:separator/>
      </w:r>
    </w:p>
  </w:endnote>
  <w:endnote w:type="continuationSeparator" w:id="0">
    <w:p w:rsidR="00CD68A9" w:rsidRDefault="00CD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435" w:rsidRDefault="00876F3B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11430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2435" w:rsidRDefault="00DB2435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A3193F">
                            <w:fldChar w:fldCharType="begin"/>
                          </w:r>
                          <w:r w:rsidR="00A3193F">
                            <w:instrText xml:space="preserve"> PAGE </w:instrText>
                          </w:r>
                          <w:r w:rsidR="00A3193F">
                            <w:fldChar w:fldCharType="separate"/>
                          </w:r>
                          <w:r w:rsidR="00855A85">
                            <w:rPr>
                              <w:noProof/>
                            </w:rPr>
                            <w:t>4</w:t>
                          </w:r>
                          <w:r w:rsidR="00A3193F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DB2435" w:rsidRDefault="00DB2435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A3193F">
                      <w:fldChar w:fldCharType="begin"/>
                    </w:r>
                    <w:r w:rsidR="00A3193F">
                      <w:instrText xml:space="preserve"> PAGE </w:instrText>
                    </w:r>
                    <w:r w:rsidR="00A3193F">
                      <w:fldChar w:fldCharType="separate"/>
                    </w:r>
                    <w:r w:rsidR="00855A85">
                      <w:rPr>
                        <w:noProof/>
                      </w:rPr>
                      <w:t>4</w:t>
                    </w:r>
                    <w:r w:rsidR="00A3193F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8A9" w:rsidRDefault="00CD68A9">
      <w:r>
        <w:separator/>
      </w:r>
    </w:p>
  </w:footnote>
  <w:footnote w:type="continuationSeparator" w:id="0">
    <w:p w:rsidR="00CD68A9" w:rsidRDefault="00CD6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435" w:rsidRDefault="00DB2435">
    <w:pPr>
      <w:pStyle w:val="Hlavika"/>
    </w:pPr>
  </w:p>
  <w:p w:rsidR="00DB2435" w:rsidRDefault="00DB2435">
    <w:pPr>
      <w:pStyle w:val="Hlavika"/>
    </w:pPr>
  </w:p>
  <w:p w:rsidR="00DB2435" w:rsidRDefault="00DB2435">
    <w:pPr>
      <w:pStyle w:val="Hlavika"/>
    </w:pPr>
  </w:p>
  <w:p w:rsidR="00DB2435" w:rsidRDefault="00DB2435" w:rsidP="00F53061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</w:t>
    </w:r>
    <w:r w:rsidR="00855A85">
      <w:rPr>
        <w:rFonts w:ascii="Arial" w:hAnsi="Arial" w:cs="Arial"/>
        <w:sz w:val="22"/>
        <w:szCs w:val="22"/>
        <w:bdr w:val="single" w:sz="4" w:space="0" w:color="auto"/>
      </w:rPr>
      <w:t>3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53061">
      <w:rPr>
        <w:rFonts w:ascii="Arial" w:hAnsi="Arial" w:cs="Arial"/>
        <w:sz w:val="22"/>
        <w:szCs w:val="22"/>
        <w:bdr w:val="single" w:sz="4" w:space="0" w:color="auto"/>
      </w:rPr>
      <w:t>46567500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</w:t>
    </w:r>
    <w:r w:rsidR="008219FE">
      <w:rPr>
        <w:rFonts w:ascii="Arial" w:hAnsi="Arial" w:cs="Arial"/>
        <w:sz w:val="22"/>
        <w:szCs w:val="22"/>
        <w:bdr w:val="single" w:sz="4" w:space="0" w:color="auto"/>
      </w:rPr>
      <w:t>2</w:t>
    </w:r>
    <w:r w:rsidR="00F53061">
      <w:rPr>
        <w:rFonts w:ascii="Arial" w:hAnsi="Arial" w:cs="Arial"/>
        <w:sz w:val="22"/>
        <w:szCs w:val="22"/>
        <w:bdr w:val="single" w:sz="4" w:space="0" w:color="auto"/>
      </w:rPr>
      <w:t>3477093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B0298"/>
    <w:rsid w:val="000B7134"/>
    <w:rsid w:val="000B758C"/>
    <w:rsid w:val="000C170C"/>
    <w:rsid w:val="000C6BF1"/>
    <w:rsid w:val="00135F8F"/>
    <w:rsid w:val="001406AD"/>
    <w:rsid w:val="00160138"/>
    <w:rsid w:val="001B40BE"/>
    <w:rsid w:val="001B7097"/>
    <w:rsid w:val="001F251B"/>
    <w:rsid w:val="0022605F"/>
    <w:rsid w:val="002401F1"/>
    <w:rsid w:val="00247947"/>
    <w:rsid w:val="002747F0"/>
    <w:rsid w:val="00294DFD"/>
    <w:rsid w:val="002B7768"/>
    <w:rsid w:val="002B79AC"/>
    <w:rsid w:val="002C12B4"/>
    <w:rsid w:val="002D7E6D"/>
    <w:rsid w:val="002E04D8"/>
    <w:rsid w:val="0034236A"/>
    <w:rsid w:val="003657F5"/>
    <w:rsid w:val="00365884"/>
    <w:rsid w:val="00373635"/>
    <w:rsid w:val="003D056F"/>
    <w:rsid w:val="00401155"/>
    <w:rsid w:val="004210EE"/>
    <w:rsid w:val="00470766"/>
    <w:rsid w:val="004772BD"/>
    <w:rsid w:val="004A2BF3"/>
    <w:rsid w:val="004C4DBF"/>
    <w:rsid w:val="004D0D13"/>
    <w:rsid w:val="00515F1E"/>
    <w:rsid w:val="00525555"/>
    <w:rsid w:val="00535E1C"/>
    <w:rsid w:val="0055784D"/>
    <w:rsid w:val="005650C2"/>
    <w:rsid w:val="0056754A"/>
    <w:rsid w:val="00606493"/>
    <w:rsid w:val="00623868"/>
    <w:rsid w:val="00637F73"/>
    <w:rsid w:val="00657A92"/>
    <w:rsid w:val="00672263"/>
    <w:rsid w:val="00676DB4"/>
    <w:rsid w:val="006B5D06"/>
    <w:rsid w:val="006C5286"/>
    <w:rsid w:val="006D0FE7"/>
    <w:rsid w:val="006F3AF9"/>
    <w:rsid w:val="00742480"/>
    <w:rsid w:val="007541C4"/>
    <w:rsid w:val="0079387E"/>
    <w:rsid w:val="007B2C30"/>
    <w:rsid w:val="007E6102"/>
    <w:rsid w:val="008219FE"/>
    <w:rsid w:val="0084589B"/>
    <w:rsid w:val="00855A85"/>
    <w:rsid w:val="00876F3B"/>
    <w:rsid w:val="008771A6"/>
    <w:rsid w:val="008F7D18"/>
    <w:rsid w:val="009052CA"/>
    <w:rsid w:val="00913435"/>
    <w:rsid w:val="00916772"/>
    <w:rsid w:val="0091759F"/>
    <w:rsid w:val="009350D3"/>
    <w:rsid w:val="009858F9"/>
    <w:rsid w:val="009A27D0"/>
    <w:rsid w:val="009D3414"/>
    <w:rsid w:val="009D5C84"/>
    <w:rsid w:val="009F50AE"/>
    <w:rsid w:val="00A3193F"/>
    <w:rsid w:val="00A53406"/>
    <w:rsid w:val="00A55E63"/>
    <w:rsid w:val="00AD6C8A"/>
    <w:rsid w:val="00AD749D"/>
    <w:rsid w:val="00B133DC"/>
    <w:rsid w:val="00B15E67"/>
    <w:rsid w:val="00B7440A"/>
    <w:rsid w:val="00B85FD9"/>
    <w:rsid w:val="00BC46D5"/>
    <w:rsid w:val="00BE3981"/>
    <w:rsid w:val="00C01CB7"/>
    <w:rsid w:val="00C06909"/>
    <w:rsid w:val="00C1028D"/>
    <w:rsid w:val="00C313B4"/>
    <w:rsid w:val="00C45762"/>
    <w:rsid w:val="00C5512C"/>
    <w:rsid w:val="00CB00C5"/>
    <w:rsid w:val="00CC3205"/>
    <w:rsid w:val="00CD545D"/>
    <w:rsid w:val="00CD68A9"/>
    <w:rsid w:val="00CE5047"/>
    <w:rsid w:val="00D44F0B"/>
    <w:rsid w:val="00D505D4"/>
    <w:rsid w:val="00D57953"/>
    <w:rsid w:val="00DB2435"/>
    <w:rsid w:val="00DC4F9C"/>
    <w:rsid w:val="00DD3D6B"/>
    <w:rsid w:val="00DE08EE"/>
    <w:rsid w:val="00E40552"/>
    <w:rsid w:val="00E94C7E"/>
    <w:rsid w:val="00EB4798"/>
    <w:rsid w:val="00EB55FA"/>
    <w:rsid w:val="00EE5474"/>
    <w:rsid w:val="00F0622F"/>
    <w:rsid w:val="00F404E8"/>
    <w:rsid w:val="00F422FE"/>
    <w:rsid w:val="00F53061"/>
    <w:rsid w:val="00F624BC"/>
    <w:rsid w:val="00F817B0"/>
    <w:rsid w:val="00FA1FBB"/>
    <w:rsid w:val="00FF407F"/>
    <w:rsid w:val="00FF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E82CAB-B39C-49CC-955C-2D45D384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C46D5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BC46D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7B2C3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BC46D5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BC46D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7B2C30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BC46D5"/>
  </w:style>
  <w:style w:type="paragraph" w:customStyle="1" w:styleId="TableParagraph">
    <w:name w:val="Table Paragraph"/>
    <w:basedOn w:val="Normlny"/>
    <w:uiPriority w:val="99"/>
    <w:rsid w:val="00BC46D5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15F1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5F1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18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9550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Kovacikova</cp:lastModifiedBy>
  <cp:revision>7</cp:revision>
  <cp:lastPrinted>2016-02-24T20:13:00Z</cp:lastPrinted>
  <dcterms:created xsi:type="dcterms:W3CDTF">2017-02-02T19:34:00Z</dcterms:created>
  <dcterms:modified xsi:type="dcterms:W3CDTF">2017-04-25T21:41:00Z</dcterms:modified>
</cp:coreProperties>
</file>