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spacing w:lineRule="auto" w:line="240" w:before="0" w:after="12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POZNÁMKY K ÚČTOVNEJ ZÁVIERKE 2016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pre malé účtovné jednotky</w:t>
      </w: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 – VŠEOBECNÉ INFORMÁCIE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1) Základné informácie o účtovnej jednotke:</w:t>
      </w:r>
    </w:p>
    <w:p>
      <w:pPr>
        <w:pStyle w:val="Normal"/>
        <w:spacing w:lineRule="auto" w:line="240"/>
        <w:rPr/>
      </w:pPr>
      <w:r>
        <w:rPr/>
      </w:r>
    </w:p>
    <w:tbl>
      <w:tblPr>
        <w:tblStyle w:val="a"/>
        <w:tblW w:w="9714" w:type="dxa"/>
        <w:jc w:val="left"/>
        <w:tblInd w:w="-12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5"/>
        <w:gridCol w:w="6878"/>
      </w:tblGrid>
      <w:tr>
        <w:trPr>
          <w:trHeight w:val="34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SECURKO s.r.o.</w:t>
            </w:r>
          </w:p>
        </w:tc>
      </w:tr>
      <w:tr>
        <w:trPr>
          <w:trHeight w:val="3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Štúrova 396, 024 04  Kysucké Nové Mesto</w:t>
            </w:r>
          </w:p>
        </w:tc>
      </w:tr>
      <w:tr>
        <w:trPr>
          <w:trHeight w:val="1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s ručením obmedzeným</w:t>
            </w:r>
          </w:p>
        </w:tc>
      </w:tr>
      <w:tr>
        <w:trPr>
          <w:trHeight w:val="2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Zápis do obchodného registra: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2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5.10.2013</w:t>
            </w:r>
          </w:p>
        </w:tc>
      </w:tr>
      <w:tr>
        <w:trPr>
          <w:trHeight w:val="26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/>
              <w:ind w:right="1027" w:hanging="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/>
            </w:r>
          </w:p>
          <w:p>
            <w:pPr>
              <w:pStyle w:val="Normal"/>
              <w:spacing w:lineRule="auto" w:line="240"/>
              <w:jc w:val="both"/>
              <w:rPr/>
            </w:pPr>
            <w:bookmarkStart w:id="0" w:name="_GoBack"/>
            <w:bookmarkEnd w:id="0"/>
            <w:r>
              <w:rPr>
                <w:rFonts w:eastAsia="Calibri" w:cs="Calibri" w:ascii="Calibri" w:hAnsi="Calibri"/>
                <w:sz w:val="24"/>
                <w:szCs w:val="24"/>
              </w:rPr>
              <w:t>Služby spojené z prevádzkovaním bezpečnostných systémom</w:t>
            </w:r>
          </w:p>
        </w:tc>
      </w:tr>
      <w:tr>
        <w:trPr>
          <w:trHeight w:val="5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 nie je subjektom verejného záujmu (§ 2/14 ZoU).</w:t>
            </w:r>
          </w:p>
        </w:tc>
      </w:tr>
      <w:tr>
        <w:trPr>
          <w:trHeight w:val="30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Kalendárny rok 2016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UJ spĺňa podmienky v roku 2016 zaradenia do  m</w:t>
      </w:r>
      <w:r>
        <w:rPr>
          <w:rFonts w:eastAsia="Calibri" w:cs="Calibri" w:ascii="Calibri" w:hAnsi="Calibri"/>
          <w:sz w:val="24"/>
          <w:szCs w:val="24"/>
        </w:rPr>
        <w:t>alej</w:t>
      </w:r>
      <w:r>
        <w:rPr>
          <w:rFonts w:eastAsia="Calibri" w:cs="Calibri" w:ascii="Calibri" w:hAnsi="Calibri"/>
          <w:sz w:val="24"/>
          <w:szCs w:val="24"/>
        </w:rPr>
        <w:t xml:space="preserve"> účtovnej jednotky.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Dátum schválenia účtovnej závierky za bezprostredne predchádzajúce účtovné obdobie príslušným orgánom účtovnej jednotky: 1</w:t>
      </w:r>
      <w:r>
        <w:rPr>
          <w:rFonts w:eastAsia="Calibri" w:cs="Calibri" w:ascii="Calibri" w:hAnsi="Calibri"/>
          <w:sz w:val="24"/>
          <w:szCs w:val="24"/>
        </w:rPr>
        <w:t>2.6.2017</w:t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widowControl w:val="false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 xml:space="preserve">3) Právny dôvod na zostavenie účtovnej závierky: Účtovná závierka Spoločnosti k 31.12.2016 je zostavená ako riadna účtovná závierka podľa §17 ods. 6 Zákona č. 431/2002 Z.z. o účtovníctve za účtovné obdobie od </w:t>
      </w:r>
      <w:r>
        <w:rPr>
          <w:rFonts w:eastAsia="Calibri" w:cs="Calibri" w:ascii="Calibri" w:hAnsi="Calibri"/>
          <w:sz w:val="24"/>
          <w:szCs w:val="24"/>
        </w:rPr>
        <w:t>01</w:t>
      </w:r>
      <w:r>
        <w:rPr>
          <w:rFonts w:eastAsia="Calibri" w:cs="Calibri" w:ascii="Calibri" w:hAnsi="Calibri"/>
          <w:sz w:val="24"/>
          <w:szCs w:val="24"/>
        </w:rPr>
        <w:t>.</w:t>
      </w:r>
      <w:r>
        <w:rPr>
          <w:rFonts w:eastAsia="Calibri" w:cs="Calibri" w:ascii="Calibri" w:hAnsi="Calibri"/>
          <w:sz w:val="24"/>
          <w:szCs w:val="24"/>
        </w:rPr>
        <w:t>01</w:t>
      </w:r>
      <w:r>
        <w:rPr>
          <w:rFonts w:eastAsia="Calibri" w:cs="Calibri" w:ascii="Calibri" w:hAnsi="Calibri"/>
          <w:sz w:val="24"/>
          <w:szCs w:val="24"/>
        </w:rPr>
        <w:t>.2016 2016 do 31. decembra 2016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nie je v skupine účtovných jednotiek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jc w:val="left"/>
        <w:tblInd w:w="-12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4"/>
        <w:gridCol w:w="2522"/>
        <w:gridCol w:w="2371"/>
      </w:tblGrid>
      <w:tr>
        <w:trPr>
          <w:trHeight w:val="520" w:hRule="atLeast"/>
        </w:trPr>
        <w:tc>
          <w:tcPr>
            <w:tcW w:w="48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ind w:right="459" w:hanging="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160" w:hRule="atLeast"/>
        </w:trPr>
        <w:tc>
          <w:tcPr>
            <w:tcW w:w="48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</w:t>
            </w:r>
          </w:p>
        </w:tc>
        <w:tc>
          <w:tcPr>
            <w:tcW w:w="23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</w:t>
            </w:r>
          </w:p>
        </w:tc>
      </w:tr>
      <w:tr>
        <w:trPr>
          <w:trHeight w:val="160" w:hRule="atLeast"/>
        </w:trPr>
        <w:tc>
          <w:tcPr>
            <w:tcW w:w="4854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/>
            </w:r>
          </w:p>
        </w:tc>
        <w:tc>
          <w:tcPr>
            <w:tcW w:w="2522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2371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/>
            </w:r>
          </w:p>
        </w:tc>
      </w:tr>
    </w:tbl>
    <w:p>
      <w:pPr>
        <w:pStyle w:val="Normal"/>
        <w:spacing w:lineRule="auto" w:line="240"/>
        <w:ind w:left="928"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 – INFORMÁCIE O ORGÁNOCH SPOLOČNOSTI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b/>
          <w:sz w:val="24"/>
          <w:szCs w:val="24"/>
        </w:rPr>
        <w:t>Informácie o orgánoch účtovnej jednotky</w:t>
      </w:r>
      <w:r>
        <w:rPr>
          <w:rFonts w:eastAsia="Calibri" w:cs="Calibri" w:ascii="Calibri" w:hAnsi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969"/>
        <w:gridCol w:w="2488"/>
        <w:gridCol w:w="2360"/>
      </w:tblGrid>
      <w:tr>
        <w:trPr>
          <w:trHeight w:val="8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ind w:left="720" w:hanging="0"/>
              <w:rPr/>
            </w:pPr>
            <w:r>
              <w:rPr/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</w:tbl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III – INFORMÁCIE O PRIJATÝCH POSTUPOCH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neeviduje žiadne transakcie, ktoré sa neuvádzajú v súvahe.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Spôsob a určenie oceňovania majetku a záväzkov (vrátane rozhodujúcich odhadov):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a) Spôsob oceňovania majetku a záväzkov (§ 25 ZoU):</w:t>
      </w:r>
    </w:p>
    <w:p>
      <w:pPr>
        <w:pStyle w:val="Normal"/>
        <w:widowControl w:val="false"/>
        <w:tabs>
          <w:tab w:val="left" w:pos="808" w:leader="none"/>
        </w:tabs>
        <w:spacing w:lineRule="auto" w:line="240"/>
        <w:jc w:val="both"/>
        <w:rPr/>
      </w:pPr>
      <w:r>
        <w:rPr/>
      </w:r>
    </w:p>
    <w:tbl>
      <w:tblPr>
        <w:tblStyle w:val="a2"/>
        <w:tblW w:w="9606" w:type="dxa"/>
        <w:jc w:val="left"/>
        <w:tblInd w:w="-12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b) Trvalé zníženie hodnoty majetku nebolo účtované.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c) Záväzky účtovná jednotka ocenila menovitou hodnotou záväzkov.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d) Účtovná jednotka nepoužila dobrovoľné oceňovanie obchodných podielov metódou vlastného imania (§ 27/9 ZoU).</w:t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/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jc w:val="left"/>
        <w:tblInd w:w="-12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4"/>
        <w:gridCol w:w="2107"/>
        <w:gridCol w:w="2267"/>
      </w:tblGrid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Dlhodobý hmotný a nehmotný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číslo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doba odpisovania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 xml:space="preserve">odpisová sadzba 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 w:before="0" w:after="120"/>
        <w:rPr/>
      </w:pPr>
      <w:r>
        <w:rPr>
          <w:rFonts w:eastAsia="Calibri" w:cs="Calibri" w:ascii="Calibri" w:hAnsi="Calibri"/>
          <w:sz w:val="24"/>
          <w:szCs w:val="24"/>
        </w:rPr>
        <w:t xml:space="preserve">Komentár k odpisovému plánu: 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nepoužila jednorazový odpis</w:t>
      </w:r>
      <w:r>
        <w:rPr>
          <w:rFonts w:eastAsia="Calibri" w:cs="Calibri" w:ascii="Calibri" w:hAnsi="Calibri"/>
          <w:b/>
          <w:sz w:val="24"/>
          <w:szCs w:val="24"/>
        </w:rPr>
        <w:t xml:space="preserve"> </w:t>
      </w:r>
      <w:r>
        <w:rPr>
          <w:rFonts w:eastAsia="Calibri" w:cs="Calibri" w:ascii="Calibri" w:hAnsi="Calibri"/>
          <w:sz w:val="24"/>
          <w:szCs w:val="24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360" w:hanging="360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g) ÚJ neboli v zdaňovacom období roku 2016 poskytnuté žiadne dotácie</w:t>
      </w:r>
    </w:p>
    <w:p>
      <w:pPr>
        <w:pStyle w:val="Normal"/>
        <w:keepNext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5) ÚJ v zdaňovacom období roku 2016 nevykonala žiadne opravy významných chýb.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IV – INFORMÁCIE, KTORÉ VYSVETĽUJÚ A DOPĹŇAJÚ SÚVAHU A VÝKAZ ZISKOV A STRÁT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neeviduje žiadne položky nehmotného majetku.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položky významných derivátov, majetku a záväzkoch zabezpečených derivátmi.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3a) ÚJ neeviduje žiadne položky zabezpečených záväzkov so zostatkovou dobou splatnosti dlhšou </w:t>
        <w:tab/>
        <w:tab/>
        <w:tab/>
        <w:tab/>
        <w:tab/>
        <w:t xml:space="preserve"> ako 5 rokov:  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tbl>
      <w:tblPr>
        <w:tblStyle w:val="a4"/>
        <w:tblW w:w="9714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1"/>
        <w:gridCol w:w="2378"/>
      </w:tblGrid>
      <w:tr>
        <w:trPr>
          <w:trHeight w:val="68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0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3b) ÚJ neeviduje žiadne položky zabezpečených záväzkov.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neeviduje žiadne vlastné akcie.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ÚJ neeviduje žiadne položky nákladov alebo výnosov, ktoré majú výnimočný rozsah alebo výskyt.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 – INFORMÁCIE O INÝCH AKTÍVACH A INÝCH PASÍVACH</w:t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1a) ÚJ neeviduje žiadne položky podmieneného majetku.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1b) ÚJ neeviduje žiadne položky podmienených záväzkov.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ostatné finančné povinnosti, ktoré a nevykazujú v účtovných výkazoch.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3 V účtovníctve ÚJ sa nenachádzajú žiadne položky evidované na podsúvahových účtoch.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 – UDALOSTI, KTORÉ NASTALI PO ZÁVIERKOVOM DNI</w:t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(Následné udalosti)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ÚJ neeviduje žiadne udalosti, ktoré nastali po závierkovom dni.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VII – OSTATNÉ INFORMÁCIE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nemá žiadne právo poskytovať služby vo verejnom záujme.</w:t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nemá žiadnu priemyselnú výrobu.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nemá žiadne finančné vzťahy s orgánmi verejnej moci.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sectPr>
      <w:headerReference w:type="default" r:id="rId2"/>
      <w:footerReference w:type="default" r:id="rId3"/>
      <w:type w:val="nextPage"/>
      <w:pgSz w:w="11906" w:h="16838"/>
      <w:pgMar w:left="1417" w:right="992" w:header="708" w:top="1417" w:footer="708" w:bottom="1417" w:gutter="0"/>
      <w:pgNumType w:start="1"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Georgi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enter" w:pos="4536" w:leader="none"/>
        <w:tab w:val="right" w:pos="9072" w:leader="none"/>
      </w:tabs>
      <w:spacing w:lineRule="auto" w:line="24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6</w:t>
    </w:r>
    <w:r>
      <w:fldChar w:fldCharType="end"/>
    </w:r>
  </w:p>
  <w:p>
    <w:pPr>
      <w:pStyle w:val="Normal"/>
      <w:tabs>
        <w:tab w:val="center" w:pos="4536" w:leader="none"/>
        <w:tab w:val="right" w:pos="9072" w:leader="none"/>
      </w:tabs>
      <w:spacing w:lineRule="auto" w:line="240" w:before="0" w:after="567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Poznámky Úč POD 3 – 01          </w:t>
    </w:r>
    <w:r>
      <w:rPr>
        <w:color w:val="707070"/>
        <w:sz w:val="18"/>
        <w:szCs w:val="18"/>
        <w:highlight w:val="white"/>
      </w:rPr>
      <w:tab/>
    </w:r>
    <w:r>
      <w:rPr/>
      <w:t xml:space="preserve">                 IČO: </w:t>
    </w:r>
    <w:r>
      <w:rPr/>
      <w:t>47474912</w:t>
      <w:tab/>
    </w:r>
  </w:p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                              </w:t>
    </w:r>
    <w:r>
      <w:rPr/>
      <w:t>DIČ: 2</w:t>
    </w:r>
    <w:r>
      <w:rPr/>
      <w:t>023910042</w:t>
    </w:r>
    <w:r>
      <w:rPr/>
      <w:tab/>
      <w:tab/>
    </w:r>
  </w:p>
  <w:p>
    <w:pPr>
      <w:pStyle w:val="Normal"/>
      <w:tabs>
        <w:tab w:val="center" w:pos="4703" w:leader="none"/>
        <w:tab w:val="right" w:pos="9406" w:leader="none"/>
      </w:tabs>
      <w:spacing w:lineRule="auto" w:line="24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"/>
      <w:numFmt w:val="bullet"/>
      <w:lvlText w:val="-"/>
      <w:lvlJc w:val="left"/>
      <w:pPr>
        <w:ind w:left="7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2">
    <w:lvl w:ilvl="0">
      <w:start w:val="1"/>
      <w:numFmt w:val="bullet"/>
      <w:lvlText w:val="➢"/>
      <w:lvlJc w:val="left"/>
      <w:pPr>
        <w:ind w:left="3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0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18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5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2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39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46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4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1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3">
    <w:lvl w:ilvl="0">
      <w:start w:val="1"/>
      <w:numFmt w:val="bullet"/>
      <w:lvlText w:val="-"/>
      <w:lvlJc w:val="left"/>
      <w:pPr>
        <w:ind w:left="7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defaultTabStop w:val="720"/>
  <w:compat>
    <w:compatSetting w:name="compatibilityMode" w:uri="http://schemas.microsoft.com/office/word" w:val="14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color w:val="000000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/>
      <w:jc w:val="left"/>
    </w:pPr>
    <w:rPr>
      <w:rFonts w:ascii="Arial" w:hAnsi="Arial" w:eastAsia="Arial" w:cs="Arial"/>
      <w:color w:val="000000"/>
      <w:sz w:val="22"/>
      <w:szCs w:val="22"/>
      <w:lang w:val="sk-SK" w:eastAsia="sk-SK" w:bidi="ar-SA"/>
    </w:rPr>
  </w:style>
  <w:style w:type="paragraph" w:styleId="Nadpis1">
    <w:name w:val="Nadpis 1"/>
    <w:basedOn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Nadpis 2"/>
    <w:basedOn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Nadpis 3"/>
    <w:basedOn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Nadpis 4"/>
    <w:basedOn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Nadpis 5"/>
    <w:basedOn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Nadpis 6"/>
    <w:basedOn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Arial" w:cs="Arial"/>
      <w:position w:val="0"/>
      <w:sz w:val="24"/>
      <w:sz w:val="24"/>
      <w:vertAlign w:val="baseline"/>
    </w:rPr>
  </w:style>
  <w:style w:type="character" w:styleId="ListLabel2">
    <w:name w:val="ListLabel 2"/>
    <w:qFormat/>
    <w:rPr>
      <w:rFonts w:cs="Arial"/>
      <w:position w:val="0"/>
      <w:sz w:val="24"/>
      <w:sz w:val="24"/>
      <w:vertAlign w:val="baseline"/>
    </w:rPr>
  </w:style>
  <w:style w:type="character" w:styleId="ListLabel3">
    <w:name w:val="ListLabel 3"/>
    <w:qFormat/>
    <w:rPr>
      <w:rFonts w:cs="Arial"/>
      <w:position w:val="0"/>
      <w:sz w:val="24"/>
      <w:sz w:val="24"/>
      <w:vertAlign w:val="baseline"/>
    </w:rPr>
  </w:style>
  <w:style w:type="character" w:styleId="ListLabel4">
    <w:name w:val="ListLabel 4"/>
    <w:qFormat/>
    <w:rPr>
      <w:rFonts w:cs="Arial"/>
      <w:position w:val="0"/>
      <w:sz w:val="24"/>
      <w:sz w:val="24"/>
      <w:vertAlign w:val="baseline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Arial Unicode MS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Nzov">
    <w:name w:val="Názov"/>
    <w:basedOn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nzov">
    <w:name w:val="Podnázov"/>
    <w:basedOn w:val="Normal"/>
    <w:pPr>
      <w:keepNext/>
      <w:keepLines/>
      <w:spacing w:before="360" w:after="80"/>
      <w:contextualSpacing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Hlavika">
    <w:name w:val="Hlavička"/>
    <w:basedOn w:val="Normal"/>
    <w:pPr/>
    <w:rPr/>
  </w:style>
  <w:style w:type="paragraph" w:styleId="Pta">
    <w:name w:val="Pät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Application>LibreOffice/5.0.4.2$Windows_x86 LibreOffice_project/2b9802c1994aa0b7dc6079e128979269cf95bc78</Application>
  <Paragraphs>199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2016-03-30T09:56:00Z</dcterms:created>
  <dc:language>sk-SK</dc:language>
  <dcterms:modified xsi:type="dcterms:W3CDTF">2017-06-12T12:23:36Z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