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FAC" w:rsidRDefault="00407FAC" w:rsidP="00945FD5">
      <w:pPr>
        <w:pStyle w:val="Heading1"/>
        <w:tabs>
          <w:tab w:val="num" w:pos="360"/>
        </w:tabs>
        <w:spacing w:before="0" w:after="0"/>
        <w:rPr>
          <w:rFonts w:ascii="Calibri" w:hAnsi="Calibri"/>
          <w:sz w:val="22"/>
          <w:szCs w:val="22"/>
        </w:rPr>
      </w:pPr>
      <w:bookmarkStart w:id="0" w:name="_GoBack"/>
      <w:bookmarkEnd w:id="0"/>
    </w:p>
    <w:p w:rsidR="00407FAC" w:rsidRPr="009346D0" w:rsidRDefault="00407FAC" w:rsidP="009346D0">
      <w:pPr>
        <w:rPr>
          <w:lang w:val="sk-SK"/>
        </w:rPr>
      </w:pPr>
    </w:p>
    <w:p w:rsidR="00407FAC" w:rsidRPr="00BB5992" w:rsidRDefault="00407FAC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Informácie o účtovnej jednotke</w:t>
      </w:r>
    </w:p>
    <w:p w:rsidR="00407FAC" w:rsidRPr="00BB5992" w:rsidRDefault="00407FAC" w:rsidP="00995D17">
      <w:pPr>
        <w:pStyle w:val="BodyText"/>
        <w:rPr>
          <w:rFonts w:ascii="Calibri" w:hAnsi="Calibri"/>
          <w:sz w:val="22"/>
          <w:szCs w:val="22"/>
        </w:rPr>
      </w:pPr>
    </w:p>
    <w:p w:rsidR="00407FAC" w:rsidRPr="00742DD4" w:rsidRDefault="00407FAC" w:rsidP="00995D17">
      <w:pPr>
        <w:pStyle w:val="BodyTex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Spoločnosť Superinterier, s.r.o.</w:t>
      </w:r>
      <w:r w:rsidRPr="00742DD4">
        <w:rPr>
          <w:rFonts w:ascii="Calibri" w:hAnsi="Calibri"/>
          <w:sz w:val="22"/>
          <w:szCs w:val="22"/>
        </w:rPr>
        <w:t>, s.r.o. (ďalej len Spol</w:t>
      </w:r>
      <w:r>
        <w:rPr>
          <w:rFonts w:ascii="Calibri" w:hAnsi="Calibri"/>
          <w:sz w:val="22"/>
          <w:szCs w:val="22"/>
        </w:rPr>
        <w:t xml:space="preserve">očnosť) bola založená 09.12.2010 </w:t>
      </w:r>
      <w:r w:rsidRPr="00742DD4">
        <w:rPr>
          <w:rFonts w:ascii="Calibri" w:hAnsi="Calibri"/>
          <w:sz w:val="22"/>
          <w:szCs w:val="22"/>
        </w:rPr>
        <w:t xml:space="preserve"> a do obchodného re</w:t>
      </w:r>
      <w:r>
        <w:rPr>
          <w:rFonts w:ascii="Calibri" w:hAnsi="Calibri"/>
          <w:sz w:val="22"/>
          <w:szCs w:val="22"/>
        </w:rPr>
        <w:t xml:space="preserve">gistra bola zapísaná  01.01.2011 </w:t>
      </w:r>
      <w:r w:rsidRPr="00742DD4">
        <w:rPr>
          <w:rFonts w:ascii="Calibri" w:hAnsi="Calibri"/>
          <w:sz w:val="22"/>
          <w:szCs w:val="22"/>
        </w:rPr>
        <w:t xml:space="preserve">(Obchodný register Okresného súdu </w:t>
      </w:r>
      <w:r>
        <w:rPr>
          <w:rFonts w:ascii="Calibri" w:hAnsi="Calibri"/>
          <w:sz w:val="22"/>
          <w:szCs w:val="22"/>
        </w:rPr>
        <w:t>Bratislava I, oddiel Sro,  vložka č.  69541/B</w:t>
      </w:r>
      <w:r w:rsidRPr="00742DD4">
        <w:rPr>
          <w:rFonts w:ascii="Calibri" w:hAnsi="Calibri"/>
          <w:sz w:val="22"/>
          <w:szCs w:val="22"/>
        </w:rPr>
        <w:t xml:space="preserve">). </w:t>
      </w:r>
    </w:p>
    <w:p w:rsidR="00407FAC" w:rsidRPr="00742DD4" w:rsidRDefault="00407FAC" w:rsidP="00995D17">
      <w:pPr>
        <w:pStyle w:val="BodyText"/>
        <w:rPr>
          <w:rFonts w:ascii="Calibri" w:hAnsi="Calibri"/>
          <w:sz w:val="22"/>
          <w:szCs w:val="22"/>
        </w:rPr>
      </w:pPr>
    </w:p>
    <w:p w:rsidR="00407FAC" w:rsidRPr="00BB5992" w:rsidRDefault="00407FAC" w:rsidP="00995D17"/>
    <w:p w:rsidR="00407FAC" w:rsidRPr="00BB5992" w:rsidRDefault="00407FAC" w:rsidP="00995D17">
      <w:pPr>
        <w:pStyle w:val="Heading2"/>
        <w:tabs>
          <w:tab w:val="num" w:pos="360"/>
        </w:tabs>
        <w:spacing w:before="0" w:after="0"/>
        <w:ind w:left="360" w:hanging="360"/>
        <w:rPr>
          <w:rFonts w:ascii="Calibri" w:hAnsi="Calibri"/>
          <w:b w:val="0"/>
          <w:sz w:val="22"/>
          <w:szCs w:val="22"/>
        </w:rPr>
      </w:pPr>
      <w:bookmarkStart w:id="1" w:name="_Toc530739896"/>
      <w:r w:rsidRPr="00BB5992">
        <w:rPr>
          <w:rFonts w:ascii="Calibri" w:hAnsi="Calibri"/>
          <w:sz w:val="22"/>
          <w:szCs w:val="22"/>
        </w:rPr>
        <w:t>Hlavnými činnosťami Spoločnosti sú</w:t>
      </w:r>
      <w:r w:rsidRPr="00BB5992">
        <w:rPr>
          <w:rFonts w:ascii="Calibri" w:hAnsi="Calibri"/>
          <w:b w:val="0"/>
          <w:sz w:val="22"/>
          <w:szCs w:val="22"/>
        </w:rPr>
        <w:t>:</w:t>
      </w:r>
      <w:bookmarkEnd w:id="1"/>
    </w:p>
    <w:p w:rsidR="00407FAC" w:rsidRPr="00BB5992" w:rsidRDefault="00407FAC" w:rsidP="00995D17">
      <w:pPr>
        <w:pStyle w:val="BodyText"/>
        <w:numPr>
          <w:ilvl w:val="0"/>
          <w:numId w:val="5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Sprostredkovanie obchodu s rozličným tovarom SK.NACE 46.19.0.</w:t>
      </w:r>
    </w:p>
    <w:p w:rsidR="00407FAC" w:rsidRDefault="00407FAC"/>
    <w:p w:rsidR="00407FAC" w:rsidRPr="00BB5992" w:rsidRDefault="00407FAC"/>
    <w:p w:rsidR="00407FAC" w:rsidRPr="00BB5992" w:rsidRDefault="00407FAC"/>
    <w:p w:rsidR="00407FAC" w:rsidRDefault="00407FAC" w:rsidP="001C70A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 prílohe č. 3 časti A. písm. c) o počte zamestnancov</w:t>
      </w:r>
    </w:p>
    <w:p w:rsidR="00407FAC" w:rsidRPr="00BB5992" w:rsidRDefault="00407FAC" w:rsidP="008B2040">
      <w:pPr>
        <w:pStyle w:val="ListParagraph"/>
        <w:ind w:left="426"/>
        <w:rPr>
          <w:b/>
        </w:rPr>
      </w:pPr>
    </w:p>
    <w:p w:rsidR="00407FAC" w:rsidRPr="000C7D54" w:rsidRDefault="00407FAC" w:rsidP="000C7D54">
      <w:pPr>
        <w:ind w:left="426"/>
      </w:pPr>
      <w:r>
        <w:t xml:space="preserve">Spoločnosť  </w:t>
      </w:r>
      <w:r w:rsidRPr="000C7D54">
        <w:t>má</w:t>
      </w:r>
      <w:r>
        <w:t xml:space="preserve">  jedného  zamestnanca  k 31.12</w:t>
      </w:r>
      <w:r w:rsidRPr="000C7D54">
        <w:t>.</w:t>
      </w:r>
      <w:r>
        <w:t>2016</w:t>
      </w:r>
    </w:p>
    <w:p w:rsidR="00407FAC" w:rsidRPr="00BB5992" w:rsidRDefault="00407FAC" w:rsidP="000C7D54">
      <w:pPr>
        <w:ind w:left="426"/>
        <w:rPr>
          <w:b/>
        </w:rPr>
      </w:pPr>
    </w:p>
    <w:p w:rsidR="00407FAC" w:rsidRPr="00BB5992" w:rsidRDefault="00407FAC" w:rsidP="00995D17">
      <w:pPr>
        <w:pStyle w:val="Heading1"/>
        <w:tabs>
          <w:tab w:val="num" w:pos="360"/>
        </w:tabs>
        <w:spacing w:before="0" w:after="0"/>
        <w:ind w:left="360" w:hanging="360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 xml:space="preserve">Informácie o konsolidovanom celku – </w:t>
      </w:r>
    </w:p>
    <w:p w:rsidR="00407FAC" w:rsidRPr="00BB5992" w:rsidRDefault="00407FAC" w:rsidP="00995D17">
      <w:pPr>
        <w:pStyle w:val="BodyText"/>
        <w:jc w:val="center"/>
        <w:rPr>
          <w:rFonts w:ascii="Calibri" w:hAnsi="Calibri"/>
          <w:sz w:val="22"/>
          <w:szCs w:val="22"/>
        </w:rPr>
      </w:pPr>
    </w:p>
    <w:p w:rsidR="00407FAC" w:rsidRDefault="00407FAC" w:rsidP="00BB5992">
      <w:pPr>
        <w:pStyle w:val="BodyText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:rsidR="00407FAC" w:rsidRPr="00BB5992" w:rsidRDefault="00407FAC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407FAC" w:rsidRPr="00BB5992" w:rsidRDefault="00407FAC" w:rsidP="00BB5992">
      <w:pPr>
        <w:pStyle w:val="BodyText"/>
        <w:rPr>
          <w:rFonts w:ascii="Calibri" w:hAnsi="Calibri"/>
          <w:sz w:val="22"/>
          <w:szCs w:val="22"/>
        </w:rPr>
      </w:pPr>
    </w:p>
    <w:p w:rsidR="00407FAC" w:rsidRDefault="00407FAC" w:rsidP="00BB5992">
      <w:pPr>
        <w:pStyle w:val="Heading1"/>
        <w:tabs>
          <w:tab w:val="num" w:pos="360"/>
        </w:tabs>
        <w:spacing w:before="0" w:after="0"/>
        <w:ind w:left="360" w:hanging="360"/>
        <w:jc w:val="both"/>
        <w:rPr>
          <w:rFonts w:ascii="Calibri" w:hAnsi="Calibri"/>
          <w:sz w:val="22"/>
          <w:szCs w:val="22"/>
        </w:rPr>
      </w:pPr>
      <w:bookmarkStart w:id="2" w:name="_Toc530739899"/>
      <w:r w:rsidRPr="00BB5992">
        <w:rPr>
          <w:rFonts w:ascii="Calibri" w:hAnsi="Calibri"/>
          <w:sz w:val="22"/>
          <w:szCs w:val="22"/>
        </w:rPr>
        <w:t xml:space="preserve">Informácie o účtovných zásadách a účtovných metódach  </w:t>
      </w:r>
      <w:bookmarkEnd w:id="2"/>
      <w:r w:rsidRPr="00BB5992">
        <w:rPr>
          <w:rFonts w:ascii="Calibri" w:hAnsi="Calibri"/>
          <w:sz w:val="22"/>
          <w:szCs w:val="22"/>
        </w:rPr>
        <w:t xml:space="preserve"> -</w:t>
      </w:r>
    </w:p>
    <w:p w:rsidR="00407FAC" w:rsidRPr="00BB5992" w:rsidRDefault="00407FAC" w:rsidP="00BB5992">
      <w:pPr>
        <w:rPr>
          <w:lang w:val="sk-SK"/>
        </w:rPr>
      </w:pPr>
    </w:p>
    <w:p w:rsidR="00407FAC" w:rsidRPr="00BB5992" w:rsidRDefault="00407FAC" w:rsidP="00BB5992">
      <w:pPr>
        <w:pStyle w:val="BodyText"/>
        <w:rPr>
          <w:rFonts w:ascii="Calibri" w:hAnsi="Calibri"/>
          <w:b w:val="0"/>
          <w:sz w:val="22"/>
          <w:szCs w:val="22"/>
        </w:rPr>
      </w:pPr>
    </w:p>
    <w:p w:rsidR="00407FAC" w:rsidRPr="00BB5992" w:rsidRDefault="00407FAC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Východiská pre zostavenie účtovnej závierky</w:t>
      </w:r>
    </w:p>
    <w:p w:rsidR="00407FAC" w:rsidRPr="00BB5992" w:rsidRDefault="00407FAC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Účtovná závierka bola zostavená za predpokladu nepretržitého trvania Spoločnosti (going concern).</w:t>
      </w:r>
    </w:p>
    <w:p w:rsidR="00407FAC" w:rsidRDefault="00407FAC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07FAC" w:rsidRDefault="00407FAC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07FAC" w:rsidRPr="00BB5992" w:rsidRDefault="00407FAC" w:rsidP="00BB5992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07FAC" w:rsidRDefault="00407FAC" w:rsidP="00BB5992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407FAC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 w:rsidRPr="0032154F">
        <w:rPr>
          <w:rFonts w:ascii="Calibri" w:hAnsi="Calibri"/>
          <w:b w:val="0"/>
          <w:sz w:val="22"/>
          <w:szCs w:val="22"/>
        </w:rPr>
        <w:t>Účtovná jednotka neúčtu</w:t>
      </w:r>
      <w:r>
        <w:rPr>
          <w:rFonts w:ascii="Calibri" w:hAnsi="Calibri"/>
          <w:b w:val="0"/>
          <w:sz w:val="22"/>
          <w:szCs w:val="22"/>
        </w:rPr>
        <w:t>je dlhodobom nehmotnom majetku.</w:t>
      </w:r>
    </w:p>
    <w:p w:rsidR="00407FAC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Účtovná jednotka účtuje o dlhodobom hmotnom majetku. </w:t>
      </w:r>
    </w:p>
    <w:p w:rsidR="00407FAC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V roku 2016 obstaral motorku Honda v obstarávacej cene 8 020 €. Majetok v roku 2016 nebol odpisovaný – prerušený odpis vo výške 1 169 €.</w:t>
      </w:r>
    </w:p>
    <w:p w:rsidR="00407FAC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Spoločnosť má v dlhodobom hmotnom majetku 2 motorové vozidlá.</w:t>
      </w:r>
    </w:p>
    <w:p w:rsidR="00407FAC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Chevrolet Orlando – majetok je odpísaný v celkej výške. </w:t>
      </w:r>
    </w:p>
    <w:p w:rsidR="00407FAC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Renault Master – bol obstaraný v 5.5.2015 na úver  vo výške 17 928 € od UniCredit Leasing Slovakia, s.r.o. Havarijné a zákonné poistenie je súčasti úveru</w:t>
      </w:r>
    </w:p>
    <w:p w:rsidR="00407FAC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Splatnosť úveru je 5.04.2019.  Zostatok úveru k 31.12.2016 je 10 663 €.</w:t>
      </w:r>
    </w:p>
    <w:p w:rsidR="00407FAC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407FAC" w:rsidRPr="00BB5992" w:rsidRDefault="00407FAC" w:rsidP="00E943B7">
      <w:pPr>
        <w:pStyle w:val="BodyText"/>
        <w:ind w:left="450"/>
        <w:rPr>
          <w:rFonts w:ascii="Calibri" w:hAnsi="Calibri"/>
          <w:b w:val="0"/>
          <w:sz w:val="22"/>
          <w:szCs w:val="22"/>
        </w:rPr>
      </w:pPr>
    </w:p>
    <w:p w:rsidR="00407FAC" w:rsidRDefault="00407FAC" w:rsidP="00E943B7">
      <w:pPr>
        <w:pStyle w:val="Pismenka"/>
        <w:numPr>
          <w:ilvl w:val="0"/>
          <w:numId w:val="6"/>
        </w:numPr>
        <w:tabs>
          <w:tab w:val="clear" w:pos="360"/>
          <w:tab w:val="num" w:pos="426"/>
        </w:tabs>
        <w:ind w:left="426" w:hanging="426"/>
        <w:rPr>
          <w:rFonts w:ascii="Calibri" w:hAnsi="Calibri"/>
          <w:sz w:val="22"/>
          <w:szCs w:val="22"/>
        </w:rPr>
      </w:pPr>
      <w:r w:rsidRPr="00BB5992">
        <w:rPr>
          <w:rFonts w:ascii="Calibri" w:hAnsi="Calibri"/>
          <w:sz w:val="22"/>
          <w:szCs w:val="22"/>
        </w:rPr>
        <w:t>Dlhodobý nehmotný a dlhodobý hmotný majetok</w:t>
      </w:r>
    </w:p>
    <w:p w:rsidR="00407FAC" w:rsidRDefault="00407FAC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407FAC" w:rsidRPr="00BB5992" w:rsidRDefault="00407FAC" w:rsidP="00E943B7">
      <w:pPr>
        <w:pStyle w:val="Pismenka"/>
        <w:tabs>
          <w:tab w:val="clear" w:pos="426"/>
        </w:tabs>
        <w:rPr>
          <w:rFonts w:ascii="Calibri" w:hAnsi="Calibri"/>
          <w:sz w:val="22"/>
          <w:szCs w:val="22"/>
        </w:rPr>
      </w:pPr>
    </w:p>
    <w:p w:rsidR="00407FAC" w:rsidRPr="00BB5992" w:rsidRDefault="00407FAC" w:rsidP="00E943B7">
      <w:pPr>
        <w:pStyle w:val="BodyText"/>
        <w:ind w:firstLine="426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Dlhodobý majetok  nakupovaný sa oceňuje obstarávacou cenou, ktorá zahrnuje cenu obstarania a náklady súvisiace s obstaraním (clo, prepravu, montáž, poistné a pod.).</w:t>
      </w:r>
    </w:p>
    <w:p w:rsidR="00407FAC" w:rsidRPr="00BB5992" w:rsidRDefault="00407FAC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407FAC" w:rsidRDefault="00407FAC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dňom obstarania v mesiaci po uvedení dlhodobého majetku do používania. Dlhodobý </w:t>
      </w:r>
    </w:p>
    <w:p w:rsidR="00407FAC" w:rsidRDefault="00407FAC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407FAC" w:rsidRDefault="00407FAC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407FAC" w:rsidRDefault="00407FAC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</w:p>
    <w:p w:rsidR="00407FAC" w:rsidRPr="00BB5992" w:rsidRDefault="00407FAC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nehmotný majetok, ktorého obstarávacia cena (resp. vlastné náklady) je 2400 € a nižšia sa odpisuje jednorazovo pri uvedení do používania. Predpokladaná doba používania, metóda odpisovania a odpisová sadzba sú uvedené v nasledujúcej tabuľke:</w:t>
      </w:r>
    </w:p>
    <w:p w:rsidR="00407FAC" w:rsidRPr="00BB5992" w:rsidRDefault="00407FAC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8817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407FAC" w:rsidRPr="00C5374D" w:rsidTr="00A57764">
        <w:trPr>
          <w:trHeight w:val="250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br w:type="page"/>
            </w:r>
          </w:p>
        </w:tc>
        <w:tc>
          <w:tcPr>
            <w:tcW w:w="1559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407FAC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407FAC" w:rsidRPr="00C5374D" w:rsidTr="00A57764">
        <w:trPr>
          <w:trHeight w:val="205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zriaďovacie náklady</w:t>
            </w:r>
          </w:p>
        </w:tc>
        <w:tc>
          <w:tcPr>
            <w:tcW w:w="1559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407FAC" w:rsidRPr="00C5374D" w:rsidTr="00A57764">
        <w:trPr>
          <w:trHeight w:val="250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aktivované náklady na vývoj</w:t>
            </w:r>
          </w:p>
        </w:tc>
        <w:tc>
          <w:tcPr>
            <w:tcW w:w="1559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407FAC" w:rsidRPr="00C5374D" w:rsidTr="00A57764">
        <w:trPr>
          <w:trHeight w:val="250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softvér</w:t>
            </w:r>
          </w:p>
        </w:tc>
        <w:tc>
          <w:tcPr>
            <w:tcW w:w="1559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</w:t>
            </w:r>
          </w:p>
        </w:tc>
      </w:tr>
      <w:tr w:rsidR="00407FAC" w:rsidRPr="00C5374D" w:rsidTr="00A57764">
        <w:trPr>
          <w:trHeight w:val="94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oceniteľné práva (licencia)</w:t>
            </w:r>
          </w:p>
        </w:tc>
        <w:tc>
          <w:tcPr>
            <w:tcW w:w="1559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</w:tr>
      <w:tr w:rsidR="00407FAC" w:rsidRPr="00C5374D" w:rsidTr="00A57764">
        <w:trPr>
          <w:trHeight w:val="250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nehmotný majetok</w:t>
            </w:r>
          </w:p>
        </w:tc>
        <w:tc>
          <w:tcPr>
            <w:tcW w:w="1559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8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30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</w:tc>
      </w:tr>
    </w:tbl>
    <w:p w:rsidR="00407FAC" w:rsidRPr="00BB5992" w:rsidRDefault="00407FAC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p w:rsidR="00407FAC" w:rsidRPr="00BB5992" w:rsidRDefault="00407FAC" w:rsidP="00E943B7">
      <w:pPr>
        <w:pStyle w:val="BodyText"/>
        <w:ind w:firstLine="708"/>
        <w:rPr>
          <w:rFonts w:ascii="Calibri" w:hAnsi="Calibri"/>
          <w:b w:val="0"/>
          <w:sz w:val="22"/>
          <w:szCs w:val="22"/>
        </w:rPr>
      </w:pPr>
      <w:r w:rsidRPr="00BB5992">
        <w:rPr>
          <w:rFonts w:ascii="Calibri" w:hAnsi="Calibri"/>
          <w:b w:val="0"/>
          <w:sz w:val="22"/>
          <w:szCs w:val="22"/>
        </w:rPr>
        <w:t>Odpisy dlhodobého hmotného majetku sú stanovené vychádzajúc z predpokladanej doby jeho používania a predpokladaného priebehu jeho opotrebovania. Odpisovať sa začína dňom obstarania v mesiaci po uvedení dlhodobého majetku do používania. Dlhodobý hmotný majetok, ktorého obstarávacia cena (resp. vlastné náklady) je 1700 € a nižšia, sa odpisuje jednorazovo pri uvedení do používania. Pozemky sa neodpisujú. Predpokladaná doba používania, metóda odpisovania a odpisová sadzba sú uvedené v nasledujúcej tabuľke:</w:t>
      </w:r>
    </w:p>
    <w:p w:rsidR="00407FAC" w:rsidRPr="00BB5992" w:rsidRDefault="00407FAC" w:rsidP="00E943B7">
      <w:pPr>
        <w:pStyle w:val="BodyText"/>
        <w:rPr>
          <w:rFonts w:ascii="Calibri" w:hAnsi="Calibri"/>
          <w:b w:val="0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7FAC" w:rsidRPr="00C5374D" w:rsidTr="00A57764">
        <w:trPr>
          <w:trHeight w:val="250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ročná odpisová</w:t>
            </w:r>
          </w:p>
        </w:tc>
      </w:tr>
      <w:tr w:rsidR="00407FAC" w:rsidRPr="00C5374D" w:rsidTr="00A5776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26" w:type="dxa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doba používania</w:t>
            </w:r>
          </w:p>
        </w:tc>
        <w:tc>
          <w:tcPr>
            <w:tcW w:w="14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odpisovania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sadzba v %</w:t>
            </w:r>
          </w:p>
        </w:tc>
      </w:tr>
      <w:tr w:rsidR="00407FAC" w:rsidRPr="00C5374D" w:rsidTr="00A57764">
        <w:trPr>
          <w:trHeight w:val="250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stavby</w:t>
            </w: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20</w:t>
            </w:r>
          </w:p>
        </w:tc>
        <w:tc>
          <w:tcPr>
            <w:tcW w:w="14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5</w:t>
            </w:r>
          </w:p>
        </w:tc>
      </w:tr>
      <w:tr w:rsidR="00407FAC" w:rsidRPr="00C5374D" w:rsidTr="00A57764">
        <w:trPr>
          <w:trHeight w:val="250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stroje, prístroje a zariadenia</w:t>
            </w: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 až 12</w:t>
            </w:r>
          </w:p>
        </w:tc>
        <w:tc>
          <w:tcPr>
            <w:tcW w:w="14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8,5 až 12,5</w:t>
            </w:r>
          </w:p>
        </w:tc>
      </w:tr>
      <w:tr w:rsidR="00407FAC" w:rsidRPr="00C5374D" w:rsidTr="00A57764">
        <w:trPr>
          <w:trHeight w:val="250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4 až 6</w:t>
            </w:r>
          </w:p>
        </w:tc>
        <w:tc>
          <w:tcPr>
            <w:tcW w:w="14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25 až 16,5</w:t>
            </w:r>
          </w:p>
        </w:tc>
      </w:tr>
      <w:tr w:rsidR="00407FAC" w:rsidRPr="00C5374D" w:rsidTr="00A57764">
        <w:trPr>
          <w:trHeight w:val="250"/>
        </w:trPr>
        <w:tc>
          <w:tcPr>
            <w:tcW w:w="3402" w:type="dxa"/>
            <w:gridSpan w:val="2"/>
          </w:tcPr>
          <w:p w:rsidR="00407FAC" w:rsidRPr="00BB5992" w:rsidRDefault="00407FAC" w:rsidP="00A57764">
            <w:pPr>
              <w:pStyle w:val="Tabulka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drobný dlhodobý hmotný majetok</w:t>
            </w: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</w:tcPr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</w:tcPr>
          <w:p w:rsidR="00407FAC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  <w:r w:rsidRPr="00BB5992">
              <w:rPr>
                <w:rFonts w:ascii="Calibri" w:hAnsi="Calibri"/>
                <w:sz w:val="22"/>
                <w:szCs w:val="22"/>
              </w:rPr>
              <w:t>100</w:t>
            </w:r>
          </w:p>
          <w:p w:rsidR="00407FAC" w:rsidRPr="00BB5992" w:rsidRDefault="00407FAC" w:rsidP="00A57764">
            <w:pPr>
              <w:pStyle w:val="Tabulka"/>
              <w:jc w:val="center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407FAC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407FAC" w:rsidRDefault="00407FAC" w:rsidP="00633771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 xml:space="preserve">   V roku 2016 boli zaúčtované účtovné odpisy na Renault Master vo výške 4 632 €. /čtovné odpisy sa rovnajú daňovým odpisom. </w:t>
      </w:r>
    </w:p>
    <w:p w:rsidR="00407FAC" w:rsidRDefault="00407FAC" w:rsidP="00633771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V roku 2016 bola obstaraná motorka Honda 31.05.2016. Majetok v roku 2016 nebol odpisovaný – prerušený odpis vo výške 1 169 €.</w:t>
      </w:r>
    </w:p>
    <w:p w:rsidR="00407FAC" w:rsidRDefault="00407FAC" w:rsidP="00633771">
      <w:pPr>
        <w:pStyle w:val="Pismenka"/>
        <w:tabs>
          <w:tab w:val="clear" w:pos="426"/>
        </w:tabs>
        <w:ind w:left="0" w:firstLine="0"/>
        <w:rPr>
          <w:rFonts w:ascii="Calibri" w:hAnsi="Calibri"/>
          <w:b w:val="0"/>
          <w:sz w:val="22"/>
          <w:szCs w:val="22"/>
        </w:rPr>
      </w:pPr>
    </w:p>
    <w:p w:rsidR="00407FAC" w:rsidRPr="0032154F" w:rsidRDefault="00407FAC" w:rsidP="0032154F">
      <w:pPr>
        <w:pStyle w:val="Pismenka"/>
        <w:tabs>
          <w:tab w:val="clear" w:pos="426"/>
        </w:tabs>
        <w:ind w:firstLine="0"/>
        <w:rPr>
          <w:rFonts w:ascii="Calibri" w:hAnsi="Calibri"/>
          <w:b w:val="0"/>
          <w:sz w:val="22"/>
          <w:szCs w:val="22"/>
        </w:rPr>
      </w:pPr>
    </w:p>
    <w:p w:rsidR="00407FAC" w:rsidRPr="00C9201C" w:rsidRDefault="00407FAC" w:rsidP="00C9201C">
      <w:pPr>
        <w:rPr>
          <w:b/>
        </w:rPr>
      </w:pPr>
    </w:p>
    <w:p w:rsidR="00407FAC" w:rsidRDefault="00407FAC" w:rsidP="00B27DE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o  dlhodobom finančnom majetku</w:t>
      </w:r>
    </w:p>
    <w:p w:rsidR="00407FAC" w:rsidRPr="00C9201C" w:rsidRDefault="00407FAC" w:rsidP="00DB3381">
      <w:pPr>
        <w:pStyle w:val="ListParagraph"/>
        <w:ind w:left="426"/>
      </w:pPr>
      <w:r>
        <w:t>Účtovná jednotka neúčtuje ku dňu 31.12.2016  o dlhodobom finančnom majetku</w:t>
      </w:r>
    </w:p>
    <w:p w:rsidR="00407FAC" w:rsidRPr="00BB5992" w:rsidRDefault="00407FAC"/>
    <w:p w:rsidR="00407FAC" w:rsidRDefault="00407FAC" w:rsidP="00AC1B07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j) a l) o poskytnutých dlhodobých pôžičkách</w:t>
      </w:r>
    </w:p>
    <w:p w:rsidR="00407FAC" w:rsidRDefault="00407FAC" w:rsidP="00C9201C">
      <w:r>
        <w:rPr>
          <w:b/>
        </w:rPr>
        <w:t xml:space="preserve">        </w:t>
      </w:r>
      <w:r w:rsidRPr="00C9201C">
        <w:t xml:space="preserve">Účtovná </w:t>
      </w:r>
      <w:r>
        <w:t xml:space="preserve">jednotka </w:t>
      </w:r>
      <w:r w:rsidRPr="00C9201C">
        <w:t>účtuj</w:t>
      </w:r>
      <w:r>
        <w:t>e o poskytnutých dlhodobých pôžičkách- požička konateľa .</w:t>
      </w:r>
    </w:p>
    <w:p w:rsidR="00407FAC" w:rsidRDefault="00407FAC" w:rsidP="00C9201C">
      <w:r>
        <w:t xml:space="preserve">          Zostatok k 31.12.2016 vo výške 49 651 €. </w:t>
      </w:r>
    </w:p>
    <w:p w:rsidR="00407FAC" w:rsidRDefault="00407FAC" w:rsidP="00C9201C">
      <w:r>
        <w:t xml:space="preserve">       </w:t>
      </w:r>
    </w:p>
    <w:p w:rsidR="00407FAC" w:rsidRPr="00C9201C" w:rsidRDefault="00407FAC" w:rsidP="00C9201C">
      <w:r>
        <w:t xml:space="preserve">     </w:t>
      </w:r>
    </w:p>
    <w:p w:rsidR="00407FAC" w:rsidRPr="00BB5992" w:rsidRDefault="00407FAC"/>
    <w:p w:rsidR="00407FAC" w:rsidRPr="00BB5992" w:rsidRDefault="00407FAC"/>
    <w:p w:rsidR="00407FAC" w:rsidRDefault="00407FAC" w:rsidP="00BB5992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F. písm. s) o vekovej štruktúre pohľadávok</w:t>
      </w:r>
    </w:p>
    <w:p w:rsidR="00407FAC" w:rsidRDefault="00407FAC" w:rsidP="00F83396">
      <w:pPr>
        <w:pStyle w:val="ListParagraph"/>
        <w:ind w:left="426"/>
      </w:pPr>
      <w:r>
        <w:t xml:space="preserve">Účtovná jednotka ku dňu  31.12.2016 eviduje  pohľadávky z obchodného styku  3 566 € </w:t>
      </w:r>
    </w:p>
    <w:p w:rsidR="00407FAC" w:rsidRDefault="00407FAC" w:rsidP="00F83396">
      <w:pPr>
        <w:pStyle w:val="ListParagraph"/>
        <w:ind w:left="426"/>
      </w:pPr>
      <w:r>
        <w:t xml:space="preserve"> v lehote splatnosti  3 566 €.   </w:t>
      </w:r>
    </w:p>
    <w:p w:rsidR="00407FAC" w:rsidRDefault="00407FAC" w:rsidP="00F83396">
      <w:pPr>
        <w:pStyle w:val="ListParagraph"/>
        <w:ind w:left="426"/>
      </w:pPr>
      <w:r>
        <w:t xml:space="preserve">  Ostatné pohľadávky v lehote splatnosti  6 191 €, daňové pohľadávky 15 € </w:t>
      </w:r>
    </w:p>
    <w:p w:rsidR="00407FAC" w:rsidRDefault="00407FAC" w:rsidP="00F83396">
      <w:pPr>
        <w:pStyle w:val="ListParagraph"/>
        <w:ind w:left="426"/>
      </w:pPr>
      <w:r>
        <w:t xml:space="preserve">Spolu krátkodobé pohľadávky  9 772 €. </w:t>
      </w:r>
    </w:p>
    <w:p w:rsidR="00407FAC" w:rsidRDefault="00407FAC"/>
    <w:p w:rsidR="00407FAC" w:rsidRDefault="00407FAC"/>
    <w:p w:rsidR="00407FAC" w:rsidRPr="00BB5992" w:rsidRDefault="00407FAC"/>
    <w:p w:rsidR="00407FAC" w:rsidRPr="002B71AB" w:rsidRDefault="00407FAC" w:rsidP="002B71AB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F. písm. w) o krátkodobom finančnom majetku</w:t>
      </w:r>
      <w:r>
        <w:t>.</w:t>
      </w:r>
    </w:p>
    <w:p w:rsidR="00407FAC" w:rsidRDefault="00407FAC" w:rsidP="00BB5992">
      <w:pPr>
        <w:rPr>
          <w:b/>
        </w:rPr>
      </w:pPr>
    </w:p>
    <w:p w:rsidR="00407FAC" w:rsidRPr="0047616E" w:rsidRDefault="00407FAC" w:rsidP="0047616E">
      <w:pPr>
        <w:ind w:left="426"/>
      </w:pPr>
      <w:r w:rsidRPr="0047616E">
        <w:t>Účtovná</w:t>
      </w:r>
      <w:r>
        <w:t xml:space="preserve"> jednotka ku dňu 31.12.2016 </w:t>
      </w:r>
      <w:r w:rsidRPr="0047616E">
        <w:t xml:space="preserve"> eviduje krátkodobý finančný majetok</w:t>
      </w:r>
    </w:p>
    <w:p w:rsidR="00407FAC" w:rsidRDefault="00407FAC" w:rsidP="0047616E">
      <w:pPr>
        <w:ind w:left="426"/>
      </w:pPr>
      <w:r w:rsidRPr="0047616E">
        <w:t xml:space="preserve">Pokladnica –        </w:t>
      </w:r>
      <w:r>
        <w:t xml:space="preserve">       39 131</w:t>
      </w:r>
      <w:r w:rsidRPr="0047616E">
        <w:t xml:space="preserve"> € </w:t>
      </w:r>
    </w:p>
    <w:p w:rsidR="00407FAC" w:rsidRPr="0047616E" w:rsidRDefault="00407FAC" w:rsidP="0047616E">
      <w:pPr>
        <w:ind w:left="426"/>
      </w:pPr>
      <w:r>
        <w:t xml:space="preserve">Ceniny -                                0  €  </w:t>
      </w:r>
    </w:p>
    <w:p w:rsidR="00407FAC" w:rsidRPr="0047616E" w:rsidRDefault="00407FAC" w:rsidP="0047616E">
      <w:pPr>
        <w:ind w:left="426"/>
      </w:pPr>
      <w:r w:rsidRPr="0047616E">
        <w:t>Bankový účet –</w:t>
      </w:r>
      <w:r>
        <w:t xml:space="preserve">            3 185 </w:t>
      </w:r>
      <w:r w:rsidRPr="0047616E">
        <w:t xml:space="preserve"> € </w:t>
      </w:r>
    </w:p>
    <w:p w:rsidR="00407FAC" w:rsidRPr="0047616E" w:rsidRDefault="00407FAC" w:rsidP="0047616E">
      <w:pPr>
        <w:ind w:left="426"/>
      </w:pPr>
      <w:r w:rsidRPr="0047616E">
        <w:t xml:space="preserve">Spolu -               </w:t>
      </w:r>
      <w:r>
        <w:t xml:space="preserve">          42 316  </w:t>
      </w:r>
      <w:r w:rsidRPr="0047616E">
        <w:t xml:space="preserve">€ </w:t>
      </w:r>
    </w:p>
    <w:p w:rsidR="00407FAC" w:rsidRPr="00BB5992" w:rsidRDefault="00407FAC"/>
    <w:p w:rsidR="00407FAC" w:rsidRDefault="00407FAC"/>
    <w:p w:rsidR="00407FAC" w:rsidRDefault="00407FAC"/>
    <w:p w:rsidR="00407FAC" w:rsidRPr="00BB5992" w:rsidRDefault="00407FAC"/>
    <w:p w:rsidR="00407FAC" w:rsidRDefault="00407FAC" w:rsidP="00EB041D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a) tretiemu bodu o rozdelení účtovného zisku alebo o vysporiadaní účtovnej straty</w:t>
      </w:r>
    </w:p>
    <w:p w:rsidR="00407FAC" w:rsidRPr="00BB5992" w:rsidRDefault="00407FAC" w:rsidP="00BB5992">
      <w:pPr>
        <w:rPr>
          <w:b/>
        </w:rPr>
      </w:pPr>
    </w:p>
    <w:p w:rsidR="00407FAC" w:rsidRPr="00BB5992" w:rsidRDefault="00407FAC" w:rsidP="00DB3381">
      <w:pPr>
        <w:ind w:left="426"/>
      </w:pPr>
      <w:r>
        <w:t>Spoločnosť za rok 2015 vykázala účtovný zisk vo výške   499 €. Zis  bol preúčtovaný na účet  neuhradený  zisk  minulých rokov na základe valného zromaždenia.</w:t>
      </w:r>
    </w:p>
    <w:p w:rsidR="00407FAC" w:rsidRDefault="00407FAC" w:rsidP="0047616E"/>
    <w:p w:rsidR="00407FAC" w:rsidRPr="00BB5992" w:rsidRDefault="00407FAC"/>
    <w:p w:rsidR="00407FAC" w:rsidRDefault="00407FAC" w:rsidP="009C7B1E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b) o rezervách</w:t>
      </w:r>
    </w:p>
    <w:p w:rsidR="00407FAC" w:rsidRDefault="00407FAC" w:rsidP="0047616E">
      <w:pPr>
        <w:ind w:left="426"/>
      </w:pPr>
      <w:r>
        <w:t>Účtovná jednotka ku dňu 31.12.2016 neúčtuje o krátkodobých rezervách.</w:t>
      </w:r>
    </w:p>
    <w:p w:rsidR="00407FAC" w:rsidRDefault="00407FAC" w:rsidP="0047616E">
      <w:pPr>
        <w:ind w:left="426"/>
      </w:pPr>
    </w:p>
    <w:p w:rsidR="00407FAC" w:rsidRPr="00BB5992" w:rsidRDefault="00407FAC" w:rsidP="0047616E">
      <w:pPr>
        <w:ind w:left="426"/>
      </w:pPr>
    </w:p>
    <w:p w:rsidR="00407FAC" w:rsidRPr="00BB5992" w:rsidRDefault="00407FAC" w:rsidP="00EF5E33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G. písm. c) a d) o záväzkoch</w:t>
      </w:r>
    </w:p>
    <w:p w:rsidR="00407FAC" w:rsidRDefault="00407FAC" w:rsidP="0047616E">
      <w:pPr>
        <w:ind w:left="426"/>
      </w:pPr>
      <w:r>
        <w:t xml:space="preserve">Účtovná jednotka ku dňu 31.12.2016  eviduje závázky z obchodného styky  39 083 €  (  v lehote </w:t>
      </w:r>
    </w:p>
    <w:p w:rsidR="00407FAC" w:rsidRDefault="00407FAC" w:rsidP="0047616E">
      <w:pPr>
        <w:ind w:left="426"/>
      </w:pPr>
      <w:r>
        <w:t xml:space="preserve">splatnosti  33 833 € , záväzky z obchodného styku po splatnosti  5 250 € ) ,  daňové záväzky v lehote splatnosti  5 840 €. Záväzky voči zamestnancom 943 €  , ostatné krátkodobé </w:t>
      </w:r>
    </w:p>
    <w:p w:rsidR="00407FAC" w:rsidRDefault="00407FAC" w:rsidP="0047616E">
      <w:pPr>
        <w:ind w:left="426"/>
      </w:pPr>
      <w:r>
        <w:t>záväzky   v lehote splatnosti  6 045 €.</w:t>
      </w:r>
    </w:p>
    <w:p w:rsidR="00407FAC" w:rsidRPr="00BB5992" w:rsidRDefault="00407FAC" w:rsidP="0047616E">
      <w:pPr>
        <w:ind w:left="426"/>
      </w:pPr>
      <w:r>
        <w:t>Spolu krátkodobé záväzky ku dňu 31.12.2016 -    51 911 €.</w:t>
      </w:r>
    </w:p>
    <w:p w:rsidR="00407FAC" w:rsidRPr="00BB5992" w:rsidRDefault="00407FAC"/>
    <w:p w:rsidR="00407FAC" w:rsidRPr="00BB5992" w:rsidRDefault="00407FAC" w:rsidP="004C69B9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G. písm. i) o bankových úveroch, pôžičkách a krátkodobých finančných výpomociach</w:t>
      </w:r>
    </w:p>
    <w:p w:rsidR="00407FAC" w:rsidRDefault="00407FAC" w:rsidP="00DB3381">
      <w:pPr>
        <w:ind w:left="426"/>
      </w:pPr>
      <w:r>
        <w:t xml:space="preserve">Účtovná jednotka ku dňu 31.12.2016 účtuje o spotrebnom úveru  UniCredit Leasing Slovakia, s.r.o. na automobil Renault Master. Zostatok  úveru  k 31.12.2016 je  10 663 €.  . Splatnosť úveru je 05.04.2019, dlžka 48 mesiacov.  </w:t>
      </w:r>
    </w:p>
    <w:p w:rsidR="00407FAC" w:rsidRDefault="00407FAC"/>
    <w:p w:rsidR="00407FAC" w:rsidRDefault="00407FAC"/>
    <w:p w:rsidR="00407FAC" w:rsidRDefault="00407FAC"/>
    <w:p w:rsidR="00407FAC" w:rsidRDefault="00407FAC"/>
    <w:p w:rsidR="00407FAC" w:rsidRPr="00BB5992" w:rsidRDefault="00407FAC"/>
    <w:p w:rsidR="00407FAC" w:rsidRDefault="00407FAC" w:rsidP="00262928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časti H. písm. g) o čistom obrate</w:t>
      </w:r>
    </w:p>
    <w:p w:rsidR="00407FAC" w:rsidRDefault="00407FAC" w:rsidP="00676EEA">
      <w:pPr>
        <w:pStyle w:val="ListParagraph"/>
        <w:ind w:left="0"/>
        <w:rPr>
          <w:b/>
        </w:rPr>
      </w:pPr>
    </w:p>
    <w:p w:rsidR="00407FAC" w:rsidRDefault="00407FAC" w:rsidP="000C6480">
      <w:pPr>
        <w:ind w:left="426"/>
      </w:pPr>
      <w:r>
        <w:t xml:space="preserve">Výnosy z predaja tovaru         476 888    €. </w:t>
      </w:r>
    </w:p>
    <w:p w:rsidR="00407FAC" w:rsidRDefault="00407FAC" w:rsidP="000C6480">
      <w:pPr>
        <w:ind w:left="426"/>
      </w:pPr>
      <w:r>
        <w:t>Výnosy z predaja služieb          27 424     €</w:t>
      </w:r>
    </w:p>
    <w:p w:rsidR="00407FAC" w:rsidRDefault="00407FAC" w:rsidP="000C6480">
      <w:pPr>
        <w:ind w:left="426"/>
      </w:pPr>
      <w:r>
        <w:t>Ostatné výnosy z HČ                    4 427     €</w:t>
      </w:r>
    </w:p>
    <w:p w:rsidR="00407FAC" w:rsidRPr="00676EEA" w:rsidRDefault="00407FAC" w:rsidP="000C6480">
      <w:pPr>
        <w:ind w:left="426"/>
        <w:rPr>
          <w:b/>
        </w:rPr>
      </w:pPr>
      <w:r w:rsidRPr="00676EEA">
        <w:rPr>
          <w:b/>
        </w:rPr>
        <w:t>Čistý obrat                                  508 739    €.</w:t>
      </w:r>
    </w:p>
    <w:p w:rsidR="00407FAC" w:rsidRPr="00676EEA" w:rsidRDefault="00407FAC" w:rsidP="000C6480">
      <w:pPr>
        <w:ind w:left="426"/>
        <w:rPr>
          <w:b/>
        </w:rPr>
      </w:pPr>
    </w:p>
    <w:p w:rsidR="00407FAC" w:rsidRPr="00676EEA" w:rsidRDefault="00407FAC" w:rsidP="000C6480">
      <w:pPr>
        <w:ind w:left="426"/>
        <w:rPr>
          <w:b/>
        </w:rPr>
      </w:pPr>
      <w:r w:rsidRPr="00676EEA">
        <w:rPr>
          <w:b/>
        </w:rPr>
        <w:t>Náklady na hospodársku činnosť spolu   505 698 €</w:t>
      </w:r>
    </w:p>
    <w:p w:rsidR="00407FAC" w:rsidRDefault="00407FAC" w:rsidP="000C6480">
      <w:pPr>
        <w:ind w:left="426"/>
      </w:pPr>
      <w:r>
        <w:t xml:space="preserve">Naklady na obstaranie tovaru                    332 646 € </w:t>
      </w:r>
    </w:p>
    <w:p w:rsidR="00407FAC" w:rsidRDefault="00407FAC" w:rsidP="000C6480">
      <w:pPr>
        <w:ind w:left="426"/>
      </w:pPr>
      <w:r>
        <w:t xml:space="preserve">Spotreba energie a materiálu                       29 275 € </w:t>
      </w:r>
    </w:p>
    <w:p w:rsidR="00407FAC" w:rsidRDefault="00407FAC" w:rsidP="000C6480">
      <w:pPr>
        <w:ind w:left="426"/>
      </w:pPr>
      <w:r>
        <w:t xml:space="preserve">Prevádzkové služby                                     123 408 € </w:t>
      </w:r>
    </w:p>
    <w:p w:rsidR="00407FAC" w:rsidRDefault="00407FAC" w:rsidP="000C6480">
      <w:pPr>
        <w:ind w:left="426"/>
      </w:pPr>
      <w:r>
        <w:t>Osobné náklady                                              12 882 €</w:t>
      </w:r>
    </w:p>
    <w:p w:rsidR="00407FAC" w:rsidRDefault="00407FAC" w:rsidP="000C6480">
      <w:pPr>
        <w:ind w:left="426"/>
      </w:pPr>
      <w:r>
        <w:t xml:space="preserve">Dane a poplatky                                                    348 € </w:t>
      </w:r>
    </w:p>
    <w:p w:rsidR="00407FAC" w:rsidRDefault="00407FAC" w:rsidP="000C6480">
      <w:pPr>
        <w:ind w:left="426"/>
      </w:pPr>
      <w:r>
        <w:t>Účtovné odpisy                                                   4 632 €</w:t>
      </w:r>
    </w:p>
    <w:p w:rsidR="00407FAC" w:rsidRDefault="00407FAC" w:rsidP="000C6480">
      <w:pPr>
        <w:ind w:left="426"/>
      </w:pPr>
      <w:r>
        <w:t>Ostatné náklady na HČ                                      2 507 €</w:t>
      </w:r>
    </w:p>
    <w:p w:rsidR="00407FAC" w:rsidRPr="00837AC4" w:rsidRDefault="00407FAC" w:rsidP="00837AC4">
      <w:pPr>
        <w:rPr>
          <w:b/>
          <w:u w:val="single"/>
          <w:lang w:val="sk-SK"/>
        </w:rPr>
      </w:pPr>
    </w:p>
    <w:p w:rsidR="00407FAC" w:rsidRPr="00BB5992" w:rsidRDefault="00407FAC"/>
    <w:p w:rsidR="00407FAC" w:rsidRDefault="00407FAC" w:rsidP="00C449AA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rPr>
          <w:b/>
        </w:rPr>
        <w:t>Informácie k prílohe č. 3  časti J.  písm. f) a g) o daniach z príjmov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 xml:space="preserve">Výsledok hospodárenia  pred zdanením k 31.12.2016       182,58 € 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 xml:space="preserve">Pripočitateľné položky                                                           5 903,24 € 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 xml:space="preserve">Odpočitateľné položky                                                                 0,22  € 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6 086,00  €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>Odpočet daňovej straty                                                                  0,00  €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>Základ dane                                                                                6 086,00 €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 xml:space="preserve">Daň 22 %                                                                                      1 339,00 € 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 xml:space="preserve">Daňová licencia                                                                          2 880,00 € 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>Daň na zápočet v nasledujúcom zdaňovacom období      1 541,00 €</w:t>
      </w:r>
    </w:p>
    <w:p w:rsidR="00407FAC" w:rsidRDefault="00407FAC" w:rsidP="000C6480">
      <w:pPr>
        <w:pStyle w:val="ListParagraph"/>
        <w:ind w:left="426"/>
        <w:rPr>
          <w:b/>
        </w:rPr>
      </w:pPr>
      <w:r>
        <w:rPr>
          <w:b/>
        </w:rPr>
        <w:t xml:space="preserve">Splatná daň z príjmu                                                                 2 880,00 € </w:t>
      </w:r>
    </w:p>
    <w:p w:rsidR="00407FAC" w:rsidRPr="00BB5992" w:rsidRDefault="00407FAC"/>
    <w:p w:rsidR="00407FAC" w:rsidRPr="00BB5992" w:rsidRDefault="00407FAC"/>
    <w:p w:rsidR="00407FAC" w:rsidRPr="00945FD5" w:rsidRDefault="00407FAC" w:rsidP="00945FD5">
      <w:pPr>
        <w:pStyle w:val="ListParagraph"/>
        <w:numPr>
          <w:ilvl w:val="0"/>
          <w:numId w:val="1"/>
        </w:numPr>
        <w:ind w:left="426"/>
        <w:rPr>
          <w:b/>
        </w:rPr>
      </w:pPr>
      <w:r w:rsidRPr="00BB5992">
        <w:t>Informácie k prílohe č. 3 časti P. o zmenách vlastného imania</w:t>
      </w:r>
      <w:r>
        <w:t xml:space="preserve"> k 31.12.2016    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56"/>
        <w:gridCol w:w="1417"/>
        <w:gridCol w:w="937"/>
        <w:gridCol w:w="1417"/>
        <w:gridCol w:w="1417"/>
        <w:gridCol w:w="1417"/>
      </w:tblGrid>
      <w:tr w:rsidR="00407FAC" w:rsidTr="00AC5BFA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660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407FAC" w:rsidTr="00AC5BFA">
        <w:trPr>
          <w:jc w:val="center"/>
        </w:trPr>
        <w:tc>
          <w:tcPr>
            <w:tcW w:w="215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407FAC" w:rsidTr="00AC5BFA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9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5 000</w:t>
            </w: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 w:rsidP="00E534D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 w:rsidP="008B31AC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3 654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4 153</w:t>
            </w: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- 38 710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- 38 710</w:t>
            </w: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      499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 w:rsidP="00E534DB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- 2 698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499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 w:rsidP="008B31AC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- 2 698</w:t>
            </w: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07FAC" w:rsidTr="00AC5BFA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Vlastné imanie spolu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- 29 558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 w:rsidP="002B2648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- 2 698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7FAC" w:rsidRDefault="00407FAC" w:rsidP="00E172E4">
            <w:pPr>
              <w:pStyle w:val="Value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       499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7FAC" w:rsidRDefault="00407FA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-32 256</w:t>
            </w:r>
          </w:p>
        </w:tc>
      </w:tr>
    </w:tbl>
    <w:p w:rsidR="00407FAC" w:rsidRDefault="00407FAC" w:rsidP="000019B0"/>
    <w:sectPr w:rsidR="00407FAC" w:rsidSect="00DA790C">
      <w:headerReference w:type="default" r:id="rId7"/>
      <w:footerReference w:type="default" r:id="rId8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7FAC" w:rsidRDefault="00407FAC" w:rsidP="00F800C9">
      <w:pPr>
        <w:spacing w:line="240" w:lineRule="auto"/>
      </w:pPr>
      <w:r>
        <w:separator/>
      </w:r>
    </w:p>
  </w:endnote>
  <w:endnote w:type="continuationSeparator" w:id="0">
    <w:p w:rsidR="00407FAC" w:rsidRDefault="00407FAC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FAC" w:rsidRDefault="00407FAC" w:rsidP="00E172E4">
    <w:pPr>
      <w:pStyle w:val="Footer"/>
      <w:jc w:val="right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>
      <w:rPr>
        <w:b/>
        <w:bCs/>
        <w:noProof/>
      </w:rPr>
      <w:t>4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7FAC" w:rsidRDefault="00407FAC" w:rsidP="00F800C9">
      <w:pPr>
        <w:spacing w:line="240" w:lineRule="auto"/>
      </w:pPr>
      <w:r>
        <w:separator/>
      </w:r>
    </w:p>
  </w:footnote>
  <w:footnote w:type="continuationSeparator" w:id="0">
    <w:p w:rsidR="00407FAC" w:rsidRDefault="00407FAC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7FAC" w:rsidRDefault="00407FAC">
    <w:pPr>
      <w:pStyle w:val="Header"/>
      <w:rPr>
        <w:lang w:val="sk-SK"/>
      </w:rPr>
    </w:pPr>
    <w:r>
      <w:rPr>
        <w:lang w:val="sk-SK"/>
      </w:rPr>
      <w:t>Poznámky Úč.MÚJ 3-01, SUPERINTERIER, s.r.o. IČO: 45 977 232, DIČ: 2023168543</w:t>
    </w:r>
  </w:p>
  <w:p w:rsidR="00407FAC" w:rsidRDefault="00407FAC">
    <w:pPr>
      <w:pStyle w:val="Header"/>
      <w:rPr>
        <w:lang w:val="sk-SK"/>
      </w:rPr>
    </w:pPr>
    <w:r>
      <w:rPr>
        <w:lang w:val="sk-SK"/>
      </w:rPr>
      <w:t>Zdaňovacie obdobie 01.01.-31.12.2016</w:t>
    </w:r>
  </w:p>
  <w:p w:rsidR="00407FAC" w:rsidRPr="00945FD5" w:rsidRDefault="00407FAC">
    <w:pPr>
      <w:pStyle w:val="Header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720" w:hanging="360"/>
      </w:pPr>
      <w:rPr>
        <w:rFonts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00C9"/>
    <w:rsid w:val="000019B0"/>
    <w:rsid w:val="00002D97"/>
    <w:rsid w:val="00024973"/>
    <w:rsid w:val="00031F94"/>
    <w:rsid w:val="000341BA"/>
    <w:rsid w:val="00065932"/>
    <w:rsid w:val="000844F6"/>
    <w:rsid w:val="0009070F"/>
    <w:rsid w:val="000B09E3"/>
    <w:rsid w:val="000C6480"/>
    <w:rsid w:val="000C7D54"/>
    <w:rsid w:val="000F2559"/>
    <w:rsid w:val="000F7B11"/>
    <w:rsid w:val="00104E1C"/>
    <w:rsid w:val="00111032"/>
    <w:rsid w:val="0011146D"/>
    <w:rsid w:val="001121ED"/>
    <w:rsid w:val="0014580E"/>
    <w:rsid w:val="00166F5A"/>
    <w:rsid w:val="00181840"/>
    <w:rsid w:val="00183662"/>
    <w:rsid w:val="00184174"/>
    <w:rsid w:val="001A48A6"/>
    <w:rsid w:val="001C70AD"/>
    <w:rsid w:val="001D0A12"/>
    <w:rsid w:val="001D28EC"/>
    <w:rsid w:val="001D4F69"/>
    <w:rsid w:val="001E0D3C"/>
    <w:rsid w:val="001F3B39"/>
    <w:rsid w:val="00214CEC"/>
    <w:rsid w:val="00236BF3"/>
    <w:rsid w:val="00262928"/>
    <w:rsid w:val="00267138"/>
    <w:rsid w:val="00282140"/>
    <w:rsid w:val="00286FAA"/>
    <w:rsid w:val="002B150C"/>
    <w:rsid w:val="002B2648"/>
    <w:rsid w:val="002B4D0B"/>
    <w:rsid w:val="002B6748"/>
    <w:rsid w:val="002B71AB"/>
    <w:rsid w:val="002D3017"/>
    <w:rsid w:val="002E23D5"/>
    <w:rsid w:val="002E4EBC"/>
    <w:rsid w:val="002F0850"/>
    <w:rsid w:val="002F35A6"/>
    <w:rsid w:val="003102E9"/>
    <w:rsid w:val="00317691"/>
    <w:rsid w:val="003210A0"/>
    <w:rsid w:val="0032154F"/>
    <w:rsid w:val="00323E67"/>
    <w:rsid w:val="00326367"/>
    <w:rsid w:val="00341771"/>
    <w:rsid w:val="00365A96"/>
    <w:rsid w:val="00365ABC"/>
    <w:rsid w:val="003703D8"/>
    <w:rsid w:val="00382340"/>
    <w:rsid w:val="003A5768"/>
    <w:rsid w:val="003B2491"/>
    <w:rsid w:val="003B2E5D"/>
    <w:rsid w:val="003B5340"/>
    <w:rsid w:val="003F7250"/>
    <w:rsid w:val="00404234"/>
    <w:rsid w:val="00407FAC"/>
    <w:rsid w:val="0041388C"/>
    <w:rsid w:val="00422F7C"/>
    <w:rsid w:val="0042512F"/>
    <w:rsid w:val="00441B73"/>
    <w:rsid w:val="00444C39"/>
    <w:rsid w:val="00464781"/>
    <w:rsid w:val="00465C82"/>
    <w:rsid w:val="0047616E"/>
    <w:rsid w:val="00487053"/>
    <w:rsid w:val="004A2F9D"/>
    <w:rsid w:val="004A4AAF"/>
    <w:rsid w:val="004C211E"/>
    <w:rsid w:val="004C69B9"/>
    <w:rsid w:val="004C7B4D"/>
    <w:rsid w:val="004D27F5"/>
    <w:rsid w:val="004D333A"/>
    <w:rsid w:val="004F64A6"/>
    <w:rsid w:val="00513FAD"/>
    <w:rsid w:val="005248EF"/>
    <w:rsid w:val="00534125"/>
    <w:rsid w:val="005418B8"/>
    <w:rsid w:val="00561FF8"/>
    <w:rsid w:val="005903F9"/>
    <w:rsid w:val="0059074F"/>
    <w:rsid w:val="005A1409"/>
    <w:rsid w:val="005A1CBA"/>
    <w:rsid w:val="005B7B20"/>
    <w:rsid w:val="005D351A"/>
    <w:rsid w:val="005D6ECD"/>
    <w:rsid w:val="00604D53"/>
    <w:rsid w:val="0061022A"/>
    <w:rsid w:val="00630D88"/>
    <w:rsid w:val="00633771"/>
    <w:rsid w:val="00647E93"/>
    <w:rsid w:val="00656E3A"/>
    <w:rsid w:val="00657D3D"/>
    <w:rsid w:val="00665A3E"/>
    <w:rsid w:val="00676EEA"/>
    <w:rsid w:val="006849E4"/>
    <w:rsid w:val="006B0345"/>
    <w:rsid w:val="00710684"/>
    <w:rsid w:val="007142D3"/>
    <w:rsid w:val="00714343"/>
    <w:rsid w:val="00722A54"/>
    <w:rsid w:val="007420A7"/>
    <w:rsid w:val="00742DD4"/>
    <w:rsid w:val="007453A0"/>
    <w:rsid w:val="00747D66"/>
    <w:rsid w:val="00750C8E"/>
    <w:rsid w:val="007553FB"/>
    <w:rsid w:val="00775FBF"/>
    <w:rsid w:val="00784D30"/>
    <w:rsid w:val="007C5700"/>
    <w:rsid w:val="007D3247"/>
    <w:rsid w:val="007E4735"/>
    <w:rsid w:val="00800667"/>
    <w:rsid w:val="00802ED6"/>
    <w:rsid w:val="00803FA1"/>
    <w:rsid w:val="00804FBC"/>
    <w:rsid w:val="0081080B"/>
    <w:rsid w:val="00837AC4"/>
    <w:rsid w:val="00845ABE"/>
    <w:rsid w:val="00846DB9"/>
    <w:rsid w:val="0085383B"/>
    <w:rsid w:val="00855D95"/>
    <w:rsid w:val="00876D37"/>
    <w:rsid w:val="00880795"/>
    <w:rsid w:val="008B2040"/>
    <w:rsid w:val="008B31AC"/>
    <w:rsid w:val="008F43E5"/>
    <w:rsid w:val="008F759F"/>
    <w:rsid w:val="00922E47"/>
    <w:rsid w:val="00926171"/>
    <w:rsid w:val="009346D0"/>
    <w:rsid w:val="00935D9C"/>
    <w:rsid w:val="00945FD5"/>
    <w:rsid w:val="00962C33"/>
    <w:rsid w:val="00965379"/>
    <w:rsid w:val="0096647D"/>
    <w:rsid w:val="00976C73"/>
    <w:rsid w:val="00994209"/>
    <w:rsid w:val="00995D17"/>
    <w:rsid w:val="00997D6B"/>
    <w:rsid w:val="009A3C03"/>
    <w:rsid w:val="009C0D8D"/>
    <w:rsid w:val="009C7B1E"/>
    <w:rsid w:val="009D3941"/>
    <w:rsid w:val="009E29E3"/>
    <w:rsid w:val="009E3D93"/>
    <w:rsid w:val="00A02C7F"/>
    <w:rsid w:val="00A04725"/>
    <w:rsid w:val="00A3071C"/>
    <w:rsid w:val="00A308BA"/>
    <w:rsid w:val="00A34B7D"/>
    <w:rsid w:val="00A57764"/>
    <w:rsid w:val="00A7762F"/>
    <w:rsid w:val="00AA40EB"/>
    <w:rsid w:val="00AB0881"/>
    <w:rsid w:val="00AB4977"/>
    <w:rsid w:val="00AC1B07"/>
    <w:rsid w:val="00AC5BFA"/>
    <w:rsid w:val="00AD610E"/>
    <w:rsid w:val="00B07B59"/>
    <w:rsid w:val="00B2704A"/>
    <w:rsid w:val="00B27DE5"/>
    <w:rsid w:val="00B74875"/>
    <w:rsid w:val="00B76113"/>
    <w:rsid w:val="00B77822"/>
    <w:rsid w:val="00B86D24"/>
    <w:rsid w:val="00B9185E"/>
    <w:rsid w:val="00B9677C"/>
    <w:rsid w:val="00BA79D0"/>
    <w:rsid w:val="00BB5992"/>
    <w:rsid w:val="00BC2E31"/>
    <w:rsid w:val="00BD0D57"/>
    <w:rsid w:val="00BF1266"/>
    <w:rsid w:val="00C0318C"/>
    <w:rsid w:val="00C10350"/>
    <w:rsid w:val="00C178B4"/>
    <w:rsid w:val="00C40F82"/>
    <w:rsid w:val="00C449AA"/>
    <w:rsid w:val="00C5374D"/>
    <w:rsid w:val="00C9201C"/>
    <w:rsid w:val="00C9470C"/>
    <w:rsid w:val="00C96A60"/>
    <w:rsid w:val="00CA7A99"/>
    <w:rsid w:val="00CB4A78"/>
    <w:rsid w:val="00CC247A"/>
    <w:rsid w:val="00D16447"/>
    <w:rsid w:val="00D275B1"/>
    <w:rsid w:val="00D35417"/>
    <w:rsid w:val="00D408C7"/>
    <w:rsid w:val="00D447BB"/>
    <w:rsid w:val="00D53A75"/>
    <w:rsid w:val="00D72AAA"/>
    <w:rsid w:val="00D74445"/>
    <w:rsid w:val="00D943EE"/>
    <w:rsid w:val="00D9603C"/>
    <w:rsid w:val="00D97445"/>
    <w:rsid w:val="00DA2501"/>
    <w:rsid w:val="00DA42E7"/>
    <w:rsid w:val="00DA71DA"/>
    <w:rsid w:val="00DA790C"/>
    <w:rsid w:val="00DB3381"/>
    <w:rsid w:val="00DC1935"/>
    <w:rsid w:val="00DD619B"/>
    <w:rsid w:val="00DE3816"/>
    <w:rsid w:val="00E0095C"/>
    <w:rsid w:val="00E10844"/>
    <w:rsid w:val="00E172E4"/>
    <w:rsid w:val="00E223BF"/>
    <w:rsid w:val="00E24EC6"/>
    <w:rsid w:val="00E534DB"/>
    <w:rsid w:val="00E6642F"/>
    <w:rsid w:val="00E80BDA"/>
    <w:rsid w:val="00E943B7"/>
    <w:rsid w:val="00EB041D"/>
    <w:rsid w:val="00EB1377"/>
    <w:rsid w:val="00EB4C42"/>
    <w:rsid w:val="00EC032D"/>
    <w:rsid w:val="00ED3EBE"/>
    <w:rsid w:val="00EE15C0"/>
    <w:rsid w:val="00EE4A1E"/>
    <w:rsid w:val="00EF2008"/>
    <w:rsid w:val="00EF5E33"/>
    <w:rsid w:val="00F000C2"/>
    <w:rsid w:val="00F31514"/>
    <w:rsid w:val="00F35C91"/>
    <w:rsid w:val="00F363BE"/>
    <w:rsid w:val="00F606AA"/>
    <w:rsid w:val="00F64C66"/>
    <w:rsid w:val="00F800C9"/>
    <w:rsid w:val="00F83396"/>
    <w:rsid w:val="00F86AC1"/>
    <w:rsid w:val="00FA2BA2"/>
    <w:rsid w:val="00FB2724"/>
    <w:rsid w:val="00FB3760"/>
    <w:rsid w:val="00FC0F95"/>
    <w:rsid w:val="00FC7417"/>
    <w:rsid w:val="00FD0328"/>
    <w:rsid w:val="00FD6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D3017"/>
    <w:pPr>
      <w:spacing w:line="259" w:lineRule="auto"/>
    </w:pPr>
    <w:rPr>
      <w:lang w:val="hu-HU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/>
      <w:b/>
      <w:bCs/>
      <w:kern w:val="32"/>
      <w:sz w:val="32"/>
      <w:szCs w:val="32"/>
      <w:lang w:val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/>
      <w:b/>
      <w:bCs/>
      <w:i/>
      <w:iCs/>
      <w:sz w:val="28"/>
      <w:szCs w:val="28"/>
      <w:lang w:val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5D17"/>
    <w:rPr>
      <w:rFonts w:ascii="Cambria" w:hAnsi="Cambria" w:cs="Times New Roman"/>
      <w:b/>
      <w:bCs/>
      <w:kern w:val="32"/>
      <w:sz w:val="32"/>
      <w:szCs w:val="32"/>
      <w:lang w:val="sk-SK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95D17"/>
    <w:rPr>
      <w:rFonts w:ascii="Cambria" w:hAnsi="Cambria" w:cs="Times New Roman"/>
      <w:b/>
      <w:bCs/>
      <w:i/>
      <w:iCs/>
      <w:sz w:val="28"/>
      <w:szCs w:val="28"/>
      <w:lang w:val="sk-SK"/>
    </w:rPr>
  </w:style>
  <w:style w:type="paragraph" w:styleId="Header">
    <w:name w:val="header"/>
    <w:basedOn w:val="Normal"/>
    <w:link w:val="Head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F800C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F800C9"/>
    <w:rPr>
      <w:rFonts w:cs="Times New Roman"/>
    </w:rPr>
  </w:style>
  <w:style w:type="table" w:styleId="TableGrid">
    <w:name w:val="Table Grid"/>
    <w:basedOn w:val="TableNormal"/>
    <w:uiPriority w:val="99"/>
    <w:rsid w:val="00F800C9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ListParagraph"/>
    <w:link w:val="PrilohacimChar"/>
    <w:uiPriority w:val="99"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DefaultParagraphFont"/>
    <w:link w:val="Prilohacim"/>
    <w:uiPriority w:val="99"/>
    <w:locked/>
    <w:rsid w:val="00FD6AB6"/>
    <w:rPr>
      <w:rFonts w:cs="Times New Roman"/>
      <w:b/>
    </w:rPr>
  </w:style>
  <w:style w:type="character" w:styleId="Hyperlink">
    <w:name w:val="Hyperlink"/>
    <w:basedOn w:val="DefaultParagraphFont"/>
    <w:uiPriority w:val="99"/>
    <w:rsid w:val="00267138"/>
    <w:rPr>
      <w:rFonts w:cs="Times New Roman"/>
      <w:color w:val="0563C1"/>
      <w:u w:val="single"/>
    </w:rPr>
  </w:style>
  <w:style w:type="character" w:customStyle="1" w:styleId="ListParagraphChar">
    <w:name w:val="List Paragraph Char"/>
    <w:basedOn w:val="DefaultParagraphFont"/>
    <w:link w:val="ListParagraph"/>
    <w:uiPriority w:val="99"/>
    <w:locked/>
    <w:rsid w:val="003B2491"/>
    <w:rPr>
      <w:rFonts w:cs="Times New Roman"/>
    </w:rPr>
  </w:style>
  <w:style w:type="paragraph" w:styleId="BalloonText">
    <w:name w:val="Balloon Text"/>
    <w:basedOn w:val="Normal"/>
    <w:link w:val="BalloonTextChar"/>
    <w:uiPriority w:val="99"/>
    <w:semiHidden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C211E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995D17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sk-SK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95D1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BodyText"/>
    <w:uiPriority w:val="99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al"/>
    <w:uiPriority w:val="99"/>
    <w:rsid w:val="00995D17"/>
    <w:pPr>
      <w:spacing w:line="240" w:lineRule="auto"/>
    </w:pPr>
    <w:rPr>
      <w:rFonts w:ascii="Times New Roman" w:eastAsia="Times New Roman" w:hAnsi="Times New Roman"/>
      <w:color w:val="000000"/>
      <w:sz w:val="18"/>
      <w:szCs w:val="20"/>
      <w:lang w:val="sk-SK"/>
    </w:rPr>
  </w:style>
  <w:style w:type="paragraph" w:customStyle="1" w:styleId="TopHeader">
    <w:name w:val="Top Header"/>
    <w:basedOn w:val="Normal"/>
    <w:uiPriority w:val="99"/>
    <w:rsid w:val="00E534DB"/>
    <w:pPr>
      <w:spacing w:line="240" w:lineRule="auto"/>
      <w:jc w:val="center"/>
    </w:pPr>
    <w:rPr>
      <w:rFonts w:ascii="Arial Narrow" w:hAnsi="Arial Narrow"/>
      <w:b/>
      <w:bCs/>
      <w:lang w:val="sk-SK"/>
    </w:rPr>
  </w:style>
  <w:style w:type="character" w:customStyle="1" w:styleId="ValueChar">
    <w:name w:val="Value Char"/>
    <w:basedOn w:val="DefaultParagraphFont"/>
    <w:link w:val="Value"/>
    <w:uiPriority w:val="99"/>
    <w:locked/>
    <w:rsid w:val="00E534DB"/>
    <w:rPr>
      <w:rFonts w:ascii="Arial Narrow" w:hAnsi="Arial Narrow" w:cs="Times New Roman"/>
      <w:sz w:val="24"/>
      <w:szCs w:val="24"/>
      <w:lang w:val="sk-SK" w:eastAsia="en-US" w:bidi="ar-SA"/>
    </w:rPr>
  </w:style>
  <w:style w:type="paragraph" w:customStyle="1" w:styleId="Value">
    <w:name w:val="Value"/>
    <w:basedOn w:val="Normal"/>
    <w:link w:val="ValueChar"/>
    <w:uiPriority w:val="99"/>
    <w:rsid w:val="00E534DB"/>
    <w:pPr>
      <w:spacing w:line="240" w:lineRule="auto"/>
      <w:jc w:val="right"/>
    </w:pPr>
    <w:rPr>
      <w:rFonts w:ascii="Arial Narrow" w:hAnsi="Arial Narrow"/>
      <w:szCs w:val="24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1524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4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4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4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4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4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24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5</Pages>
  <Words>1311</Words>
  <Characters>7479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Informácie o účtovnej jednotke</dc:title>
  <dc:subject/>
  <dc:creator>Czita Istvan</dc:creator>
  <cp:keywords/>
  <dc:description/>
  <cp:lastModifiedBy>Beata Ozorak</cp:lastModifiedBy>
  <cp:revision>2</cp:revision>
  <cp:lastPrinted>2016-02-23T06:35:00Z</cp:lastPrinted>
  <dcterms:created xsi:type="dcterms:W3CDTF">2017-03-16T07:24:00Z</dcterms:created>
  <dcterms:modified xsi:type="dcterms:W3CDTF">2017-03-16T07:24:00Z</dcterms:modified>
</cp:coreProperties>
</file>