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594A" w:rsidRPr="0082594A" w:rsidRDefault="0082594A" w:rsidP="0082594A">
      <w:pPr>
        <w:spacing w:after="0" w:line="240" w:lineRule="auto"/>
        <w:jc w:val="center"/>
        <w:rPr>
          <w:rFonts w:ascii="Times New Roman" w:eastAsia="Times New Roman" w:hAnsi="Times New Roman" w:cs="Times New Roman"/>
          <w:b/>
          <w:sz w:val="28"/>
          <w:szCs w:val="28"/>
          <w:lang w:eastAsia="sk-SK"/>
        </w:rPr>
      </w:pPr>
      <w:bookmarkStart w:id="0" w:name="_GoBack"/>
      <w:bookmarkEnd w:id="0"/>
    </w:p>
    <w:p w:rsidR="0082594A" w:rsidRPr="0082594A" w:rsidRDefault="0082594A" w:rsidP="0082594A">
      <w:pPr>
        <w:spacing w:after="0" w:line="240" w:lineRule="auto"/>
        <w:jc w:val="center"/>
        <w:rPr>
          <w:rFonts w:ascii="Times New Roman" w:eastAsia="Times New Roman" w:hAnsi="Times New Roman" w:cs="Times New Roman"/>
          <w:b/>
          <w:sz w:val="28"/>
          <w:szCs w:val="28"/>
          <w:lang w:eastAsia="sk-SK"/>
        </w:rPr>
      </w:pPr>
    </w:p>
    <w:p w:rsidR="0082594A" w:rsidRPr="0082594A" w:rsidRDefault="0082594A" w:rsidP="0082594A">
      <w:pPr>
        <w:spacing w:after="0" w:line="240" w:lineRule="auto"/>
        <w:jc w:val="center"/>
        <w:rPr>
          <w:rFonts w:ascii="Times New Roman" w:eastAsia="Times New Roman" w:hAnsi="Times New Roman" w:cs="Times New Roman"/>
          <w:b/>
          <w:sz w:val="28"/>
          <w:szCs w:val="28"/>
          <w:lang w:eastAsia="sk-SK"/>
        </w:rPr>
      </w:pPr>
    </w:p>
    <w:p w:rsidR="0082594A" w:rsidRPr="0082594A" w:rsidRDefault="0082594A" w:rsidP="0082594A">
      <w:pPr>
        <w:spacing w:after="0" w:line="240" w:lineRule="auto"/>
        <w:jc w:val="center"/>
        <w:rPr>
          <w:rFonts w:ascii="Times New Roman" w:eastAsia="Times New Roman" w:hAnsi="Times New Roman" w:cs="Times New Roman"/>
          <w:b/>
          <w:sz w:val="28"/>
          <w:szCs w:val="28"/>
          <w:lang w:eastAsia="sk-SK"/>
        </w:rPr>
      </w:pPr>
    </w:p>
    <w:p w:rsidR="0082594A" w:rsidRPr="0082594A" w:rsidRDefault="0082594A" w:rsidP="0082594A">
      <w:pPr>
        <w:spacing w:after="0" w:line="240" w:lineRule="auto"/>
        <w:jc w:val="center"/>
        <w:rPr>
          <w:rFonts w:ascii="Times New Roman" w:eastAsia="Times New Roman" w:hAnsi="Times New Roman" w:cs="Times New Roman"/>
          <w:b/>
          <w:sz w:val="28"/>
          <w:szCs w:val="28"/>
          <w:lang w:eastAsia="sk-SK"/>
        </w:rPr>
      </w:pPr>
      <w:r w:rsidRPr="0082594A">
        <w:rPr>
          <w:rFonts w:ascii="Times New Roman" w:eastAsia="Times New Roman" w:hAnsi="Times New Roman" w:cs="Times New Roman"/>
          <w:b/>
          <w:sz w:val="28"/>
          <w:szCs w:val="28"/>
          <w:lang w:eastAsia="sk-SK"/>
        </w:rPr>
        <w:t>Poznámky konsolidovanej účtovnej závierky obce Nová Dedinka</w:t>
      </w:r>
    </w:p>
    <w:p w:rsidR="0082594A" w:rsidRPr="0082594A" w:rsidRDefault="0082594A" w:rsidP="0082594A">
      <w:pPr>
        <w:spacing w:after="0" w:line="240" w:lineRule="auto"/>
        <w:jc w:val="center"/>
        <w:rPr>
          <w:rFonts w:ascii="Times New Roman" w:eastAsia="Times New Roman" w:hAnsi="Times New Roman" w:cs="Times New Roman"/>
          <w:sz w:val="28"/>
          <w:szCs w:val="28"/>
          <w:lang w:eastAsia="sk-SK"/>
        </w:rPr>
      </w:pPr>
      <w:r w:rsidRPr="0082594A">
        <w:rPr>
          <w:rFonts w:ascii="Times New Roman" w:eastAsia="Times New Roman" w:hAnsi="Times New Roman" w:cs="Times New Roman"/>
          <w:b/>
          <w:sz w:val="28"/>
          <w:szCs w:val="28"/>
          <w:lang w:eastAsia="sk-SK"/>
        </w:rPr>
        <w:t xml:space="preserve">zostavenej k 31. decembru </w:t>
      </w:r>
      <w:r w:rsidRPr="0082594A">
        <w:rPr>
          <w:rFonts w:ascii="Times New Roman" w:eastAsia="Times New Roman" w:hAnsi="Times New Roman" w:cs="Times New Roman"/>
          <w:b/>
          <w:iCs/>
          <w:sz w:val="28"/>
          <w:szCs w:val="28"/>
          <w:lang w:eastAsia="sk-SK"/>
        </w:rPr>
        <w:t>201</w:t>
      </w:r>
      <w:r w:rsidR="00A00DC8">
        <w:rPr>
          <w:rFonts w:ascii="Times New Roman" w:eastAsia="Times New Roman" w:hAnsi="Times New Roman" w:cs="Times New Roman"/>
          <w:b/>
          <w:iCs/>
          <w:sz w:val="28"/>
          <w:szCs w:val="28"/>
          <w:lang w:eastAsia="sk-SK"/>
        </w:rPr>
        <w:t>6</w:t>
      </w:r>
      <w:r w:rsidRPr="0082594A">
        <w:rPr>
          <w:rFonts w:ascii="Times New Roman" w:eastAsia="Times New Roman" w:hAnsi="Times New Roman" w:cs="Times New Roman"/>
          <w:b/>
          <w:iCs/>
          <w:sz w:val="28"/>
          <w:szCs w:val="28"/>
          <w:lang w:eastAsia="sk-SK"/>
        </w:rPr>
        <w:t xml:space="preserve">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keepNext/>
        <w:spacing w:before="60" w:after="240" w:line="240" w:lineRule="auto"/>
        <w:ind w:left="-14"/>
        <w:jc w:val="both"/>
        <w:outlineLvl w:val="0"/>
        <w:rPr>
          <w:rFonts w:ascii="Times New Roman" w:eastAsia="Times New Roman" w:hAnsi="Times New Roman" w:cs="Times New Roman"/>
          <w:b/>
          <w:bCs/>
          <w:kern w:val="32"/>
          <w:sz w:val="24"/>
          <w:szCs w:val="24"/>
          <w:lang w:val="x-none" w:eastAsia="x-none"/>
        </w:rPr>
      </w:pPr>
      <w:r w:rsidRPr="0082594A">
        <w:rPr>
          <w:rFonts w:ascii="Times New Roman" w:eastAsia="Times New Roman" w:hAnsi="Times New Roman" w:cs="Times New Roman"/>
          <w:b/>
          <w:bCs/>
          <w:kern w:val="32"/>
          <w:sz w:val="24"/>
          <w:szCs w:val="24"/>
          <w:lang w:val="x-none" w:eastAsia="x-none"/>
        </w:rPr>
        <w:t>VŠEOBECNÉ ÚDAJE</w:t>
      </w:r>
    </w:p>
    <w:p w:rsidR="0082594A" w:rsidRPr="0082594A" w:rsidRDefault="0082594A" w:rsidP="0082594A">
      <w:pPr>
        <w:keepNext/>
        <w:spacing w:before="60" w:after="24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Identifikačné údaje konsolidujúcej</w:t>
      </w:r>
      <w:r w:rsidRPr="0082594A">
        <w:rPr>
          <w:rFonts w:ascii="Arial" w:eastAsia="Times New Roman" w:hAnsi="Arial" w:cs="Arial"/>
          <w:bCs/>
          <w:i/>
          <w:iCs/>
          <w:sz w:val="16"/>
          <w:szCs w:val="16"/>
          <w:u w:val="single"/>
          <w:lang w:val="x-none" w:eastAsia="x-none"/>
        </w:rPr>
        <w:t xml:space="preserve">  </w:t>
      </w:r>
      <w:r w:rsidRPr="0082594A">
        <w:rPr>
          <w:rFonts w:ascii="Times New Roman" w:eastAsia="Times New Roman" w:hAnsi="Times New Roman" w:cs="Times New Roman"/>
          <w:bCs/>
          <w:i/>
          <w:iCs/>
          <w:sz w:val="24"/>
          <w:szCs w:val="24"/>
          <w:u w:val="single"/>
          <w:lang w:val="x-none" w:eastAsia="x-none"/>
        </w:rPr>
        <w:t>účtovnej jednotky</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Obec Nová Dedinka</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Mierová ulica 176/11</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900 29 Nová Dedinka</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IČO: 00304981</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Obec Nová Dedinka (v ďalšom texte len „Obec“) bola založená v roku 1991 zákonom č.369/1990  Zb. o obecnom zriadení.</w:t>
      </w:r>
    </w:p>
    <w:p w:rsidR="0082594A" w:rsidRPr="0082594A" w:rsidRDefault="0082594A" w:rsidP="0082594A">
      <w:pPr>
        <w:spacing w:after="0" w:line="240" w:lineRule="auto"/>
        <w:ind w:right="-79"/>
        <w:jc w:val="both"/>
        <w:rPr>
          <w:rFonts w:ascii="Times New Roman" w:eastAsia="Times New Roman" w:hAnsi="Times New Roman" w:cs="Times New Roman"/>
          <w:i/>
          <w:sz w:val="24"/>
          <w:szCs w:val="24"/>
          <w:u w:val="single"/>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i/>
          <w:sz w:val="24"/>
          <w:szCs w:val="24"/>
          <w:u w:val="single"/>
          <w:lang w:eastAsia="sk-SK"/>
        </w:rPr>
      </w:pPr>
      <w:r w:rsidRPr="0082594A">
        <w:rPr>
          <w:rFonts w:ascii="Times New Roman" w:eastAsia="Times New Roman" w:hAnsi="Times New Roman" w:cs="Times New Roman"/>
          <w:i/>
          <w:sz w:val="24"/>
          <w:szCs w:val="24"/>
          <w:u w:val="single"/>
          <w:lang w:eastAsia="sk-SK"/>
        </w:rPr>
        <w:t>Identifikačné údaje konsolidovaných účtovných jednotiek</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Obec má v zriaďovateľskej pôsobnosti 1 rozpočtovú organizáciu, a to Základnú školu Nová Dedinka.    </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4820"/>
      </w:tblGrid>
      <w:tr w:rsidR="0082594A" w:rsidRPr="0082594A" w:rsidTr="007C1146">
        <w:tc>
          <w:tcPr>
            <w:tcW w:w="4678" w:type="dxa"/>
            <w:tcBorders>
              <w:bottom w:val="single" w:sz="4" w:space="0" w:color="auto"/>
            </w:tcBorders>
            <w:shd w:val="clear" w:color="auto" w:fill="F2F2F2"/>
            <w:vAlign w:val="center"/>
          </w:tcPr>
          <w:p w:rsidR="0082594A" w:rsidRPr="0082594A" w:rsidRDefault="0082594A" w:rsidP="0082594A">
            <w:pPr>
              <w:spacing w:after="0" w:line="360" w:lineRule="auto"/>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Názov konsolidovanej účtovnej jednotky</w:t>
            </w:r>
          </w:p>
        </w:tc>
        <w:tc>
          <w:tcPr>
            <w:tcW w:w="4820" w:type="dxa"/>
            <w:shd w:val="clear" w:color="auto" w:fill="F2F2F2"/>
          </w:tcPr>
          <w:p w:rsidR="0082594A" w:rsidRPr="0082594A" w:rsidRDefault="0082594A" w:rsidP="0082594A">
            <w:pPr>
              <w:spacing w:after="0" w:line="360" w:lineRule="auto"/>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Sídlo konsolidovanej účtovnej jednotky</w:t>
            </w:r>
          </w:p>
        </w:tc>
      </w:tr>
      <w:tr w:rsidR="0082594A" w:rsidRPr="0082594A" w:rsidTr="007C1146">
        <w:tc>
          <w:tcPr>
            <w:tcW w:w="4678" w:type="dxa"/>
            <w:shd w:val="clear" w:color="auto" w:fill="auto"/>
            <w:vAlign w:val="bottom"/>
          </w:tcPr>
          <w:p w:rsidR="0082594A" w:rsidRPr="0082594A" w:rsidRDefault="0082594A" w:rsidP="0082594A">
            <w:pPr>
              <w:spacing w:after="0" w:line="240" w:lineRule="auto"/>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Základná škola Nová Dedinka </w:t>
            </w:r>
          </w:p>
        </w:tc>
        <w:tc>
          <w:tcPr>
            <w:tcW w:w="4820" w:type="dxa"/>
            <w:vAlign w:val="bottom"/>
          </w:tcPr>
          <w:p w:rsidR="0082594A" w:rsidRPr="0082594A" w:rsidRDefault="0082594A" w:rsidP="0082594A">
            <w:pPr>
              <w:spacing w:after="0" w:line="240" w:lineRule="auto"/>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Hlavná č.45, 900 29 Nová Dedinka</w:t>
            </w:r>
          </w:p>
        </w:tc>
      </w:tr>
    </w:tbl>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Konsolidovaný celok Obce sa v roku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oproti minulým účtovným obdobiam nezmenil.</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Prehľad o účtovných jednotkách konsolidovaného celku je uvedený,  v tabuľkovej časti </w:t>
      </w:r>
      <w:r w:rsidRPr="0082594A">
        <w:rPr>
          <w:rFonts w:ascii="Times New Roman" w:eastAsia="Times New Roman" w:hAnsi="Times New Roman" w:cs="Times New Roman"/>
          <w:i/>
          <w:sz w:val="24"/>
          <w:szCs w:val="24"/>
          <w:lang w:eastAsia="sk-SK"/>
        </w:rPr>
        <w:t>Údaje o konsolidovanom celku</w:t>
      </w:r>
      <w:r w:rsidRPr="0082594A">
        <w:rPr>
          <w:rFonts w:ascii="Times New Roman" w:eastAsia="Times New Roman" w:hAnsi="Times New Roman" w:cs="Times New Roman"/>
          <w:sz w:val="24"/>
          <w:szCs w:val="24"/>
          <w:lang w:eastAsia="sk-SK"/>
        </w:rPr>
        <w:t xml:space="preserve">.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Konsolidovaná účtovná závierka konsolidovaného celku Obce k 31. decembru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je zostavená ako riadna konsolidovaná účtovná závierka podľa zákona č. 431/2002 Z. z. o účtovníctve v znení neskorších predpisov, za účtovné obdobie od 1. januára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do                      31. decembra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Obec je súčasťou súhrnného celku verejnej správy Slovenskej republiky.</w:t>
      </w:r>
    </w:p>
    <w:p w:rsidR="0082594A" w:rsidRPr="0082594A" w:rsidRDefault="0082594A" w:rsidP="0082594A">
      <w:pPr>
        <w:spacing w:after="0" w:line="240" w:lineRule="auto"/>
        <w:rPr>
          <w:rFonts w:ascii="Times New Roman" w:eastAsia="Times New Roman" w:hAnsi="Times New Roman" w:cs="Times New Roman"/>
          <w:sz w:val="24"/>
          <w:szCs w:val="24"/>
          <w:lang w:eastAsia="x-none"/>
        </w:rPr>
      </w:pPr>
    </w:p>
    <w:p w:rsidR="0082594A" w:rsidRPr="0082594A" w:rsidRDefault="0082594A" w:rsidP="0082594A">
      <w:pPr>
        <w:keepNext/>
        <w:spacing w:before="60" w:after="240" w:line="240" w:lineRule="auto"/>
        <w:outlineLvl w:val="1"/>
        <w:rPr>
          <w:rFonts w:ascii="Times New Roman" w:eastAsia="Times New Roman" w:hAnsi="Times New Roman" w:cs="Times New Roman"/>
          <w:bCs/>
          <w:i/>
          <w:iCs/>
          <w:sz w:val="24"/>
          <w:szCs w:val="24"/>
          <w:u w:val="single"/>
          <w:lang w:eastAsia="x-none"/>
        </w:rPr>
      </w:pPr>
      <w:r w:rsidRPr="0082594A">
        <w:rPr>
          <w:rFonts w:ascii="Times New Roman" w:eastAsia="Times New Roman" w:hAnsi="Times New Roman" w:cs="Times New Roman"/>
          <w:bCs/>
          <w:i/>
          <w:iCs/>
          <w:sz w:val="24"/>
          <w:szCs w:val="24"/>
          <w:u w:val="single"/>
          <w:lang w:val="x-none" w:eastAsia="x-none"/>
        </w:rPr>
        <w:t>Informácie o vedúcich predstaviteľoch a o </w:t>
      </w:r>
      <w:r w:rsidRPr="0082594A">
        <w:rPr>
          <w:rFonts w:ascii="Times New Roman" w:eastAsia="Times New Roman" w:hAnsi="Times New Roman" w:cs="Times New Roman"/>
          <w:bCs/>
          <w:i/>
          <w:iCs/>
          <w:sz w:val="24"/>
          <w:szCs w:val="24"/>
          <w:u w:val="single"/>
          <w:lang w:eastAsia="x-none"/>
        </w:rPr>
        <w:t>zamestnancoch konsolidovaného celku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Starosta obce: </w:t>
      </w:r>
      <w:r w:rsidRPr="0082594A">
        <w:rPr>
          <w:rFonts w:ascii="Times New Roman" w:eastAsia="Times New Roman" w:hAnsi="Times New Roman" w:cs="Times New Roman"/>
          <w:sz w:val="24"/>
          <w:szCs w:val="24"/>
          <w:lang w:eastAsia="sk-SK"/>
        </w:rPr>
        <w:tab/>
      </w:r>
      <w:r w:rsidRPr="0082594A">
        <w:rPr>
          <w:rFonts w:ascii="Times New Roman" w:eastAsia="Times New Roman" w:hAnsi="Times New Roman" w:cs="Times New Roman"/>
          <w:sz w:val="24"/>
          <w:szCs w:val="24"/>
          <w:lang w:eastAsia="sk-SK"/>
        </w:rPr>
        <w:tab/>
        <w:t xml:space="preserve">           Viola Takáčová</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Zástupca starostu:</w:t>
      </w:r>
      <w:r w:rsidRPr="0082594A">
        <w:rPr>
          <w:rFonts w:ascii="Times New Roman" w:eastAsia="Times New Roman" w:hAnsi="Times New Roman" w:cs="Times New Roman"/>
          <w:sz w:val="24"/>
          <w:szCs w:val="24"/>
          <w:lang w:eastAsia="sk-SK"/>
        </w:rPr>
        <w:tab/>
      </w:r>
      <w:r w:rsidRPr="0082594A">
        <w:rPr>
          <w:rFonts w:ascii="Times New Roman" w:eastAsia="Times New Roman" w:hAnsi="Times New Roman" w:cs="Times New Roman"/>
          <w:sz w:val="24"/>
          <w:szCs w:val="24"/>
          <w:lang w:eastAsia="sk-SK"/>
        </w:rPr>
        <w:tab/>
        <w:t>Mgr.Tünde Neszméri</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Hlavný kontrolór obce:</w:t>
      </w:r>
      <w:r w:rsidRPr="0082594A">
        <w:rPr>
          <w:rFonts w:ascii="Times New Roman" w:eastAsia="Times New Roman" w:hAnsi="Times New Roman" w:cs="Times New Roman"/>
          <w:sz w:val="24"/>
          <w:szCs w:val="24"/>
          <w:lang w:eastAsia="sk-SK"/>
        </w:rPr>
        <w:tab/>
        <w:t>Ing. Andrea Fülöpová</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Priemerný počet zamestnancov konsolidovaného celku Obce bol </w:t>
      </w:r>
      <w:r w:rsidR="00A00DC8">
        <w:rPr>
          <w:rFonts w:ascii="Times New Roman" w:eastAsia="Times New Roman" w:hAnsi="Times New Roman" w:cs="Times New Roman"/>
          <w:sz w:val="24"/>
          <w:szCs w:val="24"/>
          <w:lang w:eastAsia="sk-SK"/>
        </w:rPr>
        <w:t>59</w:t>
      </w:r>
      <w:r w:rsidRPr="0082594A">
        <w:rPr>
          <w:rFonts w:ascii="Times New Roman" w:eastAsia="Times New Roman" w:hAnsi="Times New Roman" w:cs="Times New Roman"/>
          <w:sz w:val="24"/>
          <w:szCs w:val="24"/>
          <w:lang w:eastAsia="sk-SK"/>
        </w:rPr>
        <w:t>, z toho 3 vedúci zamestnanci (v roku 201</w:t>
      </w:r>
      <w:r w:rsidR="00A00DC8">
        <w:rPr>
          <w:rFonts w:ascii="Times New Roman" w:eastAsia="Times New Roman" w:hAnsi="Times New Roman" w:cs="Times New Roman"/>
          <w:sz w:val="24"/>
          <w:szCs w:val="24"/>
          <w:lang w:eastAsia="sk-SK"/>
        </w:rPr>
        <w:t>5</w:t>
      </w:r>
      <w:r w:rsidRPr="0082594A">
        <w:rPr>
          <w:rFonts w:ascii="Times New Roman" w:eastAsia="Times New Roman" w:hAnsi="Times New Roman" w:cs="Times New Roman"/>
          <w:sz w:val="24"/>
          <w:szCs w:val="24"/>
          <w:lang w:eastAsia="sk-SK"/>
        </w:rPr>
        <w:t xml:space="preserve"> bol priemerný počet zamestnancov 4</w:t>
      </w:r>
      <w:r w:rsidR="00A00DC8">
        <w:rPr>
          <w:rFonts w:ascii="Times New Roman" w:eastAsia="Times New Roman" w:hAnsi="Times New Roman" w:cs="Times New Roman"/>
          <w:sz w:val="24"/>
          <w:szCs w:val="24"/>
          <w:lang w:eastAsia="sk-SK"/>
        </w:rPr>
        <w:t>8</w:t>
      </w:r>
      <w:r w:rsidRPr="0082594A">
        <w:rPr>
          <w:rFonts w:ascii="Times New Roman" w:eastAsia="Times New Roman" w:hAnsi="Times New Roman" w:cs="Times New Roman"/>
          <w:sz w:val="24"/>
          <w:szCs w:val="24"/>
          <w:lang w:eastAsia="sk-SK"/>
        </w:rPr>
        <w:t>, z toho 3 vedúci zamestnanci).</w:t>
      </w:r>
    </w:p>
    <w:p w:rsidR="0082594A" w:rsidRPr="0082594A" w:rsidRDefault="0082594A" w:rsidP="0082594A">
      <w:pPr>
        <w:keepNext/>
        <w:spacing w:before="60" w:after="240" w:line="240" w:lineRule="auto"/>
        <w:outlineLvl w:val="1"/>
        <w:rPr>
          <w:rFonts w:ascii="Times New Roman" w:eastAsia="Times New Roman" w:hAnsi="Times New Roman" w:cs="Times New Roman"/>
          <w:bCs/>
          <w:i/>
          <w:iCs/>
          <w:sz w:val="24"/>
          <w:szCs w:val="24"/>
          <w:u w:val="single"/>
          <w:lang w:eastAsia="x-none"/>
        </w:rPr>
      </w:pPr>
    </w:p>
    <w:p w:rsidR="0082594A" w:rsidRPr="0082594A" w:rsidRDefault="0082594A" w:rsidP="0082594A">
      <w:pPr>
        <w:keepNext/>
        <w:spacing w:before="60" w:after="24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eastAsia="x-none"/>
        </w:rPr>
        <w:t xml:space="preserve">Informácia o splnení predpokladu nepretržitého pokračovania v činnosti účtovnej jednotky </w:t>
      </w:r>
      <w:r w:rsidRPr="0082594A">
        <w:rPr>
          <w:rFonts w:ascii="Times New Roman" w:eastAsia="Times New Roman" w:hAnsi="Times New Roman" w:cs="Times New Roman"/>
          <w:bCs/>
          <w:i/>
          <w:iCs/>
          <w:sz w:val="24"/>
          <w:szCs w:val="24"/>
          <w:u w:val="single"/>
          <w:lang w:val="x-none" w:eastAsia="x-none"/>
        </w:rPr>
        <w:t xml:space="preserve">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Konsolidovaná účtovná závierka Obce bola zostavená za predpokladu nepretržitého pokračovania v činnosti jednotlivých účtovných jednotiek tvoriacich konsolidovaný celok, a to v súlade so zákonom o účtovníctve a nadväzujúcimi právnymi predpismi.</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keepNext/>
        <w:spacing w:before="60" w:after="24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Zmeny účtovných metód a účtovných zásad</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Účtovné metódy a všeobecné účtovné zásady boli v konsolidovanom celku konzistentne aplikované.</w:t>
      </w:r>
    </w:p>
    <w:p w:rsidR="0082594A" w:rsidRPr="0082594A" w:rsidRDefault="0082594A" w:rsidP="0082594A">
      <w:pPr>
        <w:spacing w:before="60" w:after="120" w:line="240" w:lineRule="auto"/>
        <w:ind w:left="465"/>
        <w:jc w:val="both"/>
        <w:rPr>
          <w:rFonts w:ascii="Times New Roman" w:eastAsia="Times New Roman" w:hAnsi="Times New Roman" w:cs="Times New Roman"/>
          <w:sz w:val="24"/>
          <w:szCs w:val="24"/>
          <w:lang w:eastAsia="sk-SK"/>
        </w:rPr>
      </w:pPr>
    </w:p>
    <w:p w:rsidR="0082594A" w:rsidRPr="0082594A" w:rsidRDefault="0082594A" w:rsidP="0082594A">
      <w:pPr>
        <w:keepNext/>
        <w:spacing w:before="60" w:after="240" w:line="240" w:lineRule="auto"/>
        <w:outlineLvl w:val="1"/>
        <w:rPr>
          <w:rFonts w:ascii="Times New Roman" w:eastAsia="Times New Roman" w:hAnsi="Times New Roman" w:cs="Times New Roman"/>
          <w:bCs/>
          <w:i/>
          <w:iCs/>
          <w:sz w:val="24"/>
          <w:szCs w:val="24"/>
          <w:u w:val="single"/>
          <w:lang w:eastAsia="x-none"/>
        </w:rPr>
      </w:pPr>
      <w:r w:rsidRPr="0082594A">
        <w:rPr>
          <w:rFonts w:ascii="Times New Roman" w:eastAsia="Times New Roman" w:hAnsi="Times New Roman" w:cs="Times New Roman"/>
          <w:bCs/>
          <w:i/>
          <w:iCs/>
          <w:sz w:val="24"/>
          <w:szCs w:val="24"/>
          <w:u w:val="single"/>
          <w:lang w:eastAsia="x-none"/>
        </w:rPr>
        <w:t>Spôsob ocenenia jednotlivých zložiek</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Dlhodobý majetok</w:t>
      </w:r>
      <w:r w:rsidRPr="0082594A">
        <w:rPr>
          <w:rFonts w:ascii="Times New Roman" w:eastAsia="Times New Roman" w:hAnsi="Times New Roman" w:cs="Times New Roman"/>
          <w:sz w:val="24"/>
          <w:szCs w:val="24"/>
          <w:lang w:eastAsia="sk-SK"/>
        </w:rPr>
        <w:t xml:space="preserve"> obstaraný kúpou sa oceňuje obstarávacou cenou, ktorá zahrňuje cenu obstarania a náklady súvisiace s obstaraním (clo, prepravu, montáž, poistné a pod.). Súčasťou obstarávacej ceny dlhodobého nehmotného </w:t>
      </w:r>
      <w:r w:rsidRPr="0082594A">
        <w:rPr>
          <w:rFonts w:ascii="Times New Roman" w:eastAsia="Times New Roman" w:hAnsi="Times New Roman" w:cs="Times New Roman"/>
          <w:sz w:val="24"/>
          <w:szCs w:val="24"/>
          <w:lang w:eastAsia="sk-SK"/>
        </w:rPr>
        <w:tab/>
        <w:t xml:space="preserve">a nehmotného majetku nie sú resp. sú  úroky z úverov do doby zaradenia </w:t>
      </w:r>
      <w:r w:rsidRPr="0082594A">
        <w:rPr>
          <w:rFonts w:ascii="Times New Roman" w:eastAsia="Times New Roman" w:hAnsi="Times New Roman" w:cs="Times New Roman"/>
          <w:sz w:val="24"/>
          <w:szCs w:val="24"/>
          <w:lang w:eastAsia="sk-SK"/>
        </w:rPr>
        <w:tab/>
        <w:t>majetku. O zľave z ceny, ktorú poskytol dodávateľ k majetku sa následne zníži obstarávacia cena predmetného majetku.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Dlhodobý majetok vytvorený vlastnou činnosťou sa oceňuje vlastnými nákladmi. Za vlastné náklady sa považujú všetky priame náklady vynaložené na výrobu alebo inú činnosť a všetky nepriame náklady vzťahujúce sa na výrobu </w:t>
      </w:r>
      <w:r w:rsidRPr="0082594A">
        <w:rPr>
          <w:rFonts w:ascii="Times New Roman" w:eastAsia="Times New Roman" w:hAnsi="Times New Roman" w:cs="Times New Roman"/>
          <w:sz w:val="24"/>
          <w:szCs w:val="24"/>
          <w:lang w:eastAsia="sk-SK"/>
        </w:rPr>
        <w:tab/>
        <w:t xml:space="preserve">alebo inú činnosť. Majetok vytvorený vlastnou činnosťou by sa ocenil reprodukčnou obstarávacou cenou v prípade, ak by vlastné náklady boli vyššie </w:t>
      </w:r>
      <w:r w:rsidRPr="0082594A">
        <w:rPr>
          <w:rFonts w:ascii="Times New Roman" w:eastAsia="Times New Roman" w:hAnsi="Times New Roman" w:cs="Times New Roman"/>
          <w:sz w:val="24"/>
          <w:szCs w:val="24"/>
          <w:lang w:eastAsia="sk-SK"/>
        </w:rPr>
        <w:tab/>
        <w:t>ako reprodukčná obstarávacia cena tohto majetku.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tabs>
          <w:tab w:val="num" w:pos="540"/>
        </w:tabs>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Dlhodobý majetok nadobudnutý bezodplatným prevodom pri splynutí, zlúčení, rozdelení alebo pri prevode správy sa oceňuje cenou, v ktorej sa doteraz viedol v účtovníctve. Ak cenu nie je možné zistiť, oceňuje sa reprodukčnou obstarávacou cenou. Dlhodobý nehmotný a hmotný majetok obstaraný iným spôsobom (napr. bezodplatne nadobudnutý majetok, delimitovaný, novo zistený majetok pri inventarizácii) sa oceňuje reprodukčnou obstarávacou cenou. Reprodukčná obstarávacia  cena je  cena, za ktorú  by sa majetok obstaral v čase, keď sa o ňom účtuje.</w:t>
      </w:r>
    </w:p>
    <w:p w:rsidR="0082594A" w:rsidRPr="0082594A" w:rsidRDefault="0082594A" w:rsidP="0082594A">
      <w:pPr>
        <w:tabs>
          <w:tab w:val="num" w:pos="540"/>
        </w:tabs>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Predpokladaná doba používania, metóda odpisovania a odpisová sadzba uplatňovaná pri účtovných odpisoch sú uvedené v nasledujúcej tabuľke:</w:t>
      </w:r>
    </w:p>
    <w:p w:rsidR="0082594A" w:rsidRPr="0082594A" w:rsidRDefault="0082594A" w:rsidP="0082594A">
      <w:pPr>
        <w:spacing w:after="120" w:line="276" w:lineRule="auto"/>
        <w:rPr>
          <w:rFonts w:ascii="Times New Roman" w:eastAsia="Times New Roman" w:hAnsi="Times New Roman" w:cs="Times New Roman"/>
          <w:i/>
          <w:sz w:val="24"/>
          <w:szCs w:val="24"/>
          <w:lang w:val="x-none" w:eastAsia="sk-SK"/>
        </w:rPr>
      </w:pPr>
    </w:p>
    <w:tbl>
      <w:tblPr>
        <w:tblW w:w="9243" w:type="dxa"/>
        <w:tblInd w:w="30" w:type="dxa"/>
        <w:tblLayout w:type="fixed"/>
        <w:tblCellMar>
          <w:left w:w="30" w:type="dxa"/>
          <w:right w:w="30" w:type="dxa"/>
        </w:tblCellMar>
        <w:tblLook w:val="0000" w:firstRow="0" w:lastRow="0" w:firstColumn="0" w:lastColumn="0" w:noHBand="0" w:noVBand="0"/>
      </w:tblPr>
      <w:tblGrid>
        <w:gridCol w:w="3402"/>
        <w:gridCol w:w="426"/>
        <w:gridCol w:w="1559"/>
        <w:gridCol w:w="142"/>
        <w:gridCol w:w="1842"/>
        <w:gridCol w:w="142"/>
        <w:gridCol w:w="1730"/>
      </w:tblGrid>
      <w:tr w:rsidR="0082594A" w:rsidRPr="0082594A" w:rsidTr="007C1146">
        <w:trPr>
          <w:trHeight w:val="250"/>
        </w:trPr>
        <w:tc>
          <w:tcPr>
            <w:tcW w:w="3828" w:type="dxa"/>
            <w:gridSpan w:val="2"/>
            <w:tcBorders>
              <w:top w:val="single" w:sz="4" w:space="0" w:color="auto"/>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p>
        </w:tc>
        <w:tc>
          <w:tcPr>
            <w:tcW w:w="1559"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predpokladaná</w:t>
            </w:r>
          </w:p>
        </w:tc>
        <w:tc>
          <w:tcPr>
            <w:tcW w:w="142"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842"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metóda</w:t>
            </w:r>
          </w:p>
        </w:tc>
        <w:tc>
          <w:tcPr>
            <w:tcW w:w="142"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30" w:type="dxa"/>
            <w:tcBorders>
              <w:top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ročná odpisová</w:t>
            </w:r>
          </w:p>
        </w:tc>
      </w:tr>
      <w:tr w:rsidR="0082594A" w:rsidRPr="0082594A" w:rsidTr="007C1146">
        <w:trPr>
          <w:trHeight w:val="250"/>
        </w:trPr>
        <w:tc>
          <w:tcPr>
            <w:tcW w:w="3402" w:type="dxa"/>
            <w:tcBorders>
              <w:left w:val="single" w:sz="4" w:space="0" w:color="auto"/>
              <w:bottom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p>
        </w:tc>
        <w:tc>
          <w:tcPr>
            <w:tcW w:w="426" w:type="dxa"/>
            <w:tcBorders>
              <w:bottom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p>
        </w:tc>
        <w:tc>
          <w:tcPr>
            <w:tcW w:w="1559"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doba používania</w:t>
            </w:r>
          </w:p>
        </w:tc>
        <w:tc>
          <w:tcPr>
            <w:tcW w:w="1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8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odpisovania</w:t>
            </w:r>
          </w:p>
        </w:tc>
        <w:tc>
          <w:tcPr>
            <w:tcW w:w="1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30" w:type="dxa"/>
            <w:tcBorders>
              <w:bottom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sadzba v %</w:t>
            </w:r>
          </w:p>
        </w:tc>
      </w:tr>
      <w:tr w:rsidR="0082594A" w:rsidRPr="0082594A" w:rsidTr="007C1146">
        <w:trPr>
          <w:trHeight w:val="250"/>
        </w:trPr>
        <w:tc>
          <w:tcPr>
            <w:tcW w:w="3828" w:type="dxa"/>
            <w:gridSpan w:val="2"/>
            <w:tcBorders>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náklady na vývoj</w:t>
            </w:r>
          </w:p>
        </w:tc>
        <w:tc>
          <w:tcPr>
            <w:tcW w:w="1559"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5</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8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30" w:type="dxa"/>
            <w:tcBorders>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20</w:t>
            </w:r>
          </w:p>
        </w:tc>
      </w:tr>
      <w:tr w:rsidR="0082594A" w:rsidRPr="0082594A" w:rsidTr="007C1146">
        <w:trPr>
          <w:trHeight w:val="250"/>
        </w:trPr>
        <w:tc>
          <w:tcPr>
            <w:tcW w:w="3828" w:type="dxa"/>
            <w:gridSpan w:val="2"/>
            <w:tcBorders>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software</w:t>
            </w:r>
          </w:p>
        </w:tc>
        <w:tc>
          <w:tcPr>
            <w:tcW w:w="1559"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4</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8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30" w:type="dxa"/>
            <w:tcBorders>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25</w:t>
            </w:r>
          </w:p>
        </w:tc>
      </w:tr>
      <w:tr w:rsidR="0082594A" w:rsidRPr="0082594A" w:rsidTr="007C1146">
        <w:trPr>
          <w:trHeight w:val="94"/>
        </w:trPr>
        <w:tc>
          <w:tcPr>
            <w:tcW w:w="3828" w:type="dxa"/>
            <w:gridSpan w:val="2"/>
            <w:tcBorders>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oceniteľné práva (licencie)</w:t>
            </w:r>
          </w:p>
        </w:tc>
        <w:tc>
          <w:tcPr>
            <w:tcW w:w="1559"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5</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8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30" w:type="dxa"/>
            <w:tcBorders>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20</w:t>
            </w:r>
          </w:p>
        </w:tc>
      </w:tr>
      <w:tr w:rsidR="0082594A" w:rsidRPr="0082594A" w:rsidTr="007C1146">
        <w:trPr>
          <w:trHeight w:val="250"/>
        </w:trPr>
        <w:tc>
          <w:tcPr>
            <w:tcW w:w="3828" w:type="dxa"/>
            <w:gridSpan w:val="2"/>
            <w:tcBorders>
              <w:left w:val="single" w:sz="4" w:space="0" w:color="auto"/>
              <w:bottom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drobný dlhodobý nehmotný majetok</w:t>
            </w:r>
          </w:p>
        </w:tc>
        <w:tc>
          <w:tcPr>
            <w:tcW w:w="1559"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rôzna napr. 2</w:t>
            </w:r>
          </w:p>
        </w:tc>
        <w:tc>
          <w:tcPr>
            <w:tcW w:w="1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8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30" w:type="dxa"/>
            <w:tcBorders>
              <w:bottom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50</w:t>
            </w:r>
          </w:p>
        </w:tc>
      </w:tr>
    </w:tbl>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120" w:line="240" w:lineRule="auto"/>
        <w:jc w:val="both"/>
        <w:rPr>
          <w:rFonts w:ascii="Times New Roman" w:eastAsia="Times New Roman" w:hAnsi="Times New Roman" w:cs="Times New Roman"/>
          <w:sz w:val="24"/>
          <w:szCs w:val="24"/>
          <w:lang w:val="x-none" w:eastAsia="sk-SK"/>
        </w:rPr>
      </w:pPr>
      <w:r w:rsidRPr="0082594A">
        <w:rPr>
          <w:rFonts w:ascii="Times New Roman" w:eastAsia="Times New Roman" w:hAnsi="Times New Roman" w:cs="Times New Roman"/>
          <w:sz w:val="24"/>
          <w:szCs w:val="24"/>
          <w:lang w:val="x-none" w:eastAsia="sk-SK"/>
        </w:rPr>
        <w:t>Predpokladaná doba používania, metóda odpisovania a odpisová sadzba uplatňovaná pri účtovných odpisoch sú uvedené v nasledujúcej tabuľke:</w:t>
      </w:r>
    </w:p>
    <w:p w:rsidR="0082594A" w:rsidRPr="0082594A" w:rsidRDefault="0082594A" w:rsidP="0082594A">
      <w:pPr>
        <w:spacing w:after="120" w:line="276" w:lineRule="auto"/>
        <w:rPr>
          <w:rFonts w:ascii="Times New Roman" w:eastAsia="Times New Roman" w:hAnsi="Times New Roman" w:cs="Times New Roman"/>
          <w:i/>
          <w:sz w:val="24"/>
          <w:szCs w:val="24"/>
          <w:lang w:val="x-none" w:eastAsia="sk-SK"/>
        </w:rPr>
      </w:pPr>
    </w:p>
    <w:tbl>
      <w:tblPr>
        <w:tblW w:w="9214" w:type="dxa"/>
        <w:tblInd w:w="30" w:type="dxa"/>
        <w:tblLayout w:type="fixed"/>
        <w:tblCellMar>
          <w:left w:w="30" w:type="dxa"/>
          <w:right w:w="30" w:type="dxa"/>
        </w:tblCellMar>
        <w:tblLook w:val="0000" w:firstRow="0" w:lastRow="0" w:firstColumn="0" w:lastColumn="0" w:noHBand="0" w:noVBand="0"/>
      </w:tblPr>
      <w:tblGrid>
        <w:gridCol w:w="3402"/>
        <w:gridCol w:w="426"/>
        <w:gridCol w:w="1701"/>
        <w:gridCol w:w="141"/>
        <w:gridCol w:w="1701"/>
        <w:gridCol w:w="142"/>
        <w:gridCol w:w="1701"/>
      </w:tblGrid>
      <w:tr w:rsidR="0082594A" w:rsidRPr="0082594A" w:rsidTr="007C1146">
        <w:trPr>
          <w:trHeight w:val="250"/>
        </w:trPr>
        <w:tc>
          <w:tcPr>
            <w:tcW w:w="3828" w:type="dxa"/>
            <w:gridSpan w:val="2"/>
            <w:tcBorders>
              <w:top w:val="single" w:sz="4" w:space="0" w:color="auto"/>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p>
        </w:tc>
        <w:tc>
          <w:tcPr>
            <w:tcW w:w="1701"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predpokladaná</w:t>
            </w:r>
          </w:p>
        </w:tc>
        <w:tc>
          <w:tcPr>
            <w:tcW w:w="141"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metóda</w:t>
            </w:r>
          </w:p>
        </w:tc>
        <w:tc>
          <w:tcPr>
            <w:tcW w:w="142"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ročná odpisová</w:t>
            </w:r>
          </w:p>
        </w:tc>
      </w:tr>
      <w:tr w:rsidR="0082594A" w:rsidRPr="0082594A" w:rsidTr="007C1146">
        <w:trPr>
          <w:trHeight w:val="250"/>
        </w:trPr>
        <w:tc>
          <w:tcPr>
            <w:tcW w:w="3402" w:type="dxa"/>
            <w:tcBorders>
              <w:left w:val="single" w:sz="4" w:space="0" w:color="auto"/>
              <w:bottom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p>
        </w:tc>
        <w:tc>
          <w:tcPr>
            <w:tcW w:w="426" w:type="dxa"/>
            <w:tcBorders>
              <w:bottom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p>
        </w:tc>
        <w:tc>
          <w:tcPr>
            <w:tcW w:w="1701"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doba používania</w:t>
            </w:r>
          </w:p>
        </w:tc>
        <w:tc>
          <w:tcPr>
            <w:tcW w:w="141"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odpisovania</w:t>
            </w:r>
          </w:p>
        </w:tc>
        <w:tc>
          <w:tcPr>
            <w:tcW w:w="1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sadzba v %</w:t>
            </w:r>
          </w:p>
        </w:tc>
      </w:tr>
      <w:tr w:rsidR="0082594A" w:rsidRPr="0082594A" w:rsidTr="007C1146">
        <w:trPr>
          <w:trHeight w:val="250"/>
        </w:trPr>
        <w:tc>
          <w:tcPr>
            <w:tcW w:w="3828" w:type="dxa"/>
            <w:gridSpan w:val="2"/>
            <w:tcBorders>
              <w:top w:val="single" w:sz="4" w:space="0" w:color="auto"/>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budovy</w:t>
            </w:r>
          </w:p>
        </w:tc>
        <w:tc>
          <w:tcPr>
            <w:tcW w:w="1701"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40</w:t>
            </w:r>
          </w:p>
        </w:tc>
        <w:tc>
          <w:tcPr>
            <w:tcW w:w="141"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Borders>
              <w:top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top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2,5</w:t>
            </w:r>
          </w:p>
        </w:tc>
      </w:tr>
      <w:tr w:rsidR="0082594A" w:rsidRPr="0082594A" w:rsidTr="007C1146">
        <w:trPr>
          <w:trHeight w:val="250"/>
        </w:trPr>
        <w:tc>
          <w:tcPr>
            <w:tcW w:w="3828" w:type="dxa"/>
            <w:gridSpan w:val="2"/>
            <w:tcBorders>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stroje, prístroje a zariadenia</w:t>
            </w:r>
          </w:p>
        </w:tc>
        <w:tc>
          <w:tcPr>
            <w:tcW w:w="1701"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8 až 20</w:t>
            </w:r>
          </w:p>
        </w:tc>
        <w:tc>
          <w:tcPr>
            <w:tcW w:w="141"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5 až 12,5</w:t>
            </w:r>
          </w:p>
        </w:tc>
      </w:tr>
      <w:tr w:rsidR="0082594A" w:rsidRPr="0082594A" w:rsidTr="007C1146">
        <w:trPr>
          <w:trHeight w:val="250"/>
        </w:trPr>
        <w:tc>
          <w:tcPr>
            <w:tcW w:w="3828" w:type="dxa"/>
            <w:gridSpan w:val="2"/>
            <w:tcBorders>
              <w:left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dopravné prostriedky</w:t>
            </w:r>
          </w:p>
        </w:tc>
        <w:tc>
          <w:tcPr>
            <w:tcW w:w="1701"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4 až 6</w:t>
            </w:r>
          </w:p>
        </w:tc>
        <w:tc>
          <w:tcPr>
            <w:tcW w:w="141"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16 až 25</w:t>
            </w:r>
          </w:p>
        </w:tc>
      </w:tr>
      <w:tr w:rsidR="0082594A" w:rsidRPr="0082594A" w:rsidTr="007C1146">
        <w:trPr>
          <w:trHeight w:val="250"/>
        </w:trPr>
        <w:tc>
          <w:tcPr>
            <w:tcW w:w="3828" w:type="dxa"/>
            <w:gridSpan w:val="2"/>
            <w:tcBorders>
              <w:left w:val="single" w:sz="4" w:space="0" w:color="auto"/>
              <w:bottom w:val="single" w:sz="4" w:space="0" w:color="auto"/>
            </w:tcBorders>
          </w:tcPr>
          <w:p w:rsidR="0082594A" w:rsidRPr="0082594A" w:rsidRDefault="0082594A" w:rsidP="0082594A">
            <w:pPr>
              <w:spacing w:after="0" w:line="276" w:lineRule="auto"/>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drobný dlhodobý hmotný majetok</w:t>
            </w:r>
          </w:p>
        </w:tc>
        <w:tc>
          <w:tcPr>
            <w:tcW w:w="1701"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rôzna napr. 2</w:t>
            </w:r>
          </w:p>
        </w:tc>
        <w:tc>
          <w:tcPr>
            <w:tcW w:w="141"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lineárna</w:t>
            </w:r>
          </w:p>
        </w:tc>
        <w:tc>
          <w:tcPr>
            <w:tcW w:w="142" w:type="dxa"/>
            <w:tcBorders>
              <w:bottom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p>
        </w:tc>
        <w:tc>
          <w:tcPr>
            <w:tcW w:w="1701" w:type="dxa"/>
            <w:tcBorders>
              <w:bottom w:val="single" w:sz="4" w:space="0" w:color="auto"/>
              <w:right w:val="single" w:sz="4" w:space="0" w:color="auto"/>
            </w:tcBorders>
          </w:tcPr>
          <w:p w:rsidR="0082594A" w:rsidRPr="0082594A" w:rsidRDefault="0082594A" w:rsidP="0082594A">
            <w:pPr>
              <w:spacing w:after="0" w:line="276" w:lineRule="auto"/>
              <w:jc w:val="center"/>
              <w:rPr>
                <w:rFonts w:ascii="Times New Roman" w:eastAsia="Times New Roman" w:hAnsi="Times New Roman" w:cs="Times New Roman"/>
                <w:i/>
                <w:color w:val="000000"/>
                <w:sz w:val="24"/>
                <w:szCs w:val="24"/>
              </w:rPr>
            </w:pPr>
            <w:r w:rsidRPr="0082594A">
              <w:rPr>
                <w:rFonts w:ascii="Times New Roman" w:eastAsia="Times New Roman" w:hAnsi="Times New Roman" w:cs="Times New Roman"/>
                <w:i/>
                <w:color w:val="000000"/>
                <w:sz w:val="24"/>
                <w:szCs w:val="24"/>
              </w:rPr>
              <w:t>50</w:t>
            </w:r>
          </w:p>
        </w:tc>
      </w:tr>
    </w:tbl>
    <w:p w:rsidR="0082594A" w:rsidRPr="0082594A" w:rsidRDefault="0082594A" w:rsidP="0082594A">
      <w:pPr>
        <w:keepNext/>
        <w:spacing w:before="60" w:after="240" w:line="240" w:lineRule="auto"/>
        <w:ind w:left="-14"/>
        <w:jc w:val="both"/>
        <w:outlineLvl w:val="0"/>
        <w:rPr>
          <w:rFonts w:ascii="Times New Roman" w:eastAsia="Times New Roman" w:hAnsi="Times New Roman" w:cs="Times New Roman"/>
          <w:b/>
          <w:bCs/>
          <w:kern w:val="32"/>
          <w:sz w:val="24"/>
          <w:szCs w:val="24"/>
          <w:lang w:val="x-none" w:eastAsia="x-none"/>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Cenné papiere a podiely</w:t>
      </w:r>
      <w:r w:rsidRPr="0082594A">
        <w:rPr>
          <w:rFonts w:ascii="Times New Roman" w:eastAsia="Times New Roman" w:hAnsi="Times New Roman" w:cs="Times New Roman"/>
          <w:sz w:val="24"/>
          <w:szCs w:val="24"/>
          <w:lang w:eastAsia="sk-SK"/>
        </w:rPr>
        <w:t xml:space="preserve"> sa oceňujú pri ich nadobudnutí obstarávacími cenami, t.j. vrátane nákladov súvisiacich s obstaraním.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ab/>
      </w:r>
      <w:r w:rsidRPr="0082594A">
        <w:rPr>
          <w:rFonts w:ascii="Times New Roman" w:eastAsia="Times New Roman" w:hAnsi="Times New Roman" w:cs="Times New Roman"/>
          <w:sz w:val="24"/>
          <w:szCs w:val="24"/>
          <w:lang w:eastAsia="sk-SK"/>
        </w:rPr>
        <w:tab/>
      </w:r>
      <w:r w:rsidRPr="0082594A">
        <w:rPr>
          <w:rFonts w:ascii="Times New Roman" w:eastAsia="Times New Roman" w:hAnsi="Times New Roman" w:cs="Times New Roman"/>
          <w:sz w:val="24"/>
          <w:szCs w:val="24"/>
          <w:lang w:eastAsia="sk-SK"/>
        </w:rPr>
        <w:tab/>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 xml:space="preserve">Zásoby </w:t>
      </w:r>
      <w:r w:rsidRPr="0082594A">
        <w:rPr>
          <w:rFonts w:ascii="Times New Roman" w:eastAsia="Times New Roman" w:hAnsi="Times New Roman" w:cs="Times New Roman"/>
          <w:sz w:val="24"/>
          <w:szCs w:val="24"/>
          <w:lang w:eastAsia="sk-SK"/>
        </w:rPr>
        <w:t xml:space="preserve">nakupované sa oceňujú obstarávacou cenou, ktorá zahrňuje cenu </w:t>
      </w:r>
      <w:r w:rsidRPr="0082594A">
        <w:rPr>
          <w:rFonts w:ascii="Times New Roman" w:eastAsia="Times New Roman" w:hAnsi="Times New Roman" w:cs="Times New Roman"/>
          <w:sz w:val="24"/>
          <w:szCs w:val="24"/>
          <w:lang w:eastAsia="sk-SK"/>
        </w:rPr>
        <w:tab/>
        <w:t>obstarania a náklady súvisiace s obstaraním (clo, prepravu, poistné, provízie a pod.) znížené o zľavy z ceny. Úbytok zásob rovnakého druhu sa účtuje v ocenení cenou zistenou váženým aritmetickým priemerom z obstarávacích cien (alebo vlastných nákladov alebo metódou FIFO  - prvá cena na ocenenie prírastku zásob sa použije ako prvá cena na ocenenie úbytku zásob). Vážený aritmetický priemer sa počíta najmenej raz za mesiac.</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Zásoby vytvorené vlastnou činnosťou sa oceňujú vlastnými nákladmi. Vlastné náklady sú priame náklady (priamy materiál, priame mzdy a ostatné priame </w:t>
      </w:r>
      <w:r w:rsidRPr="0082594A">
        <w:rPr>
          <w:rFonts w:ascii="Times New Roman" w:eastAsia="Times New Roman" w:hAnsi="Times New Roman" w:cs="Times New Roman"/>
          <w:sz w:val="24"/>
          <w:szCs w:val="24"/>
          <w:lang w:eastAsia="sk-SK"/>
        </w:rPr>
        <w:tab/>
        <w:t xml:space="preserve">náklady) a časť nepriamych nákladov bezprostredne súvisiacich s vytvorením zásob vlastnou činnosťou (výrobná réžia). Výrobná réžia sa do vlastných nákladov zahrňuje v závislosti od stupňa rozpracovanosti týchto zásob. </w:t>
      </w:r>
    </w:p>
    <w:p w:rsidR="0082594A" w:rsidRPr="0082594A" w:rsidRDefault="0082594A" w:rsidP="0082594A">
      <w:pPr>
        <w:tabs>
          <w:tab w:val="left" w:pos="360"/>
        </w:tabs>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Zásoby nadobudnuté bezodplatne (darovaním a delimitáciou), prebytky zásob, odpad a zvyškové produkty  sa oceňujú reprodukčnou obstarávacou cenou, čo </w:t>
      </w:r>
      <w:r w:rsidRPr="0082594A">
        <w:rPr>
          <w:rFonts w:ascii="Times New Roman" w:eastAsia="Times New Roman" w:hAnsi="Times New Roman" w:cs="Times New Roman"/>
          <w:sz w:val="24"/>
          <w:szCs w:val="24"/>
          <w:lang w:eastAsia="sk-SK"/>
        </w:rPr>
        <w:tab/>
        <w:t>je cena, za ktorú by sa majetok obstaral v čase, keď sa o ňom účtuje.</w:t>
      </w:r>
      <w:r w:rsidRPr="0082594A">
        <w:rPr>
          <w:rFonts w:ascii="Times New Roman" w:eastAsia="Times New Roman" w:hAnsi="Times New Roman" w:cs="Times New Roman"/>
          <w:bCs/>
          <w:sz w:val="24"/>
          <w:szCs w:val="24"/>
          <w:lang w:eastAsia="sk-SK"/>
        </w:rPr>
        <w:t xml:space="preserve">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Novozistené zásoby pri inventarizácii sa oceňujú reprodukčnou obstarávacou cenou.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Pohľadávky</w:t>
      </w:r>
      <w:r w:rsidRPr="0082594A">
        <w:rPr>
          <w:rFonts w:ascii="Times New Roman" w:eastAsia="Times New Roman" w:hAnsi="Times New Roman" w:cs="Times New Roman"/>
          <w:sz w:val="24"/>
          <w:szCs w:val="24"/>
          <w:lang w:eastAsia="sk-SK"/>
        </w:rPr>
        <w:t xml:space="preserve"> sa pri ich vzniku oceňujú menovitou hodnotou. Pohľadávky pri odplatnom nadobudnutí sa oceňujú obstarávacou cenou, t.j. vrátane nákladov </w:t>
      </w:r>
      <w:r w:rsidRPr="0082594A">
        <w:rPr>
          <w:rFonts w:ascii="Times New Roman" w:eastAsia="Times New Roman" w:hAnsi="Times New Roman" w:cs="Times New Roman"/>
          <w:sz w:val="24"/>
          <w:szCs w:val="24"/>
          <w:lang w:eastAsia="sk-SK"/>
        </w:rPr>
        <w:tab/>
        <w:t>súvisiacich s obstaraním. Toto ocenenie sa znižuje o pochybné,  nedobytným pohľadávky a o pohľadávky, pri ktorých existuje riziko nevymožiteľnosti.</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Peňažné prostriedky a ceniny</w:t>
      </w:r>
      <w:r w:rsidRPr="0082594A">
        <w:rPr>
          <w:rFonts w:ascii="Times New Roman" w:eastAsia="Times New Roman" w:hAnsi="Times New Roman" w:cs="Times New Roman"/>
          <w:sz w:val="24"/>
          <w:szCs w:val="24"/>
          <w:lang w:eastAsia="sk-SK"/>
        </w:rPr>
        <w:t xml:space="preserve"> sa oceňujú menovitou hodnotou.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Rezervy</w:t>
      </w:r>
      <w:r w:rsidRPr="0082594A">
        <w:rPr>
          <w:rFonts w:ascii="Times New Roman" w:eastAsia="Times New Roman" w:hAnsi="Times New Roman" w:cs="Times New Roman"/>
          <w:sz w:val="24"/>
          <w:szCs w:val="24"/>
          <w:lang w:eastAsia="sk-SK"/>
        </w:rPr>
        <w:t xml:space="preserve"> sú záväzky s neurčitým časovým vymedzením alebo výškou a oceňujú sa v očakávanej výške záväzku.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u w:val="single"/>
          <w:lang w:eastAsia="sk-SK"/>
        </w:rPr>
        <w:t>Záväzky</w:t>
      </w:r>
      <w:r w:rsidRPr="0082594A">
        <w:rPr>
          <w:rFonts w:ascii="Times New Roman" w:eastAsia="Times New Roman" w:hAnsi="Times New Roman" w:cs="Times New Roman"/>
          <w:sz w:val="24"/>
          <w:szCs w:val="24"/>
          <w:lang w:eastAsia="sk-SK"/>
        </w:rPr>
        <w:t xml:space="preserve"> sa pri ich vzniku oceňujú menovitou hodnotou a pri ich prevzatí sa oceňujú obstarávacou cenou.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lastRenderedPageBreak/>
        <w:t xml:space="preserve">Účty </w:t>
      </w:r>
      <w:r w:rsidRPr="0082594A">
        <w:rPr>
          <w:rFonts w:ascii="Times New Roman" w:eastAsia="Times New Roman" w:hAnsi="Times New Roman" w:cs="Times New Roman"/>
          <w:sz w:val="24"/>
          <w:szCs w:val="24"/>
          <w:u w:val="single"/>
          <w:lang w:eastAsia="sk-SK"/>
        </w:rPr>
        <w:t>časového rozlíšenia aktív a pasív</w:t>
      </w:r>
      <w:r w:rsidRPr="0082594A">
        <w:rPr>
          <w:rFonts w:ascii="Times New Roman" w:eastAsia="Times New Roman" w:hAnsi="Times New Roman" w:cs="Times New Roman"/>
          <w:sz w:val="24"/>
          <w:szCs w:val="24"/>
          <w:lang w:eastAsia="sk-SK"/>
        </w:rPr>
        <w:t xml:space="preserve"> sú vykázané vo výške, ktorá je potrebná </w:t>
      </w:r>
      <w:r w:rsidRPr="0082594A">
        <w:rPr>
          <w:rFonts w:ascii="Times New Roman" w:eastAsia="Times New Roman" w:hAnsi="Times New Roman" w:cs="Times New Roman"/>
          <w:sz w:val="24"/>
          <w:szCs w:val="24"/>
          <w:lang w:eastAsia="sk-SK"/>
        </w:rPr>
        <w:tab/>
        <w:t>na dodržanie zásady vecnej a časovej súvislosti s účtovným obdobím.</w:t>
      </w:r>
    </w:p>
    <w:p w:rsidR="0082594A" w:rsidRPr="0082594A" w:rsidRDefault="0082594A" w:rsidP="0082594A">
      <w:pPr>
        <w:keepNext/>
        <w:spacing w:before="60" w:after="240" w:line="240" w:lineRule="auto"/>
        <w:ind w:left="-14"/>
        <w:jc w:val="both"/>
        <w:outlineLvl w:val="0"/>
        <w:rPr>
          <w:rFonts w:ascii="Times New Roman" w:eastAsia="Times New Roman" w:hAnsi="Times New Roman" w:cs="Times New Roman"/>
          <w:b/>
          <w:bCs/>
          <w:kern w:val="32"/>
          <w:sz w:val="24"/>
          <w:szCs w:val="24"/>
          <w:lang w:val="x-none" w:eastAsia="x-none"/>
        </w:rPr>
      </w:pPr>
    </w:p>
    <w:p w:rsidR="0082594A" w:rsidRPr="0082594A" w:rsidRDefault="0082594A" w:rsidP="0082594A">
      <w:pPr>
        <w:spacing w:after="0" w:line="240" w:lineRule="auto"/>
        <w:rPr>
          <w:rFonts w:ascii="Times New Roman" w:eastAsia="Times New Roman" w:hAnsi="Times New Roman" w:cs="Times New Roman"/>
          <w:b/>
          <w:bCs/>
          <w:kern w:val="32"/>
          <w:sz w:val="24"/>
          <w:szCs w:val="24"/>
          <w:lang w:val="x-none" w:eastAsia="x-none"/>
        </w:rPr>
      </w:pPr>
      <w:r w:rsidRPr="0082594A">
        <w:rPr>
          <w:rFonts w:ascii="Times New Roman" w:eastAsia="Times New Roman" w:hAnsi="Times New Roman" w:cs="Times New Roman"/>
          <w:b/>
          <w:bCs/>
          <w:kern w:val="32"/>
          <w:sz w:val="24"/>
          <w:szCs w:val="24"/>
          <w:lang w:val="x-none" w:eastAsia="x-none"/>
        </w:rPr>
        <w:t>INFORMÁCIE O METÓDACH A POSTUPOCH KONSOLIDÁCIE</w:t>
      </w:r>
    </w:p>
    <w:p w:rsidR="0082594A" w:rsidRPr="0082594A" w:rsidRDefault="0082594A" w:rsidP="0082594A">
      <w:pPr>
        <w:spacing w:after="0" w:line="36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Konsolidovaná účtovná závierka Obce Nová Dedinka</w:t>
      </w:r>
      <w:r w:rsidRPr="0082594A">
        <w:rPr>
          <w:rFonts w:ascii="Times New Roman" w:eastAsia="Times New Roman" w:hAnsi="Times New Roman" w:cs="Times New Roman"/>
          <w:color w:val="0070C0"/>
          <w:sz w:val="24"/>
          <w:szCs w:val="24"/>
          <w:lang w:eastAsia="sk-SK"/>
        </w:rPr>
        <w:t xml:space="preserve"> </w:t>
      </w:r>
      <w:r w:rsidRPr="0082594A">
        <w:rPr>
          <w:rFonts w:ascii="Times New Roman" w:eastAsia="Times New Roman" w:hAnsi="Times New Roman" w:cs="Times New Roman"/>
          <w:sz w:val="24"/>
          <w:szCs w:val="24"/>
          <w:lang w:eastAsia="sk-SK"/>
        </w:rPr>
        <w:t>bola zostavená v súlade so zákonom                  č. 431/2002 Z. z. o účtovníctve v znení neskorších predpisov a v súlade s Opatrením Ministerstva financií Slovenskej republiky  zo dňa 17. decembra 2008 č. MF/27526/2008 – 31, ktorým sa ustanovujú podrobnosti o metódach a postupoch konsolidácie vo verejnej správe a podrobnosti o usporiadaní a označovaní položiek konsolidovanej účtovnej závierky vo verejnej správe v znení neskorších predpisov.</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V rámci konsolidácie konsolidovaného celku Obce boli eliminované vzájomné pohľadávky, záväzky, náklady a výnosy, bola vykonaná konsolidácia kapitálu. </w:t>
      </w:r>
    </w:p>
    <w:p w:rsidR="0082594A" w:rsidRPr="0082594A" w:rsidRDefault="0082594A" w:rsidP="0082594A">
      <w:pPr>
        <w:spacing w:after="0" w:line="240" w:lineRule="auto"/>
        <w:jc w:val="both"/>
        <w:rPr>
          <w:rFonts w:ascii="Times New Roman" w:eastAsia="Times New Roman" w:hAnsi="Times New Roman" w:cs="Times New Roman"/>
          <w:i/>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i/>
          <w:sz w:val="24"/>
          <w:szCs w:val="24"/>
          <w:lang w:eastAsia="sk-SK"/>
        </w:rPr>
      </w:pPr>
      <w:r w:rsidRPr="0082594A">
        <w:rPr>
          <w:rFonts w:ascii="Times New Roman" w:eastAsia="Times New Roman" w:hAnsi="Times New Roman" w:cs="Times New Roman"/>
          <w:i/>
          <w:sz w:val="24"/>
          <w:szCs w:val="24"/>
          <w:lang w:eastAsia="sk-SK"/>
        </w:rPr>
        <w:t>Zahrnutie konsolidovaných účtovných jednotiek do konsolidovanej účtovnej závierky</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6"/>
        <w:gridCol w:w="1516"/>
        <w:gridCol w:w="1534"/>
        <w:gridCol w:w="1528"/>
      </w:tblGrid>
      <w:tr w:rsidR="0082594A" w:rsidRPr="0082594A" w:rsidTr="007C1146">
        <w:tc>
          <w:tcPr>
            <w:tcW w:w="4633" w:type="dxa"/>
            <w:shd w:val="clear" w:color="auto" w:fill="F2F2F2"/>
          </w:tcPr>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Názov resp. obchodné meno </w:t>
            </w:r>
          </w:p>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konsolidovanej účtovnej jednotky</w:t>
            </w:r>
          </w:p>
        </w:tc>
        <w:tc>
          <w:tcPr>
            <w:tcW w:w="1522" w:type="dxa"/>
            <w:shd w:val="clear" w:color="auto" w:fill="F2F2F2"/>
          </w:tcPr>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Metóda </w:t>
            </w:r>
          </w:p>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úplnej konsolidácie</w:t>
            </w:r>
          </w:p>
        </w:tc>
        <w:tc>
          <w:tcPr>
            <w:tcW w:w="1541" w:type="dxa"/>
            <w:shd w:val="clear" w:color="auto" w:fill="F2F2F2"/>
          </w:tcPr>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Metóda </w:t>
            </w:r>
          </w:p>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podielovej konsolidácie</w:t>
            </w:r>
          </w:p>
        </w:tc>
        <w:tc>
          <w:tcPr>
            <w:tcW w:w="1554" w:type="dxa"/>
            <w:shd w:val="clear" w:color="auto" w:fill="F2F2F2"/>
          </w:tcPr>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Metóda </w:t>
            </w:r>
          </w:p>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vlastného imania</w:t>
            </w:r>
          </w:p>
        </w:tc>
      </w:tr>
      <w:tr w:rsidR="0082594A" w:rsidRPr="0082594A" w:rsidTr="007C1146">
        <w:tc>
          <w:tcPr>
            <w:tcW w:w="4633" w:type="dxa"/>
            <w:vAlign w:val="bottom"/>
          </w:tcPr>
          <w:p w:rsidR="0082594A" w:rsidRPr="0082594A" w:rsidRDefault="0082594A" w:rsidP="0082594A">
            <w:pPr>
              <w:spacing w:after="0" w:line="240" w:lineRule="auto"/>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Obec Nová Dedinka</w:t>
            </w:r>
          </w:p>
        </w:tc>
        <w:tc>
          <w:tcPr>
            <w:tcW w:w="1522" w:type="dxa"/>
          </w:tcPr>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Áno</w:t>
            </w:r>
          </w:p>
        </w:tc>
        <w:tc>
          <w:tcPr>
            <w:tcW w:w="1541" w:type="dxa"/>
          </w:tcPr>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tc>
        <w:tc>
          <w:tcPr>
            <w:tcW w:w="1554" w:type="dxa"/>
          </w:tcPr>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tc>
      </w:tr>
      <w:tr w:rsidR="0082594A" w:rsidRPr="0082594A" w:rsidTr="007C1146">
        <w:tc>
          <w:tcPr>
            <w:tcW w:w="4633" w:type="dxa"/>
            <w:vAlign w:val="bottom"/>
          </w:tcPr>
          <w:p w:rsidR="0082594A" w:rsidRPr="0082594A" w:rsidRDefault="0082594A" w:rsidP="0082594A">
            <w:pPr>
              <w:spacing w:after="0" w:line="240" w:lineRule="auto"/>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Základná škola Nová Dedinka</w:t>
            </w:r>
          </w:p>
        </w:tc>
        <w:tc>
          <w:tcPr>
            <w:tcW w:w="1522" w:type="dxa"/>
          </w:tcPr>
          <w:p w:rsidR="0082594A" w:rsidRPr="0082594A" w:rsidRDefault="0082594A" w:rsidP="0082594A">
            <w:pPr>
              <w:spacing w:after="0" w:line="240" w:lineRule="auto"/>
              <w:jc w:val="center"/>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Áno</w:t>
            </w:r>
          </w:p>
        </w:tc>
        <w:tc>
          <w:tcPr>
            <w:tcW w:w="1541" w:type="dxa"/>
          </w:tcPr>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tc>
        <w:tc>
          <w:tcPr>
            <w:tcW w:w="1554" w:type="dxa"/>
          </w:tcPr>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tc>
      </w:tr>
    </w:tbl>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Pri dcérskych účtovných jednotkách bola použitá metóda úplnej konsolidácie.</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 </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V roku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rovnako ako v predchádzajúcich účtovných obdobiach,  sa medzi účtovnými jednotkami konsolidovaného celku Obce neuskutočnil nákup, resp. predaj majetku. Preto nebolo potrebné vykonať konsolidáciu medzivýsledku.</w:t>
      </w:r>
    </w:p>
    <w:p w:rsidR="0082594A" w:rsidRPr="0082594A" w:rsidRDefault="0082594A" w:rsidP="0082594A">
      <w:pPr>
        <w:spacing w:after="0" w:line="240" w:lineRule="auto"/>
        <w:rPr>
          <w:rFonts w:ascii="Times New Roman" w:eastAsia="Times New Roman" w:hAnsi="Times New Roman" w:cs="Times New Roman"/>
          <w:sz w:val="24"/>
          <w:szCs w:val="24"/>
          <w:lang w:eastAsia="x-none"/>
        </w:rPr>
      </w:pPr>
    </w:p>
    <w:p w:rsidR="0082594A" w:rsidRPr="0082594A" w:rsidRDefault="0082594A" w:rsidP="0082594A">
      <w:pPr>
        <w:keepNext/>
        <w:spacing w:before="60" w:after="240" w:line="240" w:lineRule="auto"/>
        <w:ind w:left="-14"/>
        <w:jc w:val="both"/>
        <w:outlineLvl w:val="0"/>
        <w:rPr>
          <w:rFonts w:ascii="Times New Roman" w:eastAsia="Times New Roman" w:hAnsi="Times New Roman" w:cs="Times New Roman"/>
          <w:b/>
          <w:bCs/>
          <w:kern w:val="32"/>
          <w:sz w:val="24"/>
          <w:szCs w:val="24"/>
          <w:lang w:eastAsia="x-none"/>
        </w:rPr>
      </w:pPr>
      <w:r w:rsidRPr="0082594A">
        <w:rPr>
          <w:rFonts w:ascii="Times New Roman" w:eastAsia="Times New Roman" w:hAnsi="Times New Roman" w:cs="Times New Roman"/>
          <w:b/>
          <w:bCs/>
          <w:kern w:val="32"/>
          <w:sz w:val="24"/>
          <w:szCs w:val="24"/>
          <w:lang w:val="x-none" w:eastAsia="x-none"/>
        </w:rPr>
        <w:t xml:space="preserve">INFORMÁCIE O ÚDAJOCH NA STRANE AKTÍV </w:t>
      </w:r>
      <w:r w:rsidRPr="0082594A">
        <w:rPr>
          <w:rFonts w:ascii="Times New Roman" w:eastAsia="Times New Roman" w:hAnsi="Times New Roman" w:cs="Times New Roman"/>
          <w:b/>
          <w:bCs/>
          <w:kern w:val="32"/>
          <w:sz w:val="24"/>
          <w:szCs w:val="24"/>
          <w:lang w:eastAsia="x-none"/>
        </w:rPr>
        <w:t xml:space="preserve"> A  PASÍV</w:t>
      </w: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Dlhodobý nehmotný majetok a dlhodobý hmotný majetok</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Prehľad pohybu dlhodobého nehmotného a dlhodobého hmotného majetku od 1. januára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do 31. decembra 201</w:t>
      </w:r>
      <w:r w:rsidR="00A00DC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je uvedený v tabuľkovej časti </w:t>
      </w:r>
      <w:r w:rsidRPr="0082594A">
        <w:rPr>
          <w:rFonts w:ascii="Times New Roman" w:eastAsia="Times New Roman" w:hAnsi="Times New Roman" w:cs="Times New Roman"/>
          <w:i/>
          <w:sz w:val="24"/>
          <w:szCs w:val="24"/>
          <w:lang w:eastAsia="sk-SK"/>
        </w:rPr>
        <w:t>Prehľad o pohybe dlhodobého majetku.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Dlhodobý nehmotný a hmotný majetok je poistený pre prípad škôd spôsobených krádežou a živelnou pohromou až do výšky 1 868 923,68  eur.</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Obec má </w:t>
      </w:r>
      <w:r w:rsidR="00A00DC8">
        <w:rPr>
          <w:rFonts w:ascii="Times New Roman" w:eastAsia="Times New Roman" w:hAnsi="Times New Roman" w:cs="Times New Roman"/>
          <w:sz w:val="24"/>
          <w:szCs w:val="24"/>
          <w:lang w:eastAsia="sk-SK"/>
        </w:rPr>
        <w:t>2</w:t>
      </w:r>
      <w:r w:rsidRPr="0082594A">
        <w:rPr>
          <w:rFonts w:ascii="Times New Roman" w:eastAsia="Times New Roman" w:hAnsi="Times New Roman" w:cs="Times New Roman"/>
          <w:sz w:val="24"/>
          <w:szCs w:val="24"/>
          <w:lang w:eastAsia="sk-SK"/>
        </w:rPr>
        <w:t xml:space="preserve"> osobné aut</w:t>
      </w:r>
      <w:r w:rsidR="004E41D8">
        <w:rPr>
          <w:rFonts w:ascii="Times New Roman" w:eastAsia="Times New Roman" w:hAnsi="Times New Roman" w:cs="Times New Roman"/>
          <w:sz w:val="24"/>
          <w:szCs w:val="24"/>
          <w:lang w:eastAsia="sk-SK"/>
        </w:rPr>
        <w:t>á</w:t>
      </w:r>
      <w:r w:rsidRPr="0082594A">
        <w:rPr>
          <w:rFonts w:ascii="Times New Roman" w:eastAsia="Times New Roman" w:hAnsi="Times New Roman" w:cs="Times New Roman"/>
          <w:sz w:val="24"/>
          <w:szCs w:val="24"/>
          <w:lang w:eastAsia="sk-SK"/>
        </w:rPr>
        <w:t xml:space="preserve"> obstarávacej cene </w:t>
      </w:r>
      <w:r w:rsidR="008572B9">
        <w:rPr>
          <w:rFonts w:ascii="Times New Roman" w:eastAsia="Times New Roman" w:hAnsi="Times New Roman" w:cs="Times New Roman"/>
          <w:sz w:val="24"/>
          <w:szCs w:val="24"/>
          <w:lang w:eastAsia="sk-SK"/>
        </w:rPr>
        <w:t xml:space="preserve">37 922,49 </w:t>
      </w:r>
      <w:r w:rsidRPr="0082594A">
        <w:rPr>
          <w:rFonts w:ascii="Times New Roman" w:eastAsia="Times New Roman" w:hAnsi="Times New Roman" w:cs="Times New Roman"/>
          <w:sz w:val="24"/>
          <w:szCs w:val="24"/>
          <w:lang w:eastAsia="sk-SK"/>
        </w:rPr>
        <w:t>eur (zostatková cena k 31.12.201</w:t>
      </w:r>
      <w:r w:rsidR="008572B9">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je </w:t>
      </w:r>
      <w:r w:rsidR="008572B9">
        <w:rPr>
          <w:rFonts w:ascii="Times New Roman" w:eastAsia="Times New Roman" w:hAnsi="Times New Roman" w:cs="Times New Roman"/>
          <w:sz w:val="24"/>
          <w:szCs w:val="24"/>
          <w:lang w:eastAsia="sk-SK"/>
        </w:rPr>
        <w:t xml:space="preserve">24 966,34 </w:t>
      </w:r>
      <w:r w:rsidRPr="0082594A">
        <w:rPr>
          <w:rFonts w:ascii="Times New Roman" w:eastAsia="Times New Roman" w:hAnsi="Times New Roman" w:cs="Times New Roman"/>
          <w:sz w:val="24"/>
          <w:szCs w:val="24"/>
          <w:lang w:eastAsia="sk-SK"/>
        </w:rPr>
        <w:t>eur), ktoré vykazuje ako svoj majetok.</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lastRenderedPageBreak/>
        <w:t>Dlhodobý finančný majetok</w:t>
      </w:r>
    </w:p>
    <w:p w:rsidR="0082594A" w:rsidRPr="0082594A" w:rsidRDefault="0082594A" w:rsidP="0082594A">
      <w:pPr>
        <w:spacing w:after="0" w:line="240" w:lineRule="auto"/>
        <w:ind w:right="-79"/>
        <w:jc w:val="both"/>
        <w:rPr>
          <w:rFonts w:ascii="Times New Roman" w:eastAsia="Times New Roman" w:hAnsi="Times New Roman" w:cs="Times New Roman"/>
          <w:i/>
          <w:sz w:val="24"/>
          <w:szCs w:val="24"/>
          <w:lang w:eastAsia="sk-SK"/>
        </w:rPr>
      </w:pPr>
      <w:r w:rsidRPr="0082594A">
        <w:rPr>
          <w:rFonts w:ascii="Times New Roman" w:eastAsia="Times New Roman" w:hAnsi="Times New Roman" w:cs="Times New Roman"/>
          <w:sz w:val="24"/>
          <w:szCs w:val="24"/>
          <w:lang w:eastAsia="sk-SK"/>
        </w:rPr>
        <w:t>Prehľad dlhodobého finančného majetku účtovnej jednotky od 1. januára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do                     31. decembra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je uvedený je uvedený v tabuľkovej časti </w:t>
      </w:r>
      <w:r w:rsidRPr="0082594A">
        <w:rPr>
          <w:rFonts w:ascii="Times New Roman" w:eastAsia="Times New Roman" w:hAnsi="Times New Roman" w:cs="Times New Roman"/>
          <w:i/>
          <w:sz w:val="24"/>
          <w:szCs w:val="24"/>
          <w:lang w:eastAsia="sk-SK"/>
        </w:rPr>
        <w:t>Prehľad o pohybe dlhodobého majetku.</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Obec vlastní podiely v Bratislavskej vodárenskej spoločnosti, a. s. v mene euro. Účtovná hodnota k 31.12.201</w:t>
      </w:r>
      <w:r w:rsidR="004E41D8">
        <w:rPr>
          <w:rFonts w:ascii="Times New Roman" w:eastAsia="Times New Roman" w:hAnsi="Times New Roman" w:cs="Times New Roman"/>
          <w:sz w:val="24"/>
          <w:szCs w:val="24"/>
          <w:lang w:eastAsia="sk-SK"/>
        </w:rPr>
        <w:t>5</w:t>
      </w:r>
      <w:r w:rsidRPr="0082594A">
        <w:rPr>
          <w:rFonts w:ascii="Times New Roman" w:eastAsia="Times New Roman" w:hAnsi="Times New Roman" w:cs="Times New Roman"/>
          <w:sz w:val="24"/>
          <w:szCs w:val="24"/>
          <w:lang w:eastAsia="sk-SK"/>
        </w:rPr>
        <w:t xml:space="preserve"> predstavovala sumu 613 490,01 eur a v roku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to bolo 613 490,01 eur.  </w:t>
      </w:r>
    </w:p>
    <w:p w:rsidR="0082594A" w:rsidRPr="0082594A" w:rsidRDefault="0082594A" w:rsidP="0082594A">
      <w:pPr>
        <w:spacing w:after="0" w:line="240" w:lineRule="auto"/>
        <w:rPr>
          <w:rFonts w:ascii="Times New Roman" w:eastAsia="Times New Roman" w:hAnsi="Times New Roman" w:cs="Times New Roman"/>
          <w:lang w:eastAsia="sk-SK"/>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Pohľadávky</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Najvýznamnejšou položkou pohľadávok sú pohľadávky z daňových a nedaňových príjmov obce.</w:t>
      </w: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eastAsia="x-none"/>
        </w:rPr>
      </w:pPr>
      <w:r w:rsidRPr="0082594A">
        <w:rPr>
          <w:rFonts w:ascii="Times New Roman" w:eastAsia="Times New Roman" w:hAnsi="Times New Roman" w:cs="Times New Roman"/>
          <w:bCs/>
          <w:i/>
          <w:iCs/>
          <w:sz w:val="24"/>
          <w:szCs w:val="24"/>
          <w:u w:val="single"/>
          <w:lang w:eastAsia="x-none"/>
        </w:rPr>
        <w:t xml:space="preserve"> </w:t>
      </w: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Finančný majetok</w:t>
      </w:r>
    </w:p>
    <w:p w:rsidR="0082594A" w:rsidRPr="0082594A" w:rsidRDefault="0082594A" w:rsidP="0082594A">
      <w:pPr>
        <w:spacing w:after="0" w:line="240" w:lineRule="auto"/>
        <w:jc w:val="both"/>
        <w:rPr>
          <w:rFonts w:ascii="Times New Roman" w:eastAsia="Times New Roman" w:hAnsi="Times New Roman" w:cs="Times New Roman"/>
          <w:sz w:val="24"/>
          <w:szCs w:val="24"/>
          <w:lang w:val="x-none" w:eastAsia="sk-SK"/>
        </w:rPr>
      </w:pPr>
      <w:r w:rsidRPr="0082594A">
        <w:rPr>
          <w:rFonts w:ascii="Times New Roman" w:eastAsia="Times New Roman" w:hAnsi="Times New Roman" w:cs="Times New Roman"/>
          <w:sz w:val="24"/>
          <w:szCs w:val="24"/>
          <w:lang w:val="x-none" w:eastAsia="sk-SK"/>
        </w:rPr>
        <w:t>Ako finančný majetok sú vykázané pe</w:t>
      </w:r>
      <w:r w:rsidRPr="0082594A">
        <w:rPr>
          <w:rFonts w:ascii="Times New Roman" w:eastAsia="Times New Roman" w:hAnsi="Times New Roman" w:cs="Times New Roman"/>
          <w:sz w:val="24"/>
          <w:szCs w:val="24"/>
          <w:lang w:eastAsia="sk-SK"/>
        </w:rPr>
        <w:t>ňažné prostriedky</w:t>
      </w:r>
      <w:r w:rsidRPr="0082594A">
        <w:rPr>
          <w:rFonts w:ascii="Times New Roman" w:eastAsia="Times New Roman" w:hAnsi="Times New Roman" w:cs="Times New Roman"/>
          <w:sz w:val="24"/>
          <w:szCs w:val="24"/>
          <w:lang w:val="x-none" w:eastAsia="sk-SK"/>
        </w:rPr>
        <w:t xml:space="preserve"> v pokladnici</w:t>
      </w:r>
      <w:r w:rsidRPr="0082594A">
        <w:rPr>
          <w:rFonts w:ascii="Times New Roman" w:eastAsia="Times New Roman" w:hAnsi="Times New Roman" w:cs="Times New Roman"/>
          <w:sz w:val="24"/>
          <w:szCs w:val="24"/>
          <w:lang w:eastAsia="sk-SK"/>
        </w:rPr>
        <w:t xml:space="preserve"> a </w:t>
      </w:r>
      <w:r w:rsidRPr="0082594A">
        <w:rPr>
          <w:rFonts w:ascii="Times New Roman" w:eastAsia="Times New Roman" w:hAnsi="Times New Roman" w:cs="Times New Roman"/>
          <w:sz w:val="24"/>
          <w:szCs w:val="24"/>
          <w:lang w:val="x-none" w:eastAsia="sk-SK"/>
        </w:rPr>
        <w:t>účty v bankách</w:t>
      </w:r>
      <w:r w:rsidRPr="0082594A">
        <w:rPr>
          <w:rFonts w:ascii="Times New Roman" w:eastAsia="Times New Roman" w:hAnsi="Times New Roman" w:cs="Times New Roman"/>
          <w:sz w:val="24"/>
          <w:szCs w:val="24"/>
          <w:lang w:eastAsia="sk-SK"/>
        </w:rPr>
        <w:t xml:space="preserve">. </w:t>
      </w:r>
      <w:r w:rsidRPr="0082594A">
        <w:rPr>
          <w:rFonts w:ascii="Times New Roman" w:eastAsia="Times New Roman" w:hAnsi="Times New Roman" w:cs="Times New Roman"/>
          <w:sz w:val="24"/>
          <w:szCs w:val="24"/>
          <w:lang w:val="x-none" w:eastAsia="sk-SK"/>
        </w:rPr>
        <w:t>Účtami v bankách môže účtovná jednotka voľne disponovať.</w:t>
      </w: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highlight w:val="yellow"/>
          <w:u w:val="single"/>
          <w:lang w:val="x-none" w:eastAsia="x-none"/>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Poskytnuté návratné finančné výpomoci</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val="x-none" w:eastAsia="sk-SK"/>
        </w:rPr>
        <w:t xml:space="preserve">Obec </w:t>
      </w:r>
      <w:r w:rsidRPr="0082594A">
        <w:rPr>
          <w:rFonts w:ascii="Times New Roman" w:eastAsia="Times New Roman" w:hAnsi="Times New Roman" w:cs="Times New Roman"/>
          <w:sz w:val="24"/>
          <w:szCs w:val="24"/>
          <w:lang w:eastAsia="sk-SK"/>
        </w:rPr>
        <w:t>v roku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neposk</w:t>
      </w:r>
      <w:r w:rsidRPr="0082594A">
        <w:rPr>
          <w:rFonts w:ascii="Times New Roman" w:eastAsia="Times New Roman" w:hAnsi="Times New Roman" w:cs="Times New Roman"/>
          <w:sz w:val="24"/>
          <w:szCs w:val="24"/>
          <w:lang w:val="x-none" w:eastAsia="sk-SK"/>
        </w:rPr>
        <w:t>ytla  návratnú finančnú výpomoc</w:t>
      </w:r>
      <w:r w:rsidRPr="0082594A">
        <w:rPr>
          <w:rFonts w:ascii="Times New Roman" w:eastAsia="Times New Roman" w:hAnsi="Times New Roman" w:cs="Times New Roman"/>
          <w:sz w:val="24"/>
          <w:szCs w:val="24"/>
          <w:lang w:eastAsia="sk-SK"/>
        </w:rPr>
        <w:t>.</w:t>
      </w:r>
      <w:r w:rsidRPr="0082594A">
        <w:rPr>
          <w:rFonts w:ascii="Times New Roman" w:eastAsia="Times New Roman" w:hAnsi="Times New Roman" w:cs="Times New Roman"/>
          <w:sz w:val="24"/>
          <w:szCs w:val="24"/>
          <w:lang w:val="x-none" w:eastAsia="sk-SK"/>
        </w:rPr>
        <w:t xml:space="preserve"> </w:t>
      </w:r>
      <w:r w:rsidRPr="0082594A">
        <w:rPr>
          <w:rFonts w:ascii="Times New Roman" w:eastAsia="Times New Roman" w:hAnsi="Times New Roman" w:cs="Times New Roman"/>
          <w:sz w:val="24"/>
          <w:szCs w:val="24"/>
          <w:lang w:eastAsia="sk-SK"/>
        </w:rPr>
        <w:t xml:space="preserve"> </w:t>
      </w:r>
    </w:p>
    <w:p w:rsidR="0082594A" w:rsidRPr="0082594A" w:rsidRDefault="0082594A" w:rsidP="0082594A">
      <w:pPr>
        <w:keepNext/>
        <w:spacing w:after="0" w:line="240" w:lineRule="auto"/>
        <w:ind w:left="-14"/>
        <w:jc w:val="both"/>
        <w:outlineLvl w:val="0"/>
        <w:rPr>
          <w:rFonts w:ascii="Times New Roman" w:eastAsia="Times New Roman" w:hAnsi="Times New Roman" w:cs="Times New Roman"/>
          <w:b/>
          <w:bCs/>
          <w:kern w:val="32"/>
          <w:sz w:val="24"/>
          <w:szCs w:val="24"/>
          <w:lang w:eastAsia="x-none"/>
        </w:rPr>
      </w:pPr>
    </w:p>
    <w:p w:rsidR="0082594A" w:rsidRPr="0082594A" w:rsidRDefault="0082594A" w:rsidP="0082594A">
      <w:pPr>
        <w:keepNext/>
        <w:spacing w:after="0" w:line="240" w:lineRule="auto"/>
        <w:ind w:left="-14"/>
        <w:jc w:val="both"/>
        <w:outlineLvl w:val="0"/>
        <w:rPr>
          <w:rFonts w:ascii="Times New Roman" w:eastAsia="Times New Roman" w:hAnsi="Times New Roman" w:cs="Times New Roman"/>
          <w:b/>
          <w:bCs/>
          <w:kern w:val="32"/>
          <w:sz w:val="24"/>
          <w:szCs w:val="24"/>
          <w:lang w:val="x-none" w:eastAsia="x-none"/>
        </w:rPr>
      </w:pPr>
      <w:r w:rsidRPr="0082594A">
        <w:rPr>
          <w:rFonts w:ascii="Times New Roman" w:eastAsia="Times New Roman" w:hAnsi="Times New Roman" w:cs="Times New Roman"/>
          <w:b/>
          <w:bCs/>
          <w:kern w:val="32"/>
          <w:sz w:val="24"/>
          <w:szCs w:val="24"/>
          <w:lang w:val="x-none" w:eastAsia="x-none"/>
        </w:rPr>
        <w:t>INFORMÁCIE O ÚDAJOCH NA STRANE PASÍV SÚVAHY</w:t>
      </w: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eastAsia="x-none"/>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Vlastné imanie</w:t>
      </w:r>
    </w:p>
    <w:p w:rsidR="0082594A" w:rsidRPr="0082594A" w:rsidRDefault="0082594A" w:rsidP="0082594A">
      <w:pPr>
        <w:spacing w:after="0" w:line="240" w:lineRule="auto"/>
        <w:ind w:right="-79"/>
        <w:jc w:val="both"/>
        <w:rPr>
          <w:rFonts w:ascii="Times New Roman" w:eastAsia="Times New Roman" w:hAnsi="Times New Roman" w:cs="Times New Roman"/>
          <w:i/>
          <w:sz w:val="24"/>
          <w:szCs w:val="24"/>
          <w:lang w:eastAsia="sk-SK"/>
        </w:rPr>
      </w:pPr>
      <w:r w:rsidRPr="0082594A">
        <w:rPr>
          <w:rFonts w:ascii="Times New Roman" w:eastAsia="Times New Roman" w:hAnsi="Times New Roman" w:cs="Times New Roman"/>
          <w:sz w:val="24"/>
          <w:szCs w:val="24"/>
          <w:lang w:eastAsia="sk-SK"/>
        </w:rPr>
        <w:t>Prehľad vlastného imania konsolidovaného celku od 1. januára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do 31. decembra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je uvedený v tabuľkovej časti.</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V roku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neboli realizované významné pohyby na účtoch vlastného imania týkajúce sa rezerv. V roku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bola v účtovnej závierke zaúčtovaná rezerva  na odchodné podľa   platnej účtovnej legislatívy. Rezerva je vykázaná ako ostatné krátkodobé rezervy v hodnote  2 000 eur.    </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Rezervy</w:t>
      </w:r>
    </w:p>
    <w:p w:rsidR="0082594A" w:rsidRPr="0082594A" w:rsidRDefault="0082594A" w:rsidP="0082594A">
      <w:pPr>
        <w:spacing w:after="0" w:line="240" w:lineRule="auto"/>
        <w:ind w:right="-79"/>
        <w:jc w:val="both"/>
        <w:rPr>
          <w:rFonts w:ascii="Times New Roman" w:eastAsia="Times New Roman" w:hAnsi="Times New Roman" w:cs="Times New Roman"/>
          <w:i/>
          <w:sz w:val="24"/>
          <w:szCs w:val="24"/>
          <w:lang w:eastAsia="sk-SK"/>
        </w:rPr>
      </w:pPr>
      <w:r w:rsidRPr="0082594A">
        <w:rPr>
          <w:rFonts w:ascii="Times New Roman" w:eastAsia="Times New Roman" w:hAnsi="Times New Roman" w:cs="Times New Roman"/>
          <w:sz w:val="24"/>
          <w:szCs w:val="24"/>
          <w:lang w:eastAsia="sk-SK"/>
        </w:rPr>
        <w:t>Prehľad rezerv konsolidovaného celku od 1. januára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do  31. decembra 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je uvedený je uvedený v tabuľkovej časti.</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eastAsia="x-none"/>
        </w:rPr>
      </w:pPr>
      <w:r w:rsidRPr="0082594A">
        <w:rPr>
          <w:rFonts w:ascii="Times New Roman" w:eastAsia="Times New Roman" w:hAnsi="Times New Roman" w:cs="Times New Roman"/>
          <w:bCs/>
          <w:i/>
          <w:iCs/>
          <w:sz w:val="24"/>
          <w:szCs w:val="24"/>
          <w:u w:val="single"/>
          <w:lang w:eastAsia="x-none"/>
        </w:rPr>
        <w:t xml:space="preserve"> </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Prehľad záväzkov podľa splatnosti je uvedený v tabuľkovej časti.</w:t>
      </w:r>
    </w:p>
    <w:p w:rsidR="0082594A" w:rsidRPr="0082594A" w:rsidRDefault="0082594A" w:rsidP="0082594A">
      <w:pPr>
        <w:spacing w:after="0" w:line="240" w:lineRule="auto"/>
        <w:rPr>
          <w:rFonts w:ascii="Times New Roman" w:eastAsia="Times New Roman" w:hAnsi="Times New Roman" w:cs="Times New Roman"/>
          <w:sz w:val="24"/>
          <w:szCs w:val="24"/>
          <w:lang w:eastAsia="sk-SK"/>
        </w:rPr>
      </w:pPr>
    </w:p>
    <w:p w:rsidR="0082594A" w:rsidRPr="0082594A" w:rsidRDefault="0082594A" w:rsidP="0082594A">
      <w:pPr>
        <w:keepNext/>
        <w:spacing w:after="0" w:line="240" w:lineRule="auto"/>
        <w:outlineLvl w:val="1"/>
        <w:rPr>
          <w:rFonts w:ascii="Times New Roman" w:eastAsia="Times New Roman" w:hAnsi="Times New Roman" w:cs="Times New Roman"/>
          <w:bCs/>
          <w:i/>
          <w:iCs/>
          <w:sz w:val="24"/>
          <w:szCs w:val="24"/>
          <w:u w:val="single"/>
          <w:lang w:val="x-none" w:eastAsia="x-none"/>
        </w:rPr>
      </w:pPr>
      <w:r w:rsidRPr="0082594A">
        <w:rPr>
          <w:rFonts w:ascii="Times New Roman" w:eastAsia="Times New Roman" w:hAnsi="Times New Roman" w:cs="Times New Roman"/>
          <w:bCs/>
          <w:i/>
          <w:iCs/>
          <w:sz w:val="24"/>
          <w:szCs w:val="24"/>
          <w:u w:val="single"/>
          <w:lang w:val="x-none" w:eastAsia="x-none"/>
        </w:rPr>
        <w:t>Bankové úvery a ostatné prijaté návratné finančné výpomoci</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Prehľad o bankových úveroch Obce k 31.12.201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s uvedením podrobných informácií je uvedený v tabuľkovej časti.</w:t>
      </w:r>
    </w:p>
    <w:p w:rsid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Bankový úver dlhodobý z Prima banky Slovensko prijatý v roku 2011 na prístavbu materskej školy má k 31.12.201</w:t>
      </w:r>
      <w:r w:rsidR="004E41D8">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 xml:space="preserve"> zostatok 1</w:t>
      </w:r>
      <w:r w:rsidR="004E41D8">
        <w:rPr>
          <w:rFonts w:ascii="Times New Roman" w:eastAsia="Times New Roman" w:hAnsi="Times New Roman" w:cs="Times New Roman"/>
          <w:sz w:val="24"/>
          <w:szCs w:val="24"/>
          <w:lang w:eastAsia="sk-SK"/>
        </w:rPr>
        <w:t>3</w:t>
      </w:r>
      <w:r w:rsidRPr="0082594A">
        <w:rPr>
          <w:rFonts w:ascii="Times New Roman" w:eastAsia="Times New Roman" w:hAnsi="Times New Roman" w:cs="Times New Roman"/>
          <w:sz w:val="24"/>
          <w:szCs w:val="24"/>
          <w:lang w:eastAsia="sk-SK"/>
        </w:rPr>
        <w:t xml:space="preserve">4 999,70 Eur. Splatnosť úveru  je do roku 2021. </w:t>
      </w:r>
    </w:p>
    <w:p w:rsidR="004E41D8" w:rsidRPr="0082594A" w:rsidRDefault="004E41D8" w:rsidP="0082594A">
      <w:pPr>
        <w:spacing w:after="0" w:line="240" w:lineRule="auto"/>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 xml:space="preserve">Prijatý úver z VÚB banky na prístavbu ZŠ modulové triedy a MŠ prístavba modulovej triedy v roku 2016 má zostatok k 31.12.2016  300 202,40 Eur. </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 </w:t>
      </w: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jc w:val="both"/>
        <w:rPr>
          <w:rFonts w:ascii="Times New Roman" w:eastAsia="Times New Roman" w:hAnsi="Times New Roman" w:cs="Times New Roman"/>
          <w:sz w:val="24"/>
          <w:szCs w:val="24"/>
          <w:lang w:eastAsia="sk-SK"/>
        </w:rPr>
      </w:pPr>
    </w:p>
    <w:p w:rsidR="0082594A" w:rsidRPr="0082594A" w:rsidRDefault="0082594A" w:rsidP="0082594A">
      <w:pPr>
        <w:tabs>
          <w:tab w:val="left" w:pos="0"/>
          <w:tab w:val="left" w:pos="360"/>
          <w:tab w:val="left" w:pos="420"/>
        </w:tabs>
        <w:spacing w:after="0" w:line="240" w:lineRule="auto"/>
        <w:ind w:left="-14" w:hanging="70"/>
        <w:rPr>
          <w:rFonts w:ascii="Times New Roman" w:eastAsia="Times New Roman" w:hAnsi="Times New Roman" w:cs="Times New Roman"/>
          <w:b/>
          <w:caps/>
          <w:sz w:val="24"/>
          <w:szCs w:val="24"/>
          <w:lang w:eastAsia="sk-SK"/>
        </w:rPr>
      </w:pPr>
      <w:r w:rsidRPr="0082594A">
        <w:rPr>
          <w:rFonts w:ascii="Times New Roman" w:eastAsia="Times New Roman" w:hAnsi="Times New Roman" w:cs="Times New Roman"/>
          <w:b/>
          <w:caps/>
          <w:sz w:val="24"/>
          <w:szCs w:val="24"/>
          <w:lang w:eastAsia="sk-SK"/>
        </w:rPr>
        <w:t>Informácie o výnosoch a nákladoch</w:t>
      </w:r>
    </w:p>
    <w:p w:rsidR="0082594A" w:rsidRPr="0082594A" w:rsidRDefault="0082594A" w:rsidP="0082594A">
      <w:pPr>
        <w:spacing w:after="0" w:line="240" w:lineRule="auto"/>
        <w:rPr>
          <w:rFonts w:ascii="Times New Roman" w:eastAsia="Times New Roman" w:hAnsi="Times New Roman" w:cs="Times New Roman"/>
          <w:sz w:val="24"/>
          <w:szCs w:val="24"/>
          <w:lang w:eastAsia="x-none"/>
        </w:rPr>
      </w:pPr>
    </w:p>
    <w:p w:rsidR="0082594A" w:rsidRPr="0082594A" w:rsidRDefault="0082594A" w:rsidP="0082594A">
      <w:pPr>
        <w:spacing w:after="0" w:line="240" w:lineRule="auto"/>
        <w:rPr>
          <w:rFonts w:ascii="Times New Roman" w:eastAsia="Times New Roman" w:hAnsi="Times New Roman" w:cs="Times New Roman"/>
          <w:sz w:val="24"/>
          <w:szCs w:val="24"/>
          <w:lang w:eastAsia="x-none"/>
        </w:rPr>
      </w:pPr>
      <w:r w:rsidRPr="0082594A">
        <w:rPr>
          <w:rFonts w:ascii="Times New Roman" w:eastAsia="Times New Roman" w:hAnsi="Times New Roman" w:cs="Times New Roman"/>
          <w:sz w:val="24"/>
          <w:szCs w:val="24"/>
          <w:lang w:eastAsia="x-none"/>
        </w:rPr>
        <w:t>Prehľad o daňových výnosov samosprávy:</w:t>
      </w:r>
    </w:p>
    <w:p w:rsidR="0082594A" w:rsidRPr="0082594A" w:rsidRDefault="0082594A" w:rsidP="0082594A">
      <w:pPr>
        <w:spacing w:after="0" w:line="240" w:lineRule="auto"/>
        <w:ind w:left="426"/>
        <w:jc w:val="right"/>
        <w:rPr>
          <w:rFonts w:ascii="Times New Roman" w:eastAsia="Times New Roman" w:hAnsi="Times New Roman" w:cs="Times New Roman"/>
          <w:i/>
          <w:lang w:eastAsia="sk-SK"/>
        </w:rPr>
      </w:pPr>
      <w:r w:rsidRPr="0082594A">
        <w:rPr>
          <w:rFonts w:ascii="Times New Roman" w:eastAsia="Times New Roman" w:hAnsi="Times New Roman" w:cs="Times New Roman"/>
          <w:i/>
          <w:lang w:eastAsia="sk-SK"/>
        </w:rPr>
        <w:t>v eur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6"/>
        <w:gridCol w:w="1824"/>
        <w:gridCol w:w="1992"/>
      </w:tblGrid>
      <w:tr w:rsidR="0082594A" w:rsidRPr="0082594A" w:rsidTr="007C1146">
        <w:tc>
          <w:tcPr>
            <w:tcW w:w="5353" w:type="dxa"/>
          </w:tcPr>
          <w:p w:rsidR="0082594A" w:rsidRPr="0082594A" w:rsidRDefault="0082594A" w:rsidP="0082594A">
            <w:pPr>
              <w:spacing w:after="0" w:line="240" w:lineRule="auto"/>
              <w:jc w:val="both"/>
              <w:rPr>
                <w:rFonts w:ascii="Times New Roman" w:eastAsia="Times New Roman" w:hAnsi="Times New Roman" w:cs="Times New Roman"/>
                <w:b/>
                <w:sz w:val="24"/>
                <w:szCs w:val="24"/>
                <w:lang w:eastAsia="sk-SK"/>
              </w:rPr>
            </w:pPr>
          </w:p>
        </w:tc>
        <w:tc>
          <w:tcPr>
            <w:tcW w:w="1843" w:type="dxa"/>
            <w:shd w:val="clear" w:color="auto" w:fill="BFBFBF"/>
          </w:tcPr>
          <w:p w:rsidR="0082594A" w:rsidRPr="0082594A" w:rsidRDefault="0082594A" w:rsidP="004E41D8">
            <w:pPr>
              <w:spacing w:after="0" w:line="240" w:lineRule="auto"/>
              <w:jc w:val="center"/>
              <w:rPr>
                <w:rFonts w:ascii="Times New Roman" w:eastAsia="Times New Roman" w:hAnsi="Times New Roman" w:cs="Times New Roman"/>
                <w:i/>
                <w:sz w:val="20"/>
                <w:szCs w:val="20"/>
                <w:lang w:eastAsia="sk-SK"/>
              </w:rPr>
            </w:pPr>
            <w:r w:rsidRPr="0082594A">
              <w:rPr>
                <w:rFonts w:ascii="Times New Roman" w:eastAsia="Times New Roman" w:hAnsi="Times New Roman" w:cs="Times New Roman"/>
                <w:i/>
                <w:sz w:val="20"/>
                <w:szCs w:val="20"/>
                <w:lang w:eastAsia="sk-SK"/>
              </w:rPr>
              <w:t>31.12.201</w:t>
            </w:r>
            <w:r w:rsidR="004E41D8">
              <w:rPr>
                <w:rFonts w:ascii="Times New Roman" w:eastAsia="Times New Roman" w:hAnsi="Times New Roman" w:cs="Times New Roman"/>
                <w:i/>
                <w:sz w:val="20"/>
                <w:szCs w:val="20"/>
                <w:lang w:eastAsia="sk-SK"/>
              </w:rPr>
              <w:t>6</w:t>
            </w:r>
          </w:p>
        </w:tc>
        <w:tc>
          <w:tcPr>
            <w:tcW w:w="2016" w:type="dxa"/>
            <w:shd w:val="clear" w:color="auto" w:fill="BFBFBF"/>
          </w:tcPr>
          <w:p w:rsidR="0082594A" w:rsidRPr="0082594A" w:rsidRDefault="0082594A" w:rsidP="004E41D8">
            <w:pPr>
              <w:spacing w:after="0" w:line="240" w:lineRule="auto"/>
              <w:jc w:val="center"/>
              <w:rPr>
                <w:rFonts w:ascii="Times New Roman" w:eastAsia="Times New Roman" w:hAnsi="Times New Roman" w:cs="Times New Roman"/>
                <w:i/>
                <w:sz w:val="20"/>
                <w:szCs w:val="20"/>
                <w:lang w:eastAsia="sk-SK"/>
              </w:rPr>
            </w:pPr>
            <w:r w:rsidRPr="0082594A">
              <w:rPr>
                <w:rFonts w:ascii="Times New Roman" w:eastAsia="Times New Roman" w:hAnsi="Times New Roman" w:cs="Times New Roman"/>
                <w:i/>
                <w:sz w:val="20"/>
                <w:szCs w:val="20"/>
                <w:lang w:eastAsia="sk-SK"/>
              </w:rPr>
              <w:t>31.12.201</w:t>
            </w:r>
            <w:r w:rsidR="004E41D8">
              <w:rPr>
                <w:rFonts w:ascii="Times New Roman" w:eastAsia="Times New Roman" w:hAnsi="Times New Roman" w:cs="Times New Roman"/>
                <w:i/>
                <w:sz w:val="20"/>
                <w:szCs w:val="20"/>
                <w:lang w:eastAsia="sk-SK"/>
              </w:rPr>
              <w:t>5</w:t>
            </w:r>
          </w:p>
        </w:tc>
      </w:tr>
      <w:tr w:rsidR="0082594A" w:rsidRPr="0082594A" w:rsidTr="007C1146">
        <w:tc>
          <w:tcPr>
            <w:tcW w:w="5353" w:type="dxa"/>
            <w:vAlign w:val="bottom"/>
          </w:tcPr>
          <w:p w:rsidR="0082594A" w:rsidRPr="0082594A" w:rsidRDefault="0082594A" w:rsidP="0082594A">
            <w:pPr>
              <w:spacing w:after="0" w:line="240" w:lineRule="auto"/>
              <w:rPr>
                <w:rFonts w:ascii="Times New Roman" w:eastAsia="Times New Roman" w:hAnsi="Times New Roman" w:cs="Times New Roman"/>
                <w:color w:val="000000"/>
                <w:sz w:val="20"/>
                <w:szCs w:val="20"/>
              </w:rPr>
            </w:pPr>
            <w:r w:rsidRPr="0082594A">
              <w:rPr>
                <w:rFonts w:ascii="Times New Roman" w:eastAsia="Times New Roman" w:hAnsi="Times New Roman" w:cs="Times New Roman"/>
                <w:color w:val="000000"/>
                <w:sz w:val="20"/>
                <w:szCs w:val="20"/>
              </w:rPr>
              <w:t>Poukázaný podiel na dani z príjmov zo štátneho rozpočtu</w:t>
            </w:r>
          </w:p>
        </w:tc>
        <w:tc>
          <w:tcPr>
            <w:tcW w:w="1843" w:type="dxa"/>
            <w:vAlign w:val="center"/>
          </w:tcPr>
          <w:p w:rsidR="0082594A" w:rsidRPr="0082594A" w:rsidRDefault="004E41D8" w:rsidP="0082594A">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771 613,67</w:t>
            </w:r>
            <w:r w:rsidR="0082594A" w:rsidRPr="0082594A">
              <w:rPr>
                <w:rFonts w:ascii="Times New Roman" w:eastAsia="Times New Roman" w:hAnsi="Times New Roman" w:cs="Times New Roman"/>
                <w:color w:val="000000"/>
                <w:sz w:val="20"/>
                <w:szCs w:val="20"/>
                <w:lang w:eastAsia="sk-SK"/>
              </w:rPr>
              <w:t xml:space="preserve"> </w:t>
            </w:r>
          </w:p>
        </w:tc>
        <w:tc>
          <w:tcPr>
            <w:tcW w:w="2016" w:type="dxa"/>
            <w:vAlign w:val="center"/>
          </w:tcPr>
          <w:p w:rsidR="0082594A" w:rsidRPr="0082594A" w:rsidRDefault="004E41D8" w:rsidP="0082594A">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563 134,66</w:t>
            </w:r>
            <w:r w:rsidR="0082594A" w:rsidRPr="0082594A">
              <w:rPr>
                <w:rFonts w:ascii="Times New Roman" w:eastAsia="Times New Roman" w:hAnsi="Times New Roman" w:cs="Times New Roman"/>
                <w:color w:val="000000"/>
                <w:sz w:val="20"/>
                <w:szCs w:val="20"/>
                <w:lang w:eastAsia="sk-SK"/>
              </w:rPr>
              <w:t xml:space="preserve"> </w:t>
            </w:r>
          </w:p>
        </w:tc>
      </w:tr>
      <w:tr w:rsidR="0082594A" w:rsidRPr="0082594A" w:rsidTr="007C1146">
        <w:tc>
          <w:tcPr>
            <w:tcW w:w="5353" w:type="dxa"/>
            <w:vAlign w:val="bottom"/>
          </w:tcPr>
          <w:p w:rsidR="0082594A" w:rsidRPr="0082594A" w:rsidRDefault="0082594A" w:rsidP="0082594A">
            <w:pPr>
              <w:spacing w:after="0" w:line="240" w:lineRule="auto"/>
              <w:rPr>
                <w:rFonts w:ascii="Times New Roman" w:eastAsia="Times New Roman" w:hAnsi="Times New Roman" w:cs="Times New Roman"/>
                <w:color w:val="000000"/>
                <w:sz w:val="20"/>
                <w:szCs w:val="20"/>
              </w:rPr>
            </w:pPr>
            <w:r w:rsidRPr="0082594A">
              <w:rPr>
                <w:rFonts w:ascii="Times New Roman" w:eastAsia="Times New Roman" w:hAnsi="Times New Roman" w:cs="Times New Roman"/>
                <w:color w:val="000000"/>
                <w:sz w:val="20"/>
                <w:szCs w:val="20"/>
              </w:rPr>
              <w:t>Dane za špecifické služby - za psa</w:t>
            </w:r>
          </w:p>
        </w:tc>
        <w:tc>
          <w:tcPr>
            <w:tcW w:w="1843" w:type="dxa"/>
            <w:vAlign w:val="center"/>
          </w:tcPr>
          <w:p w:rsidR="0082594A" w:rsidRPr="0082594A" w:rsidRDefault="000D086C" w:rsidP="0082594A">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5 728,56</w:t>
            </w:r>
            <w:r w:rsidR="0082594A" w:rsidRPr="0082594A">
              <w:rPr>
                <w:rFonts w:ascii="Times New Roman" w:eastAsia="Times New Roman" w:hAnsi="Times New Roman" w:cs="Times New Roman"/>
                <w:color w:val="000000"/>
                <w:sz w:val="20"/>
                <w:szCs w:val="20"/>
                <w:lang w:eastAsia="sk-SK"/>
              </w:rPr>
              <w:t xml:space="preserve"> </w:t>
            </w:r>
          </w:p>
        </w:tc>
        <w:tc>
          <w:tcPr>
            <w:tcW w:w="2016" w:type="dxa"/>
            <w:vAlign w:val="center"/>
          </w:tcPr>
          <w:p w:rsidR="0082594A" w:rsidRPr="0082594A" w:rsidRDefault="0082594A" w:rsidP="004E41D8">
            <w:pPr>
              <w:spacing w:after="0" w:line="240" w:lineRule="auto"/>
              <w:jc w:val="right"/>
              <w:rPr>
                <w:rFonts w:ascii="Times New Roman" w:eastAsia="Times New Roman" w:hAnsi="Times New Roman" w:cs="Times New Roman"/>
                <w:color w:val="000000"/>
                <w:sz w:val="20"/>
                <w:szCs w:val="20"/>
                <w:lang w:eastAsia="sk-SK"/>
              </w:rPr>
            </w:pPr>
            <w:r w:rsidRPr="0082594A">
              <w:rPr>
                <w:rFonts w:ascii="Times New Roman" w:eastAsia="Times New Roman" w:hAnsi="Times New Roman" w:cs="Times New Roman"/>
                <w:color w:val="000000"/>
                <w:sz w:val="20"/>
                <w:szCs w:val="20"/>
                <w:lang w:eastAsia="sk-SK"/>
              </w:rPr>
              <w:t>3</w:t>
            </w:r>
            <w:r w:rsidR="004E41D8">
              <w:rPr>
                <w:rFonts w:ascii="Times New Roman" w:eastAsia="Times New Roman" w:hAnsi="Times New Roman" w:cs="Times New Roman"/>
                <w:color w:val="000000"/>
                <w:sz w:val="20"/>
                <w:szCs w:val="20"/>
                <w:lang w:eastAsia="sk-SK"/>
              </w:rPr>
              <w:t> 199,00</w:t>
            </w:r>
            <w:r w:rsidRPr="0082594A">
              <w:rPr>
                <w:rFonts w:ascii="Times New Roman" w:eastAsia="Times New Roman" w:hAnsi="Times New Roman" w:cs="Times New Roman"/>
                <w:color w:val="000000"/>
                <w:sz w:val="20"/>
                <w:szCs w:val="20"/>
                <w:lang w:eastAsia="sk-SK"/>
              </w:rPr>
              <w:t xml:space="preserve"> </w:t>
            </w:r>
          </w:p>
        </w:tc>
      </w:tr>
      <w:tr w:rsidR="0082594A" w:rsidRPr="0082594A" w:rsidTr="007C1146">
        <w:tc>
          <w:tcPr>
            <w:tcW w:w="5353" w:type="dxa"/>
            <w:vAlign w:val="bottom"/>
          </w:tcPr>
          <w:p w:rsidR="0082594A" w:rsidRPr="0082594A" w:rsidRDefault="0082594A" w:rsidP="0082594A">
            <w:pPr>
              <w:spacing w:after="0" w:line="240" w:lineRule="auto"/>
              <w:rPr>
                <w:rFonts w:ascii="Times New Roman" w:eastAsia="Times New Roman" w:hAnsi="Times New Roman" w:cs="Times New Roman"/>
                <w:color w:val="000000"/>
                <w:sz w:val="20"/>
                <w:szCs w:val="20"/>
              </w:rPr>
            </w:pPr>
            <w:r w:rsidRPr="0082594A">
              <w:rPr>
                <w:rFonts w:ascii="Times New Roman" w:eastAsia="Times New Roman" w:hAnsi="Times New Roman" w:cs="Times New Roman"/>
                <w:color w:val="000000"/>
                <w:sz w:val="20"/>
                <w:szCs w:val="20"/>
              </w:rPr>
              <w:t>Dane za špecifické služby - za nevýherné hracie prístroje</w:t>
            </w:r>
          </w:p>
        </w:tc>
        <w:tc>
          <w:tcPr>
            <w:tcW w:w="1843" w:type="dxa"/>
            <w:vAlign w:val="center"/>
          </w:tcPr>
          <w:p w:rsidR="0082594A" w:rsidRPr="0082594A" w:rsidRDefault="004E41D8" w:rsidP="004E41D8">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6</w:t>
            </w:r>
            <w:r w:rsidR="000D086C">
              <w:rPr>
                <w:rFonts w:ascii="Times New Roman" w:eastAsia="Times New Roman" w:hAnsi="Times New Roman" w:cs="Times New Roman"/>
                <w:color w:val="000000"/>
                <w:sz w:val="20"/>
                <w:szCs w:val="20"/>
                <w:lang w:eastAsia="sk-SK"/>
              </w:rPr>
              <w:t xml:space="preserve"> </w:t>
            </w:r>
            <w:r>
              <w:rPr>
                <w:rFonts w:ascii="Times New Roman" w:eastAsia="Times New Roman" w:hAnsi="Times New Roman" w:cs="Times New Roman"/>
                <w:color w:val="000000"/>
                <w:sz w:val="20"/>
                <w:szCs w:val="20"/>
                <w:lang w:eastAsia="sk-SK"/>
              </w:rPr>
              <w:t>250,00</w:t>
            </w:r>
            <w:r w:rsidR="0082594A" w:rsidRPr="0082594A">
              <w:rPr>
                <w:rFonts w:ascii="Times New Roman" w:eastAsia="Times New Roman" w:hAnsi="Times New Roman" w:cs="Times New Roman"/>
                <w:color w:val="000000"/>
                <w:sz w:val="20"/>
                <w:szCs w:val="20"/>
                <w:lang w:eastAsia="sk-SK"/>
              </w:rPr>
              <w:t xml:space="preserve"> </w:t>
            </w:r>
          </w:p>
        </w:tc>
        <w:tc>
          <w:tcPr>
            <w:tcW w:w="2016" w:type="dxa"/>
            <w:vAlign w:val="center"/>
          </w:tcPr>
          <w:p w:rsidR="0082594A" w:rsidRPr="0082594A" w:rsidRDefault="0082594A" w:rsidP="004E41D8">
            <w:pPr>
              <w:spacing w:after="0" w:line="240" w:lineRule="auto"/>
              <w:jc w:val="right"/>
              <w:rPr>
                <w:rFonts w:ascii="Times New Roman" w:eastAsia="Times New Roman" w:hAnsi="Times New Roman" w:cs="Times New Roman"/>
                <w:color w:val="000000"/>
                <w:sz w:val="20"/>
                <w:szCs w:val="20"/>
                <w:lang w:eastAsia="sk-SK"/>
              </w:rPr>
            </w:pPr>
            <w:r w:rsidRPr="0082594A">
              <w:rPr>
                <w:rFonts w:ascii="Times New Roman" w:eastAsia="Times New Roman" w:hAnsi="Times New Roman" w:cs="Times New Roman"/>
                <w:color w:val="000000"/>
                <w:sz w:val="20"/>
                <w:szCs w:val="20"/>
                <w:lang w:eastAsia="sk-SK"/>
              </w:rPr>
              <w:t xml:space="preserve"> 6 </w:t>
            </w:r>
            <w:r w:rsidR="004E41D8">
              <w:rPr>
                <w:rFonts w:ascii="Times New Roman" w:eastAsia="Times New Roman" w:hAnsi="Times New Roman" w:cs="Times New Roman"/>
                <w:color w:val="000000"/>
                <w:sz w:val="20"/>
                <w:szCs w:val="20"/>
                <w:lang w:eastAsia="sk-SK"/>
              </w:rPr>
              <w:t>2</w:t>
            </w:r>
            <w:r w:rsidRPr="0082594A">
              <w:rPr>
                <w:rFonts w:ascii="Times New Roman" w:eastAsia="Times New Roman" w:hAnsi="Times New Roman" w:cs="Times New Roman"/>
                <w:color w:val="000000"/>
                <w:sz w:val="20"/>
                <w:szCs w:val="20"/>
                <w:lang w:eastAsia="sk-SK"/>
              </w:rPr>
              <w:t xml:space="preserve">00,00 </w:t>
            </w:r>
          </w:p>
        </w:tc>
      </w:tr>
      <w:tr w:rsidR="0082594A" w:rsidRPr="0082594A" w:rsidTr="007C1146">
        <w:tc>
          <w:tcPr>
            <w:tcW w:w="5353" w:type="dxa"/>
            <w:vAlign w:val="bottom"/>
          </w:tcPr>
          <w:p w:rsidR="0082594A" w:rsidRPr="0082594A" w:rsidRDefault="0082594A" w:rsidP="0082594A">
            <w:pPr>
              <w:spacing w:after="0" w:line="240" w:lineRule="auto"/>
              <w:rPr>
                <w:rFonts w:ascii="Times New Roman" w:eastAsia="Times New Roman" w:hAnsi="Times New Roman" w:cs="Times New Roman"/>
                <w:color w:val="000000"/>
                <w:sz w:val="20"/>
                <w:szCs w:val="20"/>
              </w:rPr>
            </w:pPr>
            <w:r w:rsidRPr="0082594A">
              <w:rPr>
                <w:rFonts w:ascii="Times New Roman" w:eastAsia="Times New Roman" w:hAnsi="Times New Roman" w:cs="Times New Roman"/>
                <w:color w:val="000000"/>
                <w:sz w:val="20"/>
                <w:szCs w:val="20"/>
              </w:rPr>
              <w:t>Dane za špecifické služby - za užívania verejného priestranstva</w:t>
            </w:r>
          </w:p>
        </w:tc>
        <w:tc>
          <w:tcPr>
            <w:tcW w:w="1843" w:type="dxa"/>
            <w:vAlign w:val="center"/>
          </w:tcPr>
          <w:p w:rsidR="0082594A" w:rsidRPr="0082594A" w:rsidRDefault="004E41D8" w:rsidP="0082594A">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2 205,42</w:t>
            </w:r>
            <w:r w:rsidR="0082594A" w:rsidRPr="0082594A">
              <w:rPr>
                <w:rFonts w:ascii="Times New Roman" w:eastAsia="Times New Roman" w:hAnsi="Times New Roman" w:cs="Times New Roman"/>
                <w:color w:val="000000"/>
                <w:sz w:val="20"/>
                <w:szCs w:val="20"/>
                <w:lang w:eastAsia="sk-SK"/>
              </w:rPr>
              <w:t xml:space="preserve"> </w:t>
            </w:r>
          </w:p>
        </w:tc>
        <w:tc>
          <w:tcPr>
            <w:tcW w:w="2016" w:type="dxa"/>
            <w:vAlign w:val="center"/>
          </w:tcPr>
          <w:p w:rsidR="0082594A" w:rsidRPr="0082594A" w:rsidRDefault="004E41D8" w:rsidP="004E41D8">
            <w:pPr>
              <w:spacing w:after="0" w:line="240" w:lineRule="auto"/>
              <w:jc w:val="right"/>
              <w:rPr>
                <w:rFonts w:ascii="Times New Roman" w:eastAsia="Times New Roman" w:hAnsi="Times New Roman" w:cs="Times New Roman"/>
                <w:color w:val="000000"/>
                <w:sz w:val="20"/>
                <w:szCs w:val="20"/>
                <w:lang w:eastAsia="sk-SK"/>
              </w:rPr>
            </w:pPr>
            <w:r>
              <w:rPr>
                <w:rFonts w:ascii="Times New Roman" w:eastAsia="Times New Roman" w:hAnsi="Times New Roman" w:cs="Times New Roman"/>
                <w:color w:val="000000"/>
                <w:sz w:val="20"/>
                <w:szCs w:val="20"/>
                <w:lang w:eastAsia="sk-SK"/>
              </w:rPr>
              <w:t>1 932,07</w:t>
            </w:r>
            <w:r w:rsidR="0082594A" w:rsidRPr="0082594A">
              <w:rPr>
                <w:rFonts w:ascii="Times New Roman" w:eastAsia="Times New Roman" w:hAnsi="Times New Roman" w:cs="Times New Roman"/>
                <w:color w:val="000000"/>
                <w:sz w:val="20"/>
                <w:szCs w:val="20"/>
                <w:lang w:eastAsia="sk-SK"/>
              </w:rPr>
              <w:t xml:space="preserve"> </w:t>
            </w:r>
          </w:p>
        </w:tc>
      </w:tr>
      <w:tr w:rsidR="0082594A" w:rsidRPr="0082594A" w:rsidTr="007C1146">
        <w:tc>
          <w:tcPr>
            <w:tcW w:w="5353" w:type="dxa"/>
            <w:vAlign w:val="bottom"/>
          </w:tcPr>
          <w:p w:rsidR="0082594A" w:rsidRPr="0082594A" w:rsidRDefault="0082594A" w:rsidP="0082594A">
            <w:pPr>
              <w:spacing w:after="0" w:line="240" w:lineRule="auto"/>
              <w:rPr>
                <w:rFonts w:ascii="Times New Roman" w:eastAsia="Times New Roman" w:hAnsi="Times New Roman" w:cs="Times New Roman"/>
                <w:color w:val="000000"/>
                <w:sz w:val="20"/>
                <w:szCs w:val="20"/>
              </w:rPr>
            </w:pPr>
            <w:r w:rsidRPr="0082594A">
              <w:rPr>
                <w:rFonts w:ascii="Times New Roman" w:eastAsia="Times New Roman" w:hAnsi="Times New Roman" w:cs="Times New Roman"/>
                <w:color w:val="000000"/>
                <w:sz w:val="20"/>
                <w:szCs w:val="20"/>
              </w:rPr>
              <w:t xml:space="preserve">Daň z nehnuteľností </w:t>
            </w:r>
          </w:p>
        </w:tc>
        <w:tc>
          <w:tcPr>
            <w:tcW w:w="1843" w:type="dxa"/>
            <w:vAlign w:val="center"/>
          </w:tcPr>
          <w:p w:rsidR="0082594A" w:rsidRPr="0082594A" w:rsidRDefault="0082594A" w:rsidP="000D086C">
            <w:pPr>
              <w:spacing w:after="0" w:line="240" w:lineRule="auto"/>
              <w:jc w:val="right"/>
              <w:rPr>
                <w:rFonts w:ascii="Times New Roman" w:eastAsia="Times New Roman" w:hAnsi="Times New Roman" w:cs="Times New Roman"/>
                <w:color w:val="000000"/>
                <w:sz w:val="20"/>
                <w:szCs w:val="20"/>
                <w:lang w:eastAsia="sk-SK"/>
              </w:rPr>
            </w:pPr>
            <w:r w:rsidRPr="0082594A">
              <w:rPr>
                <w:rFonts w:ascii="Times New Roman" w:eastAsia="Times New Roman" w:hAnsi="Times New Roman" w:cs="Times New Roman"/>
                <w:color w:val="000000"/>
                <w:sz w:val="20"/>
                <w:szCs w:val="20"/>
                <w:lang w:eastAsia="sk-SK"/>
              </w:rPr>
              <w:t>1</w:t>
            </w:r>
            <w:r w:rsidR="000D086C">
              <w:rPr>
                <w:rFonts w:ascii="Times New Roman" w:eastAsia="Times New Roman" w:hAnsi="Times New Roman" w:cs="Times New Roman"/>
                <w:color w:val="000000"/>
                <w:sz w:val="20"/>
                <w:szCs w:val="20"/>
                <w:lang w:eastAsia="sk-SK"/>
              </w:rPr>
              <w:t>22 440,28</w:t>
            </w:r>
            <w:r w:rsidRPr="0082594A">
              <w:rPr>
                <w:rFonts w:ascii="Times New Roman" w:eastAsia="Times New Roman" w:hAnsi="Times New Roman" w:cs="Times New Roman"/>
                <w:color w:val="000000"/>
                <w:sz w:val="20"/>
                <w:szCs w:val="20"/>
                <w:lang w:eastAsia="sk-SK"/>
              </w:rPr>
              <w:t xml:space="preserve"> </w:t>
            </w:r>
          </w:p>
        </w:tc>
        <w:tc>
          <w:tcPr>
            <w:tcW w:w="2016" w:type="dxa"/>
            <w:vAlign w:val="center"/>
          </w:tcPr>
          <w:p w:rsidR="0082594A" w:rsidRPr="0082594A" w:rsidRDefault="0082594A" w:rsidP="004E41D8">
            <w:pPr>
              <w:spacing w:after="0" w:line="240" w:lineRule="auto"/>
              <w:jc w:val="right"/>
              <w:rPr>
                <w:rFonts w:ascii="Times New Roman" w:eastAsia="Times New Roman" w:hAnsi="Times New Roman" w:cs="Times New Roman"/>
                <w:color w:val="000000"/>
                <w:sz w:val="20"/>
                <w:szCs w:val="20"/>
                <w:lang w:eastAsia="sk-SK"/>
              </w:rPr>
            </w:pPr>
            <w:r w:rsidRPr="0082594A">
              <w:rPr>
                <w:rFonts w:ascii="Times New Roman" w:eastAsia="Times New Roman" w:hAnsi="Times New Roman" w:cs="Times New Roman"/>
                <w:color w:val="000000"/>
                <w:sz w:val="20"/>
                <w:szCs w:val="20"/>
                <w:lang w:eastAsia="sk-SK"/>
              </w:rPr>
              <w:t>1</w:t>
            </w:r>
            <w:r w:rsidR="004E41D8">
              <w:rPr>
                <w:rFonts w:ascii="Times New Roman" w:eastAsia="Times New Roman" w:hAnsi="Times New Roman" w:cs="Times New Roman"/>
                <w:color w:val="000000"/>
                <w:sz w:val="20"/>
                <w:szCs w:val="20"/>
                <w:lang w:eastAsia="sk-SK"/>
              </w:rPr>
              <w:t>34 193,21</w:t>
            </w:r>
            <w:r w:rsidRPr="0082594A">
              <w:rPr>
                <w:rFonts w:ascii="Times New Roman" w:eastAsia="Times New Roman" w:hAnsi="Times New Roman" w:cs="Times New Roman"/>
                <w:color w:val="000000"/>
                <w:sz w:val="20"/>
                <w:szCs w:val="20"/>
                <w:lang w:eastAsia="sk-SK"/>
              </w:rPr>
              <w:t xml:space="preserve"> </w:t>
            </w:r>
          </w:p>
        </w:tc>
      </w:tr>
      <w:tr w:rsidR="0082594A" w:rsidRPr="0082594A" w:rsidTr="007C1146">
        <w:tc>
          <w:tcPr>
            <w:tcW w:w="5353" w:type="dxa"/>
            <w:vAlign w:val="bottom"/>
          </w:tcPr>
          <w:p w:rsidR="0082594A" w:rsidRPr="0082594A" w:rsidRDefault="0082594A" w:rsidP="0082594A">
            <w:pPr>
              <w:spacing w:after="0" w:line="240" w:lineRule="auto"/>
              <w:rPr>
                <w:rFonts w:ascii="Times New Roman" w:eastAsia="Times New Roman" w:hAnsi="Times New Roman" w:cs="Times New Roman"/>
                <w:b/>
                <w:color w:val="000000"/>
                <w:sz w:val="20"/>
                <w:szCs w:val="20"/>
              </w:rPr>
            </w:pPr>
            <w:r w:rsidRPr="0082594A">
              <w:rPr>
                <w:rFonts w:ascii="Times New Roman" w:eastAsia="Times New Roman" w:hAnsi="Times New Roman" w:cs="Times New Roman"/>
                <w:b/>
                <w:color w:val="000000"/>
                <w:sz w:val="20"/>
                <w:szCs w:val="20"/>
              </w:rPr>
              <w:t xml:space="preserve">Daňové výnosy samosprávy spolu </w:t>
            </w:r>
          </w:p>
        </w:tc>
        <w:tc>
          <w:tcPr>
            <w:tcW w:w="1843" w:type="dxa"/>
            <w:vAlign w:val="center"/>
          </w:tcPr>
          <w:p w:rsidR="0082594A" w:rsidRPr="0082594A" w:rsidRDefault="000D086C" w:rsidP="0082594A">
            <w:pPr>
              <w:spacing w:after="0" w:line="240" w:lineRule="auto"/>
              <w:jc w:val="right"/>
              <w:rPr>
                <w:rFonts w:ascii="Times New Roman" w:eastAsia="Times New Roman" w:hAnsi="Times New Roman" w:cs="Times New Roman"/>
                <w:b/>
                <w:color w:val="000000"/>
                <w:sz w:val="20"/>
                <w:szCs w:val="20"/>
                <w:lang w:eastAsia="sk-SK"/>
              </w:rPr>
            </w:pPr>
            <w:r>
              <w:rPr>
                <w:rFonts w:ascii="Times New Roman" w:eastAsia="Times New Roman" w:hAnsi="Times New Roman" w:cs="Times New Roman"/>
                <w:b/>
                <w:color w:val="000000"/>
                <w:sz w:val="20"/>
                <w:szCs w:val="20"/>
                <w:lang w:eastAsia="sk-SK"/>
              </w:rPr>
              <w:t>908 237,93</w:t>
            </w:r>
            <w:r w:rsidR="0082594A" w:rsidRPr="0082594A">
              <w:rPr>
                <w:rFonts w:ascii="Times New Roman" w:eastAsia="Times New Roman" w:hAnsi="Times New Roman" w:cs="Times New Roman"/>
                <w:b/>
                <w:color w:val="000000"/>
                <w:sz w:val="20"/>
                <w:szCs w:val="20"/>
                <w:lang w:eastAsia="sk-SK"/>
              </w:rPr>
              <w:t xml:space="preserve"> </w:t>
            </w:r>
          </w:p>
        </w:tc>
        <w:tc>
          <w:tcPr>
            <w:tcW w:w="2016" w:type="dxa"/>
            <w:vAlign w:val="center"/>
          </w:tcPr>
          <w:p w:rsidR="0082594A" w:rsidRPr="0082594A" w:rsidRDefault="004E41D8" w:rsidP="0082594A">
            <w:pPr>
              <w:spacing w:after="0" w:line="240" w:lineRule="auto"/>
              <w:jc w:val="right"/>
              <w:rPr>
                <w:rFonts w:ascii="Times New Roman" w:eastAsia="Times New Roman" w:hAnsi="Times New Roman" w:cs="Times New Roman"/>
                <w:b/>
                <w:color w:val="000000"/>
                <w:sz w:val="20"/>
                <w:szCs w:val="20"/>
                <w:lang w:eastAsia="sk-SK"/>
              </w:rPr>
            </w:pPr>
            <w:r>
              <w:rPr>
                <w:rFonts w:ascii="Times New Roman" w:eastAsia="Times New Roman" w:hAnsi="Times New Roman" w:cs="Times New Roman"/>
                <w:b/>
                <w:color w:val="000000"/>
                <w:sz w:val="20"/>
                <w:szCs w:val="20"/>
                <w:lang w:eastAsia="sk-SK"/>
              </w:rPr>
              <w:t>708 658,94</w:t>
            </w:r>
            <w:r w:rsidR="0082594A" w:rsidRPr="0082594A">
              <w:rPr>
                <w:rFonts w:ascii="Times New Roman" w:eastAsia="Times New Roman" w:hAnsi="Times New Roman" w:cs="Times New Roman"/>
                <w:b/>
                <w:color w:val="000000"/>
                <w:sz w:val="20"/>
                <w:szCs w:val="20"/>
                <w:lang w:eastAsia="sk-SK"/>
              </w:rPr>
              <w:t xml:space="preserve"> </w:t>
            </w:r>
          </w:p>
        </w:tc>
      </w:tr>
    </w:tbl>
    <w:p w:rsidR="0082594A" w:rsidRPr="0082594A" w:rsidRDefault="0082594A" w:rsidP="0082594A">
      <w:pPr>
        <w:tabs>
          <w:tab w:val="left" w:pos="0"/>
          <w:tab w:val="left" w:pos="360"/>
          <w:tab w:val="left" w:pos="420"/>
        </w:tabs>
        <w:spacing w:after="0" w:line="240" w:lineRule="auto"/>
        <w:ind w:left="-14" w:hanging="70"/>
        <w:rPr>
          <w:rFonts w:ascii="Times New Roman" w:eastAsia="Times New Roman" w:hAnsi="Times New Roman" w:cs="Times New Roman"/>
          <w:b/>
          <w:lang w:eastAsia="sk-SK"/>
        </w:rPr>
      </w:pPr>
    </w:p>
    <w:p w:rsidR="0082594A" w:rsidRPr="0082594A" w:rsidRDefault="0082594A" w:rsidP="0082594A">
      <w:pPr>
        <w:spacing w:after="0" w:line="240" w:lineRule="auto"/>
        <w:rPr>
          <w:rFonts w:ascii="Times New Roman" w:eastAsia="Times New Roman" w:hAnsi="Times New Roman" w:cs="Times New Roman"/>
          <w:lang w:eastAsia="sk-SK"/>
        </w:rPr>
      </w:pPr>
      <w:r w:rsidRPr="0082594A">
        <w:rPr>
          <w:rFonts w:ascii="Times New Roman" w:eastAsia="Times New Roman" w:hAnsi="Times New Roman" w:cs="Times New Roman"/>
          <w:lang w:eastAsia="sk-SK"/>
        </w:rPr>
        <w:t>Ďalšie podrobnejšie informácie k nákladom a výnosom sú uvedené v tabuľkovej časti</w:t>
      </w:r>
    </w:p>
    <w:p w:rsidR="0082594A" w:rsidRPr="0082594A" w:rsidRDefault="0082594A" w:rsidP="0082594A">
      <w:pPr>
        <w:spacing w:after="0" w:line="240" w:lineRule="auto"/>
        <w:rPr>
          <w:rFonts w:ascii="Times New Roman" w:eastAsia="Times New Roman" w:hAnsi="Times New Roman" w:cs="Times New Roman"/>
          <w:lang w:eastAsia="sk-SK"/>
        </w:rPr>
      </w:pPr>
    </w:p>
    <w:p w:rsidR="0082594A" w:rsidRPr="0082594A" w:rsidRDefault="0082594A" w:rsidP="0082594A">
      <w:pPr>
        <w:spacing w:after="0" w:line="240" w:lineRule="auto"/>
        <w:rPr>
          <w:rFonts w:ascii="Times New Roman" w:eastAsia="Times New Roman" w:hAnsi="Times New Roman" w:cs="Times New Roman"/>
          <w:lang w:eastAsia="sk-SK"/>
        </w:rPr>
      </w:pPr>
    </w:p>
    <w:p w:rsidR="0082594A" w:rsidRPr="0082594A" w:rsidRDefault="0082594A" w:rsidP="0082594A">
      <w:pPr>
        <w:tabs>
          <w:tab w:val="left" w:pos="462"/>
        </w:tabs>
        <w:spacing w:after="0" w:line="240" w:lineRule="auto"/>
        <w:rPr>
          <w:rFonts w:ascii="Times New Roman" w:eastAsia="Times New Roman" w:hAnsi="Times New Roman" w:cs="Times New Roman"/>
          <w:b/>
          <w:sz w:val="24"/>
          <w:szCs w:val="24"/>
          <w:lang w:eastAsia="sk-SK"/>
        </w:rPr>
      </w:pPr>
      <w:r w:rsidRPr="0082594A">
        <w:rPr>
          <w:rFonts w:ascii="Times New Roman" w:eastAsia="Times New Roman" w:hAnsi="Times New Roman" w:cs="Times New Roman"/>
          <w:b/>
          <w:sz w:val="24"/>
          <w:szCs w:val="24"/>
          <w:lang w:eastAsia="sk-SK"/>
        </w:rPr>
        <w:t>INFORMÁCIE NA PODSÚVAHOVÝCH ÚČTOCH</w:t>
      </w:r>
    </w:p>
    <w:p w:rsidR="0082594A" w:rsidRPr="0082594A" w:rsidRDefault="0082594A" w:rsidP="0082594A">
      <w:pPr>
        <w:tabs>
          <w:tab w:val="left" w:pos="462"/>
        </w:tabs>
        <w:spacing w:after="0" w:line="240" w:lineRule="auto"/>
        <w:rPr>
          <w:rFonts w:ascii="Times New Roman" w:eastAsia="Times New Roman" w:hAnsi="Times New Roman" w:cs="Times New Roman"/>
          <w:highlight w:val="red"/>
          <w:lang w:eastAsia="sk-SK"/>
        </w:rPr>
      </w:pPr>
    </w:p>
    <w:p w:rsidR="0082594A" w:rsidRPr="0082594A" w:rsidRDefault="0082594A" w:rsidP="0082594A">
      <w:pPr>
        <w:tabs>
          <w:tab w:val="left" w:pos="448"/>
        </w:tabs>
        <w:spacing w:after="0" w:line="240" w:lineRule="auto"/>
        <w:rPr>
          <w:rFonts w:ascii="Times New Roman" w:eastAsia="Times New Roman" w:hAnsi="Times New Roman" w:cs="Times New Roman"/>
          <w:lang w:eastAsia="sk-SK"/>
        </w:rPr>
      </w:pPr>
      <w:r w:rsidRPr="0082594A">
        <w:rPr>
          <w:rFonts w:ascii="Times New Roman" w:eastAsia="Times New Roman" w:hAnsi="Times New Roman" w:cs="Times New Roman"/>
          <w:lang w:eastAsia="sk-SK"/>
        </w:rPr>
        <w:t>Obec Nová Dedinka vedie na podsúvahovom účte 750 drobný majetok prijatý do úschovy v hodnote 33 385,44 Eur.</w:t>
      </w:r>
    </w:p>
    <w:p w:rsidR="0082594A" w:rsidRPr="0082594A" w:rsidRDefault="0082594A" w:rsidP="0082594A">
      <w:pPr>
        <w:tabs>
          <w:tab w:val="left" w:pos="448"/>
        </w:tabs>
        <w:spacing w:after="0" w:line="240" w:lineRule="auto"/>
        <w:rPr>
          <w:rFonts w:ascii="Times New Roman" w:eastAsia="Times New Roman" w:hAnsi="Times New Roman" w:cs="Times New Roman"/>
          <w:lang w:eastAsia="sk-SK"/>
        </w:rPr>
      </w:pPr>
    </w:p>
    <w:p w:rsidR="0082594A" w:rsidRPr="0082594A" w:rsidRDefault="0082594A" w:rsidP="0082594A">
      <w:pPr>
        <w:tabs>
          <w:tab w:val="left" w:pos="448"/>
        </w:tabs>
        <w:spacing w:after="0" w:line="240" w:lineRule="auto"/>
        <w:rPr>
          <w:rFonts w:ascii="Times New Roman" w:eastAsia="Times New Roman" w:hAnsi="Times New Roman" w:cs="Times New Roman"/>
          <w:lang w:eastAsia="sk-SK"/>
        </w:rPr>
      </w:pPr>
    </w:p>
    <w:p w:rsidR="0082594A" w:rsidRPr="0082594A" w:rsidRDefault="0082594A" w:rsidP="0082594A">
      <w:pPr>
        <w:tabs>
          <w:tab w:val="left" w:pos="448"/>
        </w:tabs>
        <w:spacing w:after="0" w:line="240" w:lineRule="auto"/>
        <w:rPr>
          <w:rFonts w:ascii="Times New Roman" w:eastAsia="Times New Roman" w:hAnsi="Times New Roman" w:cs="Times New Roman"/>
          <w:lang w:eastAsia="sk-SK"/>
        </w:rPr>
      </w:pPr>
    </w:p>
    <w:p w:rsidR="0082594A" w:rsidRPr="0082594A" w:rsidRDefault="0082594A" w:rsidP="0082594A">
      <w:pPr>
        <w:tabs>
          <w:tab w:val="left" w:pos="448"/>
        </w:tabs>
        <w:spacing w:after="0" w:line="240" w:lineRule="auto"/>
        <w:ind w:left="425" w:hanging="425"/>
        <w:rPr>
          <w:rFonts w:ascii="Times New Roman" w:eastAsia="Times New Roman" w:hAnsi="Times New Roman" w:cs="Times New Roman"/>
          <w:b/>
          <w:sz w:val="24"/>
          <w:szCs w:val="24"/>
          <w:lang w:eastAsia="sk-SK"/>
        </w:rPr>
      </w:pPr>
      <w:r w:rsidRPr="0082594A">
        <w:rPr>
          <w:rFonts w:ascii="Times New Roman" w:eastAsia="Times New Roman" w:hAnsi="Times New Roman" w:cs="Times New Roman"/>
          <w:b/>
          <w:sz w:val="24"/>
          <w:szCs w:val="24"/>
          <w:lang w:eastAsia="sk-SK"/>
        </w:rPr>
        <w:t>SKUTOČNOSTI, KTORÉ NASTALI PO DNI, KU KTORÉMU SA ZOSTAVUJE</w:t>
      </w:r>
    </w:p>
    <w:p w:rsidR="0082594A" w:rsidRPr="0082594A" w:rsidRDefault="0082594A" w:rsidP="0082594A">
      <w:pPr>
        <w:tabs>
          <w:tab w:val="left" w:pos="448"/>
        </w:tabs>
        <w:spacing w:after="0" w:line="240" w:lineRule="auto"/>
        <w:ind w:left="425" w:hanging="425"/>
        <w:rPr>
          <w:rFonts w:ascii="Times New Roman" w:eastAsia="Times New Roman" w:hAnsi="Times New Roman" w:cs="Times New Roman"/>
          <w:b/>
          <w:sz w:val="24"/>
          <w:szCs w:val="24"/>
          <w:lang w:eastAsia="sk-SK"/>
        </w:rPr>
      </w:pPr>
      <w:r w:rsidRPr="0082594A">
        <w:rPr>
          <w:rFonts w:ascii="Times New Roman" w:eastAsia="Times New Roman" w:hAnsi="Times New Roman" w:cs="Times New Roman"/>
          <w:b/>
          <w:sz w:val="24"/>
          <w:szCs w:val="24"/>
          <w:lang w:eastAsia="sk-SK"/>
        </w:rPr>
        <w:t>KONSOLIDOVANA ÚČTOVNÁ ZÁVIERKA, DO DŇA JEJ ZOSTAVENIA</w:t>
      </w: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p>
    <w:p w:rsidR="0082594A" w:rsidRPr="0082594A" w:rsidRDefault="0082594A" w:rsidP="0082594A">
      <w:pPr>
        <w:spacing w:after="0" w:line="240" w:lineRule="auto"/>
        <w:ind w:right="-79"/>
        <w:jc w:val="both"/>
        <w:rPr>
          <w:rFonts w:ascii="Times New Roman" w:eastAsia="Times New Roman" w:hAnsi="Times New Roman" w:cs="Times New Roman"/>
          <w:sz w:val="24"/>
          <w:szCs w:val="24"/>
          <w:lang w:eastAsia="sk-SK"/>
        </w:rPr>
      </w:pPr>
      <w:r w:rsidRPr="0082594A">
        <w:rPr>
          <w:rFonts w:ascii="Times New Roman" w:eastAsia="Times New Roman" w:hAnsi="Times New Roman" w:cs="Times New Roman"/>
          <w:sz w:val="24"/>
          <w:szCs w:val="24"/>
          <w:lang w:eastAsia="sk-SK"/>
        </w:rPr>
        <w:t xml:space="preserve">Po 31. decembri </w:t>
      </w:r>
      <w:r w:rsidRPr="0082594A">
        <w:rPr>
          <w:rFonts w:ascii="Times New Roman" w:eastAsia="Times New Roman" w:hAnsi="Times New Roman" w:cs="Times New Roman"/>
          <w:iCs/>
          <w:sz w:val="24"/>
          <w:szCs w:val="24"/>
          <w:lang w:eastAsia="sk-SK"/>
        </w:rPr>
        <w:t>201</w:t>
      </w:r>
      <w:r w:rsidR="000D086C">
        <w:rPr>
          <w:rFonts w:ascii="Times New Roman" w:eastAsia="Times New Roman" w:hAnsi="Times New Roman" w:cs="Times New Roman"/>
          <w:iCs/>
          <w:sz w:val="24"/>
          <w:szCs w:val="24"/>
          <w:lang w:eastAsia="sk-SK"/>
        </w:rPr>
        <w:t>6</w:t>
      </w:r>
      <w:r w:rsidRPr="0082594A">
        <w:rPr>
          <w:rFonts w:ascii="Times New Roman" w:eastAsia="Times New Roman" w:hAnsi="Times New Roman" w:cs="Times New Roman"/>
          <w:sz w:val="24"/>
          <w:szCs w:val="24"/>
          <w:lang w:eastAsia="sk-SK"/>
        </w:rPr>
        <w:t xml:space="preserve"> nenastali také udalosti, ktoré by si vyžadovali zverejnenie alebo vykázanie v konsolidovanej účtovnej závierke za rok 201</w:t>
      </w:r>
      <w:r w:rsidR="000D086C">
        <w:rPr>
          <w:rFonts w:ascii="Times New Roman" w:eastAsia="Times New Roman" w:hAnsi="Times New Roman" w:cs="Times New Roman"/>
          <w:sz w:val="24"/>
          <w:szCs w:val="24"/>
          <w:lang w:eastAsia="sk-SK"/>
        </w:rPr>
        <w:t>6</w:t>
      </w:r>
      <w:r w:rsidRPr="0082594A">
        <w:rPr>
          <w:rFonts w:ascii="Times New Roman" w:eastAsia="Times New Roman" w:hAnsi="Times New Roman" w:cs="Times New Roman"/>
          <w:sz w:val="24"/>
          <w:szCs w:val="24"/>
          <w:lang w:eastAsia="sk-SK"/>
        </w:rPr>
        <w:t>.</w:t>
      </w:r>
    </w:p>
    <w:p w:rsidR="0082594A" w:rsidRPr="0082594A" w:rsidRDefault="0082594A" w:rsidP="0082594A">
      <w:pPr>
        <w:spacing w:after="0" w:line="240" w:lineRule="auto"/>
        <w:rPr>
          <w:rFonts w:ascii="Times New Roman" w:eastAsia="Times New Roman" w:hAnsi="Times New Roman" w:cs="Times New Roman"/>
          <w:sz w:val="24"/>
          <w:szCs w:val="24"/>
          <w:lang w:eastAsia="sk-SK"/>
        </w:rPr>
      </w:pPr>
    </w:p>
    <w:p w:rsidR="001432CB" w:rsidRDefault="001432CB"/>
    <w:sectPr w:rsidR="001432CB" w:rsidSect="005F0094">
      <w:headerReference w:type="default" r:id="rId6"/>
      <w:footerReference w:type="default" r:id="rId7"/>
      <w:pgSz w:w="11906" w:h="16838"/>
      <w:pgMar w:top="1417" w:right="1417" w:bottom="156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1690" w:rsidRDefault="008C1690">
      <w:pPr>
        <w:spacing w:after="0" w:line="240" w:lineRule="auto"/>
      </w:pPr>
      <w:r>
        <w:separator/>
      </w:r>
    </w:p>
  </w:endnote>
  <w:endnote w:type="continuationSeparator" w:id="0">
    <w:p w:rsidR="008C1690" w:rsidRDefault="008C1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5DB5" w:rsidRDefault="0082594A">
    <w:pPr>
      <w:pStyle w:val="Pta"/>
      <w:jc w:val="center"/>
    </w:pPr>
    <w:r>
      <w:fldChar w:fldCharType="begin"/>
    </w:r>
    <w:r>
      <w:instrText xml:space="preserve"> PAGE   \* MERGEFORMAT </w:instrText>
    </w:r>
    <w:r>
      <w:fldChar w:fldCharType="separate"/>
    </w:r>
    <w:r w:rsidR="00E04062">
      <w:rPr>
        <w:noProof/>
      </w:rPr>
      <w:t>1</w:t>
    </w:r>
    <w:r>
      <w:fldChar w:fldCharType="end"/>
    </w:r>
  </w:p>
  <w:p w:rsidR="00D04716" w:rsidRDefault="008C1690">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1690" w:rsidRDefault="008C1690">
      <w:pPr>
        <w:spacing w:after="0" w:line="240" w:lineRule="auto"/>
      </w:pPr>
      <w:r>
        <w:separator/>
      </w:r>
    </w:p>
  </w:footnote>
  <w:footnote w:type="continuationSeparator" w:id="0">
    <w:p w:rsidR="008C1690" w:rsidRDefault="008C16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4716" w:rsidRDefault="0082594A" w:rsidP="00DB7899">
    <w:pPr>
      <w:pStyle w:val="Hlavika"/>
      <w:tabs>
        <w:tab w:val="clear" w:pos="4536"/>
        <w:tab w:val="clear" w:pos="9072"/>
      </w:tabs>
      <w:ind w:right="-82"/>
      <w:jc w:val="right"/>
      <w:rPr>
        <w:sz w:val="20"/>
        <w:szCs w:val="20"/>
      </w:rPr>
    </w:pPr>
    <w:r w:rsidRPr="009C5403">
      <w:rPr>
        <w:sz w:val="20"/>
        <w:szCs w:val="20"/>
      </w:rPr>
      <w:tab/>
    </w:r>
    <w:r>
      <w:rPr>
        <w:sz w:val="20"/>
        <w:szCs w:val="20"/>
      </w:rPr>
      <w:t xml:space="preserve">             </w:t>
    </w:r>
  </w:p>
  <w:p w:rsidR="00D04716" w:rsidRDefault="0082594A" w:rsidP="0032719D">
    <w:pPr>
      <w:pStyle w:val="Hlavika"/>
      <w:tabs>
        <w:tab w:val="clear" w:pos="4536"/>
        <w:tab w:val="clear" w:pos="9072"/>
      </w:tabs>
      <w:ind w:right="-82"/>
      <w:jc w:val="center"/>
      <w:rPr>
        <w:i/>
        <w:color w:val="FF0000"/>
        <w:sz w:val="20"/>
        <w:szCs w:val="20"/>
        <w:lang w:val="sk-SK"/>
      </w:rPr>
    </w:pPr>
    <w:r>
      <w:rPr>
        <w:i/>
        <w:color w:val="FF0000"/>
        <w:sz w:val="20"/>
        <w:szCs w:val="20"/>
        <w:lang w:val="sk-SK"/>
      </w:rPr>
      <w:t xml:space="preserve"> </w:t>
    </w:r>
  </w:p>
  <w:p w:rsidR="00162113" w:rsidRPr="00162113" w:rsidRDefault="008C1690" w:rsidP="0032719D">
    <w:pPr>
      <w:pStyle w:val="Hlavika"/>
      <w:tabs>
        <w:tab w:val="clear" w:pos="4536"/>
        <w:tab w:val="clear" w:pos="9072"/>
      </w:tabs>
      <w:ind w:right="-82"/>
      <w:jc w:val="center"/>
      <w:rPr>
        <w:sz w:val="20"/>
        <w:szCs w:val="20"/>
        <w:lang w:val="sk-SK"/>
      </w:rPr>
    </w:pPr>
  </w:p>
  <w:p w:rsidR="00D04716" w:rsidRPr="00A00DC8" w:rsidRDefault="0082594A" w:rsidP="0032719D">
    <w:pPr>
      <w:pStyle w:val="Hlavika"/>
      <w:pBdr>
        <w:bottom w:val="single" w:sz="4" w:space="1" w:color="auto"/>
      </w:pBdr>
      <w:tabs>
        <w:tab w:val="clear" w:pos="9072"/>
      </w:tabs>
      <w:jc w:val="center"/>
      <w:rPr>
        <w:color w:val="FF0000"/>
        <w:sz w:val="20"/>
        <w:szCs w:val="20"/>
        <w:lang w:val="sk-SK"/>
      </w:rPr>
    </w:pPr>
    <w:r>
      <w:rPr>
        <w:sz w:val="20"/>
        <w:szCs w:val="20"/>
      </w:rPr>
      <w:t>Poznámky  </w:t>
    </w:r>
    <w:r>
      <w:rPr>
        <w:sz w:val="20"/>
        <w:szCs w:val="20"/>
        <w:lang w:val="sk-SK"/>
      </w:rPr>
      <w:t>konsolidovanej</w:t>
    </w:r>
    <w:r w:rsidRPr="0032719D">
      <w:rPr>
        <w:sz w:val="20"/>
        <w:szCs w:val="20"/>
      </w:rPr>
      <w:t xml:space="preserve"> účtovnej závierk</w:t>
    </w:r>
    <w:r w:rsidRPr="0032719D">
      <w:rPr>
        <w:sz w:val="20"/>
        <w:szCs w:val="20"/>
        <w:lang w:val="sk-SK"/>
      </w:rPr>
      <w:t xml:space="preserve">y </w:t>
    </w:r>
    <w:r w:rsidRPr="0032719D">
      <w:rPr>
        <w:sz w:val="20"/>
        <w:szCs w:val="20"/>
      </w:rPr>
      <w:t xml:space="preserve"> zostavenej k 31. decembru </w:t>
    </w:r>
    <w:r>
      <w:rPr>
        <w:sz w:val="20"/>
        <w:szCs w:val="20"/>
      </w:rPr>
      <w:t>201</w:t>
    </w:r>
    <w:r w:rsidR="00A00DC8">
      <w:rPr>
        <w:sz w:val="20"/>
        <w:szCs w:val="20"/>
        <w:lang w:val="sk-SK"/>
      </w:rPr>
      <w:t>6</w:t>
    </w:r>
  </w:p>
  <w:p w:rsidR="00D04716" w:rsidRPr="00162113" w:rsidRDefault="0082594A">
    <w:pPr>
      <w:pStyle w:val="Hlavika"/>
      <w:rPr>
        <w:lang w:val="sk-SK"/>
      </w:rPr>
    </w:pPr>
    <w:r>
      <w:rPr>
        <w:lang w:val="sk-SK"/>
      </w:rPr>
      <w:t xml:space="preserve"> </w:t>
    </w:r>
  </w:p>
  <w:p w:rsidR="00D04716" w:rsidRDefault="008C1690">
    <w:pPr>
      <w:pStyle w:val="Hlavika"/>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94A"/>
    <w:rsid w:val="000D086C"/>
    <w:rsid w:val="001432CB"/>
    <w:rsid w:val="004E41D8"/>
    <w:rsid w:val="0082594A"/>
    <w:rsid w:val="008572B9"/>
    <w:rsid w:val="008629FE"/>
    <w:rsid w:val="008C1690"/>
    <w:rsid w:val="00A00DC8"/>
    <w:rsid w:val="00A07B7B"/>
    <w:rsid w:val="00E0406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F91D986-5F3D-46CF-BD6E-D7E4AE227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rsid w:val="0082594A"/>
    <w:pPr>
      <w:tabs>
        <w:tab w:val="center" w:pos="4536"/>
        <w:tab w:val="right" w:pos="9072"/>
      </w:tabs>
      <w:spacing w:after="0" w:line="240" w:lineRule="auto"/>
    </w:pPr>
    <w:rPr>
      <w:rFonts w:ascii="Times New Roman" w:eastAsia="Times New Roman" w:hAnsi="Times New Roman" w:cs="Times New Roman"/>
      <w:sz w:val="24"/>
      <w:szCs w:val="24"/>
      <w:lang w:val="x-none" w:eastAsia="sk-SK"/>
    </w:rPr>
  </w:style>
  <w:style w:type="character" w:customStyle="1" w:styleId="HlavikaChar">
    <w:name w:val="Hlavička Char"/>
    <w:basedOn w:val="Predvolenpsmoodseku"/>
    <w:link w:val="Hlavika"/>
    <w:rsid w:val="0082594A"/>
    <w:rPr>
      <w:rFonts w:ascii="Times New Roman" w:eastAsia="Times New Roman" w:hAnsi="Times New Roman" w:cs="Times New Roman"/>
      <w:sz w:val="24"/>
      <w:szCs w:val="24"/>
      <w:lang w:val="x-none" w:eastAsia="sk-SK"/>
    </w:rPr>
  </w:style>
  <w:style w:type="paragraph" w:styleId="Pta">
    <w:name w:val="footer"/>
    <w:basedOn w:val="Normlny"/>
    <w:link w:val="PtaChar"/>
    <w:uiPriority w:val="99"/>
    <w:rsid w:val="0082594A"/>
    <w:pPr>
      <w:tabs>
        <w:tab w:val="center" w:pos="4536"/>
        <w:tab w:val="right" w:pos="9072"/>
      </w:tabs>
      <w:spacing w:after="0" w:line="240" w:lineRule="auto"/>
    </w:pPr>
    <w:rPr>
      <w:rFonts w:ascii="Times New Roman" w:eastAsia="Times New Roman" w:hAnsi="Times New Roman" w:cs="Times New Roman"/>
      <w:sz w:val="24"/>
      <w:szCs w:val="24"/>
      <w:lang w:val="x-none" w:eastAsia="sk-SK"/>
    </w:rPr>
  </w:style>
  <w:style w:type="character" w:customStyle="1" w:styleId="PtaChar">
    <w:name w:val="Päta Char"/>
    <w:basedOn w:val="Predvolenpsmoodseku"/>
    <w:link w:val="Pta"/>
    <w:uiPriority w:val="99"/>
    <w:rsid w:val="0082594A"/>
    <w:rPr>
      <w:rFonts w:ascii="Times New Roman" w:eastAsia="Times New Roman" w:hAnsi="Times New Roman" w:cs="Times New Roman"/>
      <w:sz w:val="24"/>
      <w:szCs w:val="24"/>
      <w:lang w:val="x-none"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1650</Words>
  <Characters>9406</Characters>
  <Application>Microsoft Office Word</Application>
  <DocSecurity>0</DocSecurity>
  <Lines>78</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Suskova</dc:creator>
  <cp:keywords/>
  <dc:description/>
  <cp:lastModifiedBy>Eva Suskova</cp:lastModifiedBy>
  <cp:revision>2</cp:revision>
  <dcterms:created xsi:type="dcterms:W3CDTF">2017-06-12T09:34:00Z</dcterms:created>
  <dcterms:modified xsi:type="dcterms:W3CDTF">2017-06-12T09:34:00Z</dcterms:modified>
</cp:coreProperties>
</file>