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4A50" w:rsidRDefault="00812FD0">
      <w:pPr>
        <w:pStyle w:val="Standard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>
        <w:rPr>
          <w:rFonts w:ascii="Arial Narrow" w:hAnsi="Arial Narrow"/>
          <w:b/>
        </w:rPr>
        <w:t>POZNÁMKY K ÚČTOVNEJ ZÁVIERKE 2016</w:t>
      </w:r>
    </w:p>
    <w:p w:rsidR="00FD4A50" w:rsidRDefault="00812FD0">
      <w:pPr>
        <w:pStyle w:val="Standard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</w:t>
      </w:r>
      <w:r>
        <w:rPr>
          <w:rFonts w:ascii="Arial Narrow" w:hAnsi="Arial Narrow"/>
          <w:sz w:val="22"/>
          <w:szCs w:val="22"/>
        </w:rPr>
        <w:t>určených z individuálnej účtovnej závierky na zverejnenie</w:t>
      </w:r>
    </w:p>
    <w:p w:rsidR="00FD4A50" w:rsidRDefault="00812FD0">
      <w:pPr>
        <w:pStyle w:val="Standard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/>
          <w:b/>
          <w:sz w:val="22"/>
          <w:szCs w:val="22"/>
        </w:rPr>
        <w:t>pre malé účtovné jednotky</w:t>
      </w:r>
    </w:p>
    <w:p w:rsidR="00FD4A50" w:rsidRDefault="00FD4A50">
      <w:pPr>
        <w:pStyle w:val="Standard"/>
        <w:rPr>
          <w:rFonts w:ascii="Arial Narrow" w:hAnsi="Arial Narrow"/>
          <w:sz w:val="22"/>
          <w:szCs w:val="22"/>
        </w:rPr>
      </w:pPr>
    </w:p>
    <w:p w:rsidR="00FD4A50" w:rsidRDefault="00812FD0">
      <w:pPr>
        <w:pStyle w:val="Standard"/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FD4A50" w:rsidRDefault="00FD4A50">
      <w:pPr>
        <w:pStyle w:val="Standard"/>
        <w:rPr>
          <w:rFonts w:ascii="Arial Narrow" w:hAnsi="Arial Narrow"/>
          <w:sz w:val="22"/>
          <w:szCs w:val="22"/>
        </w:rPr>
      </w:pPr>
    </w:p>
    <w:p w:rsidR="00FD4A50" w:rsidRDefault="00812FD0">
      <w:pPr>
        <w:pStyle w:val="Standard"/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FD4A50" w:rsidRDefault="00FD4A50">
      <w:pPr>
        <w:pStyle w:val="Standard"/>
        <w:rPr>
          <w:rFonts w:ascii="Arial Narrow" w:hAnsi="Arial Narrow"/>
          <w:sz w:val="22"/>
          <w:szCs w:val="22"/>
        </w:rPr>
      </w:pPr>
    </w:p>
    <w:tbl>
      <w:tblPr>
        <w:tblW w:w="9625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38"/>
        <w:gridCol w:w="6987"/>
      </w:tblGrid>
      <w:tr w:rsidR="00FD4A50">
        <w:tblPrEx>
          <w:tblCellMar>
            <w:top w:w="0" w:type="dxa"/>
            <w:bottom w:w="0" w:type="dxa"/>
          </w:tblCellMar>
        </w:tblPrEx>
        <w:trPr>
          <w:trHeight w:val="231"/>
        </w:trPr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Diaspora Intermediaries s.r.o.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249"/>
        </w:trPr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Panenská 24 </w:t>
            </w:r>
            <w:r>
              <w:rPr>
                <w:rFonts w:ascii="Arial Narrow" w:hAnsi="Arial Narrow" w:cs="Arial Narrow"/>
                <w:sz w:val="22"/>
                <w:szCs w:val="22"/>
              </w:rPr>
              <w:br/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811 03 Bratislava – </w:t>
            </w:r>
            <w:r>
              <w:rPr>
                <w:rFonts w:ascii="Arial Narrow" w:hAnsi="Arial Narrow" w:cs="Arial Narrow"/>
                <w:sz w:val="22"/>
                <w:szCs w:val="22"/>
              </w:rPr>
              <w:t>mestská časť Staré mesto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25"/>
        </w:trPr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43"/>
        </w:trPr>
        <w:tc>
          <w:tcPr>
            <w:tcW w:w="26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28.04.16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75"/>
        </w:trPr>
        <w:tc>
          <w:tcPr>
            <w:tcW w:w="26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Sprostredkovanie  obchodu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94"/>
        </w:trPr>
        <w:tc>
          <w:tcPr>
            <w:tcW w:w="26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 nie je subjektom verejného záujmu (§ 2/14 ZoU).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94"/>
        </w:trPr>
        <w:tc>
          <w:tcPr>
            <w:tcW w:w="26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2016</w:t>
            </w:r>
          </w:p>
        </w:tc>
      </w:tr>
    </w:tbl>
    <w:p w:rsidR="00FD4A50" w:rsidRDefault="00FD4A50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A50" w:rsidRDefault="00812FD0">
      <w:pPr>
        <w:pStyle w:val="Standard"/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FD4A50" w:rsidRDefault="00812FD0">
      <w:pPr>
        <w:pStyle w:val="Standard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</w:t>
      </w:r>
      <w:r>
        <w:rPr>
          <w:rFonts w:ascii="Arial Narrow" w:hAnsi="Arial Narrow" w:cs="Arial Narrow"/>
          <w:bCs/>
          <w:sz w:val="22"/>
          <w:szCs w:val="22"/>
        </w:rPr>
        <w:t xml:space="preserve">nepresiahla 4 000 000 eur, čistý obrat presiahol 700 000 eur, ale nepresiahol 8 000 000 eur a priemerný prepočítaný počet zamestnancov počas účtovného obdobia presiahol 10, ale nepresiahol 50).  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78" w:type="dxa"/>
        <w:tblInd w:w="-7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FD4A50">
        <w:tblPrEx>
          <w:tblCellMar>
            <w:top w:w="0" w:type="dxa"/>
            <w:bottom w:w="0" w:type="dxa"/>
          </w:tblCellMar>
        </w:tblPrEx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FD4A50" w:rsidRDefault="00FD4A50">
      <w:pPr>
        <w:pStyle w:val="Standard"/>
        <w:jc w:val="both"/>
      </w:pPr>
    </w:p>
    <w:p w:rsidR="00FD4A50" w:rsidRDefault="00812FD0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FD4A50" w:rsidRDefault="00FD4A50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</w:p>
    <w:p w:rsidR="00FD4A50" w:rsidRDefault="00812FD0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FD4A50" w:rsidRDefault="00812FD0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FD4A50" w:rsidRDefault="00812FD0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FD4A50" w:rsidRDefault="00FD4A50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FD4A50" w:rsidRDefault="00FD4A50">
      <w:pPr>
        <w:pStyle w:val="Standard"/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a) Obchodné meno a sídlo účtovnej jednotky, kt</w:t>
      </w:r>
      <w:r>
        <w:rPr>
          <w:rFonts w:ascii="Arial Narrow" w:hAnsi="Arial Narrow" w:cs="Arial Narrow"/>
          <w:sz w:val="22"/>
          <w:szCs w:val="22"/>
        </w:rPr>
        <w:t xml:space="preserve">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c) Adresa, kde sa môže vyžiadať kó</w:t>
      </w:r>
      <w:r>
        <w:rPr>
          <w:rFonts w:ascii="Arial Narrow" w:hAnsi="Arial Narrow" w:cs="Arial Narrow"/>
          <w:sz w:val="22"/>
          <w:szCs w:val="22"/>
        </w:rPr>
        <w:t xml:space="preserve">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FD4A50" w:rsidRDefault="00FD4A50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</w:t>
      </w:r>
      <w:r>
        <w:rPr>
          <w:rFonts w:ascii="Arial Narrow" w:hAnsi="Arial Narrow" w:cs="Arial Narrow"/>
          <w:sz w:val="22"/>
          <w:szCs w:val="22"/>
        </w:rPr>
        <w:t>ctve, pričom sa uvádzajú:</w:t>
      </w:r>
    </w:p>
    <w:p w:rsidR="00FD4A50" w:rsidRDefault="00812FD0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</w:t>
      </w:r>
      <w:r>
        <w:rPr>
          <w:rFonts w:ascii="Arial Narrow" w:hAnsi="Arial Narrow" w:cs="Arial Narrow"/>
          <w:sz w:val="22"/>
          <w:szCs w:val="22"/>
        </w:rPr>
        <w:t xml:space="preserve">2 zákona o účtovníctve obchodné meno a sídlo dcérskych účtovných jednotiek:  </w:t>
      </w:r>
    </w:p>
    <w:p w:rsidR="00FD4A50" w:rsidRDefault="00FD4A50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757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FD4A50">
        <w:tblPrEx>
          <w:tblCellMar>
            <w:top w:w="0" w:type="dxa"/>
            <w:bottom w:w="0" w:type="dxa"/>
          </w:tblCellMar>
        </w:tblPrEx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812FD0">
            <w:pPr>
              <w:pStyle w:val="Standard"/>
              <w:snapToGrid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FD4A5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D4A50" w:rsidRDefault="00FD4A5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FD4A50" w:rsidRDefault="00FD4A50">
      <w:pPr>
        <w:pStyle w:val="Standard"/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FD4A50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D4A50" w:rsidRDefault="00FD4A50">
      <w:pPr>
        <w:pStyle w:val="Standard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D4A50" w:rsidRDefault="00812FD0">
      <w:pPr>
        <w:pStyle w:val="Standard"/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</w:t>
      </w:r>
      <w:r>
        <w:rPr>
          <w:rFonts w:ascii="Arial Narrow" w:hAnsi="Arial Narrow" w:cs="Arial Narrow"/>
          <w:bCs/>
          <w:sz w:val="22"/>
          <w:szCs w:val="22"/>
        </w:rPr>
        <w:t>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FD4A50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TopHeader"/>
              <w:snapToGrid w:val="0"/>
            </w:pPr>
            <w:r>
              <w:t>Orgány účtovne</w:t>
            </w:r>
            <w:r>
              <w:t>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numPr>
                <w:ilvl w:val="0"/>
                <w:numId w:val="19"/>
              </w:numPr>
              <w:snapToGrid w:val="0"/>
              <w:ind w:left="720" w:hanging="360"/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numPr>
                <w:ilvl w:val="0"/>
                <w:numId w:val="11"/>
              </w:numPr>
              <w:snapToGrid w:val="0"/>
              <w:ind w:left="720" w:hanging="36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numPr>
                <w:ilvl w:val="0"/>
                <w:numId w:val="11"/>
              </w:numPr>
              <w:snapToGrid w:val="0"/>
              <w:ind w:left="720" w:hanging="36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D4A50" w:rsidRDefault="00FD4A50">
      <w:pPr>
        <w:pStyle w:val="Standard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D4A50" w:rsidRDefault="00FD4A50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PRIJATÝCH POSTUPOCH</w:t>
      </w:r>
    </w:p>
    <w:p w:rsidR="00FD4A50" w:rsidRDefault="00FD4A50">
      <w:pPr>
        <w:pStyle w:val="Standard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A50" w:rsidRDefault="00812FD0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</w:t>
      </w:r>
      <w:r>
        <w:rPr>
          <w:rFonts w:ascii="Arial Narrow" w:hAnsi="Arial Narrow" w:cs="Arial Narrow"/>
          <w:sz w:val="22"/>
          <w:szCs w:val="22"/>
        </w:rPr>
        <w:t>o predpoklad nebol splnený, uvedie sa aj dopad do účtovnej závierky (napr. zrušenie dlhodobých rezerv):</w:t>
      </w:r>
    </w:p>
    <w:p w:rsidR="00FD4A50" w:rsidRDefault="00812FD0">
      <w:pPr>
        <w:pStyle w:val="Standard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FD4A50" w:rsidRDefault="00FD4A50">
      <w:pPr>
        <w:pStyle w:val="Standard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posúdenie majetku, záväzkov, finančnej situácie a výsledku hospodá</w:t>
      </w:r>
      <w:r>
        <w:rPr>
          <w:rFonts w:ascii="Arial Narrow" w:hAnsi="Arial Narrow" w:cs="Arial Narrow"/>
          <w:sz w:val="22"/>
          <w:szCs w:val="22"/>
        </w:rPr>
        <w:t xml:space="preserve">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</w:t>
      </w:r>
      <w:r>
        <w:rPr>
          <w:rFonts w:ascii="Arial Narrow" w:hAnsi="Arial Narrow" w:cs="Arial Narrow"/>
          <w:sz w:val="22"/>
          <w:szCs w:val="22"/>
        </w:rPr>
        <w:t>ierky porovnateľné, uvádza sa vysvetlenie v neporovnateľných hodnotách:</w:t>
      </w:r>
    </w:p>
    <w:p w:rsidR="00FD4A50" w:rsidRDefault="00FD4A50">
      <w:pPr>
        <w:pStyle w:val="Standard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</w:t>
      </w:r>
      <w:r>
        <w:rPr>
          <w:rFonts w:ascii="Arial Narrow" w:hAnsi="Arial Narrow" w:cs="Arial Narrow"/>
          <w:sz w:val="22"/>
          <w:szCs w:val="22"/>
        </w:rPr>
        <w:t>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</w:t>
      </w:r>
      <w:r>
        <w:rPr>
          <w:rFonts w:ascii="Arial Narrow" w:hAnsi="Arial Narrow" w:cs="Arial Narrow"/>
          <w:sz w:val="22"/>
          <w:szCs w:val="22"/>
        </w:rPr>
        <w:t xml:space="preserve">pad legislatívy, celkový pokles v hospodárskom segmente):    </w:t>
      </w:r>
    </w:p>
    <w:p w:rsidR="00FD4A50" w:rsidRDefault="00FD4A50">
      <w:pPr>
        <w:pStyle w:val="Standard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FD4A50" w:rsidRDefault="00812FD0">
      <w:pPr>
        <w:pStyle w:val="Standard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FD4A50" w:rsidRDefault="00FD4A50">
      <w:pPr>
        <w:pStyle w:val="Textbody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16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Dlhodobý finančný majetok: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Časové rozlíšenie na strane pasív 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 a záväzky zabezpečené derivátmi: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Splatná daň z príjmov a 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Textbody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</w:t>
      </w:r>
    </w:p>
    <w:p w:rsidR="00FD4A50" w:rsidRDefault="00812FD0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Záväzky účtovná jednotka ocenila menovito</w:t>
      </w:r>
      <w:r>
        <w:rPr>
          <w:rFonts w:ascii="Arial Narrow" w:hAnsi="Arial Narrow" w:cs="Arial Narrow"/>
          <w:sz w:val="22"/>
          <w:szCs w:val="22"/>
        </w:rPr>
        <w:t>u hodnotou záväzkov. Rezervy účtovná jednotka ocenila odborným odhadom budúcej menovitej hodnoty potrebnej na ich úhradu.</w:t>
      </w:r>
    </w:p>
    <w:p w:rsidR="00FD4A50" w:rsidRDefault="00812FD0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FD4A50" w:rsidRDefault="00812FD0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</w:t>
      </w:r>
      <w:r>
        <w:rPr>
          <w:rFonts w:ascii="Arial Narrow" w:hAnsi="Arial Narrow" w:cs="Arial Narrow"/>
          <w:sz w:val="22"/>
          <w:szCs w:val="22"/>
        </w:rPr>
        <w:t xml:space="preserve">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FD4A50" w:rsidRDefault="00812FD0">
      <w:pPr>
        <w:pStyle w:val="Standard"/>
        <w:spacing w:after="120"/>
        <w:jc w:val="both"/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>:</w:t>
      </w:r>
    </w:p>
    <w:p w:rsidR="00FD4A50" w:rsidRDefault="00812FD0">
      <w:pPr>
        <w:pStyle w:val="Standard"/>
        <w:numPr>
          <w:ilvl w:val="0"/>
          <w:numId w:val="20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FD4A50" w:rsidRDefault="00812FD0">
      <w:pPr>
        <w:pStyle w:val="Standard"/>
        <w:numPr>
          <w:ilvl w:val="0"/>
          <w:numId w:val="6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FD4A50" w:rsidRDefault="00812FD0">
      <w:pPr>
        <w:pStyle w:val="Standard"/>
        <w:numPr>
          <w:ilvl w:val="0"/>
          <w:numId w:val="6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</w:t>
      </w:r>
      <w:r>
        <w:rPr>
          <w:rFonts w:ascii="Arial Narrow" w:hAnsi="Arial Narrow" w:cs="Arial Narrow"/>
          <w:sz w:val="22"/>
          <w:szCs w:val="22"/>
          <w:u w:val="single"/>
        </w:rPr>
        <w:t>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FD4A50" w:rsidRDefault="00812FD0">
      <w:pPr>
        <w:pStyle w:val="Standard"/>
        <w:numPr>
          <w:ilvl w:val="0"/>
          <w:numId w:val="6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FD4A50" w:rsidRDefault="00812FD0">
      <w:pPr>
        <w:pStyle w:val="Standard"/>
        <w:numPr>
          <w:ilvl w:val="0"/>
          <w:numId w:val="6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</w:t>
      </w:r>
      <w:r>
        <w:rPr>
          <w:rFonts w:ascii="Arial Narrow" w:hAnsi="Arial Narrow" w:cs="Arial Narrow"/>
          <w:sz w:val="22"/>
          <w:szCs w:val="22"/>
        </w:rPr>
        <w:t>bo nemala k tomu vecnú náplň.</w:t>
      </w:r>
    </w:p>
    <w:p w:rsidR="00FD4A50" w:rsidRDefault="00812FD0">
      <w:pPr>
        <w:pStyle w:val="Standard"/>
        <w:numPr>
          <w:ilvl w:val="0"/>
          <w:numId w:val="6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FD4A50" w:rsidRDefault="00812FD0">
      <w:pPr>
        <w:pStyle w:val="Standard"/>
        <w:numPr>
          <w:ilvl w:val="0"/>
          <w:numId w:val="6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FD4A50" w:rsidRDefault="00812FD0">
      <w:pPr>
        <w:pStyle w:val="Standard"/>
        <w:numPr>
          <w:ilvl w:val="0"/>
          <w:numId w:val="6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</w:p>
    <w:p w:rsidR="00FD4A50" w:rsidRDefault="00812FD0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</w:t>
      </w:r>
      <w:r>
        <w:rPr>
          <w:rFonts w:ascii="Arial Narrow" w:hAnsi="Arial Narrow" w:cs="Arial Narrow"/>
          <w:sz w:val="22"/>
          <w:szCs w:val="22"/>
        </w:rPr>
        <w:t xml:space="preserve">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FD4A50" w:rsidRDefault="00FD4A50">
      <w:pPr>
        <w:pStyle w:val="Standard"/>
      </w:pPr>
    </w:p>
    <w:p w:rsidR="00FD4A50" w:rsidRDefault="00812FD0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16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FD4A50">
        <w:tblPrEx>
          <w:tblCellMar>
            <w:top w:w="0" w:type="dxa"/>
            <w:bottom w:w="0" w:type="dxa"/>
          </w:tblCellMar>
        </w:tblPrEx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FD4A50" w:rsidRDefault="00812FD0">
            <w:pPr>
              <w:pStyle w:val="Standard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FD4A50" w:rsidRDefault="00812FD0">
            <w:pPr>
              <w:pStyle w:val="Standard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FD4A50" w:rsidRDefault="00812FD0">
            <w:pPr>
              <w:pStyle w:val="Standard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odpisová sadzba</w:t>
            </w:r>
          </w:p>
          <w:p w:rsidR="00FD4A50" w:rsidRDefault="00812FD0">
            <w:pPr>
              <w:pStyle w:val="Standard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0,2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Samostatné hnuteľné veci a súbory vecí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FD4A50" w:rsidRDefault="00812FD0">
      <w:pPr>
        <w:pStyle w:val="Standard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FD4A50" w:rsidRDefault="00812FD0">
      <w:pPr>
        <w:pStyle w:val="Standard"/>
        <w:spacing w:after="120"/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>:</w:t>
      </w:r>
    </w:p>
    <w:p w:rsidR="00FD4A50" w:rsidRDefault="00812FD0">
      <w:pPr>
        <w:pStyle w:val="Standard"/>
        <w:numPr>
          <w:ilvl w:val="0"/>
          <w:numId w:val="21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</w:t>
      </w:r>
      <w:r>
        <w:rPr>
          <w:rFonts w:ascii="Arial Narrow" w:hAnsi="Arial Narrow" w:cs="Arial"/>
          <w:sz w:val="22"/>
          <w:szCs w:val="22"/>
          <w:u w:val="single"/>
        </w:rPr>
        <w:t xml:space="preserve">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FD4A50" w:rsidRDefault="00812FD0">
      <w:pPr>
        <w:pStyle w:val="Standard"/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Mančík (taktiež daňové odpisy podľa zákona o dani z príjmov).</w:t>
      </w:r>
    </w:p>
    <w:p w:rsidR="00FD4A50" w:rsidRDefault="00812FD0">
      <w:pPr>
        <w:pStyle w:val="Standard"/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>UJ odpisuje jednotlivé veci alebo rele</w:t>
      </w:r>
      <w:r>
        <w:rPr>
          <w:rFonts w:ascii="Arial Narrow" w:hAnsi="Arial Narrow" w:cs="Arial"/>
          <w:sz w:val="22"/>
          <w:szCs w:val="22"/>
        </w:rPr>
        <w:t xml:space="preserve">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FD4A50" w:rsidRDefault="00812FD0">
      <w:pPr>
        <w:pStyle w:val="Standard"/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</w:t>
      </w:r>
      <w:r>
        <w:rPr>
          <w:rFonts w:ascii="Arial Narrow" w:hAnsi="Arial Narrow" w:cs="Arial Narrow"/>
          <w:sz w:val="22"/>
          <w:szCs w:val="22"/>
        </w:rPr>
        <w:t>etku (§ 21/5 PU).</w:t>
      </w:r>
    </w:p>
    <w:p w:rsidR="00FD4A50" w:rsidRDefault="00812FD0">
      <w:pPr>
        <w:pStyle w:val="Standard"/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FD4A50" w:rsidRDefault="00812FD0">
      <w:pPr>
        <w:pStyle w:val="Standard"/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</w:t>
      </w:r>
      <w:r>
        <w:rPr>
          <w:rFonts w:ascii="Arial Narrow" w:hAnsi="Arial Narrow"/>
          <w:sz w:val="22"/>
          <w:szCs w:val="22"/>
        </w:rPr>
        <w:t>ej ceny so životnosťou nad jeden rok (§ 13/6 PU).</w:t>
      </w:r>
    </w:p>
    <w:p w:rsidR="00FD4A50" w:rsidRDefault="00812FD0">
      <w:pPr>
        <w:pStyle w:val="Standard"/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FD4A50" w:rsidRDefault="00812FD0">
      <w:pPr>
        <w:pStyle w:val="Standard"/>
        <w:numPr>
          <w:ilvl w:val="0"/>
          <w:numId w:val="4"/>
        </w:numPr>
        <w:spacing w:after="120"/>
        <w:ind w:left="360" w:hanging="360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</w:t>
      </w:r>
      <w:r>
        <w:rPr>
          <w:rFonts w:ascii="Arial Narrow" w:hAnsi="Arial Narrow" w:cs="Arial Narrow"/>
          <w:sz w:val="22"/>
          <w:szCs w:val="22"/>
          <w:u w:val="single"/>
        </w:rPr>
        <w:t>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FD4A50" w:rsidRDefault="00FD4A50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ch ocenenie:</w:t>
      </w:r>
    </w:p>
    <w:p w:rsidR="00FD4A50" w:rsidRDefault="00FD4A5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D4A50" w:rsidRDefault="00812FD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ia bežného účtovného obdobia:</w:t>
      </w:r>
    </w:p>
    <w:tbl>
      <w:tblPr>
        <w:tblW w:w="9611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FD4A50">
        <w:tblPrEx>
          <w:tblCellMar>
            <w:top w:w="0" w:type="dxa"/>
            <w:bottom w:w="0" w:type="dxa"/>
          </w:tblCellMar>
        </w:tblPrEx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D4A50">
        <w:tblPrEx>
          <w:tblCellMar>
            <w:top w:w="0" w:type="dxa"/>
            <w:bottom w:w="0" w:type="dxa"/>
          </w:tblCellMar>
        </w:tblPrEx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FD4A50" w:rsidRDefault="00FD4A50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D4A50" w:rsidRDefault="00812FD0">
      <w:pPr>
        <w:pStyle w:val="Standard"/>
        <w:numPr>
          <w:ilvl w:val="0"/>
          <w:numId w:val="2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</w:t>
      </w:r>
      <w:r>
        <w:rPr>
          <w:rFonts w:ascii="Arial Narrow" w:hAnsi="Arial Narrow" w:cs="Arial Narrow"/>
          <w:sz w:val="22"/>
          <w:szCs w:val="22"/>
        </w:rPr>
        <w:t xml:space="preserve"> účtovné knihy minulých účtovných období a prípadné opravy sa vykonajú v bežnom účtovnom období (§ 16/10,11 ZoU).</w:t>
      </w:r>
    </w:p>
    <w:p w:rsidR="00FD4A50" w:rsidRDefault="00812FD0">
      <w:pPr>
        <w:pStyle w:val="Standard"/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Opravy nevýznamných nákladov a nevýznamných výnosov minulých účtovných období sa účtujú ako výsledkové účtovné prípady bežného účtovného obdob</w:t>
      </w:r>
      <w:r>
        <w:rPr>
          <w:rFonts w:ascii="Arial Narrow" w:hAnsi="Arial Narrow" w:cs="Arial Narrow"/>
          <w:sz w:val="22"/>
          <w:szCs w:val="22"/>
        </w:rPr>
        <w:t xml:space="preserve">ia (§ 5/1 PU).  </w:t>
      </w:r>
    </w:p>
    <w:p w:rsidR="00FD4A50" w:rsidRDefault="00812FD0">
      <w:pPr>
        <w:pStyle w:val="Standard"/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Významné opravy chýb minulých účtovných období sa účtujú (§ 59/13 PU) - voči minulým výsledkom hospodárenia (voči vlastnému imaniu na účet 428 alebo 429).</w:t>
      </w:r>
    </w:p>
    <w:p w:rsidR="00FD4A50" w:rsidRDefault="00812FD0">
      <w:pPr>
        <w:pStyle w:val="Standard"/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Hranicu významnosti si UJ stanoví individuálne v internej účtovnej smernici (napr. </w:t>
      </w:r>
      <w:r>
        <w:rPr>
          <w:rFonts w:ascii="Arial Narrow" w:hAnsi="Arial Narrow" w:cs="Arial Narrow"/>
          <w:sz w:val="22"/>
          <w:szCs w:val="22"/>
        </w:rPr>
        <w:t>1 tisícina z brutto aktív).</w:t>
      </w:r>
    </w:p>
    <w:p w:rsidR="00FD4A50" w:rsidRDefault="00812FD0">
      <w:pPr>
        <w:pStyle w:val="Standard"/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FD4A50" w:rsidRDefault="00812FD0">
      <w:pPr>
        <w:pStyle w:val="Standard"/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Opravy chýb minulých účtovných období sa daňovo</w:t>
      </w:r>
      <w:r>
        <w:rPr>
          <w:rFonts w:ascii="Arial Narrow" w:hAnsi="Arial Narrow" w:cs="Arial Narrow"/>
          <w:sz w:val="22"/>
          <w:szCs w:val="22"/>
        </w:rPr>
        <w:t xml:space="preserve"> vysporiadajú podľa pravidiel v zákone o dani z príjmov (§ 17/15,29 ZDP) a pravidiel v daňovom poriadku (§ 16).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FD4A50" w:rsidRDefault="00FD4A50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goodwill alebo </w:t>
      </w:r>
      <w:r>
        <w:rPr>
          <w:rFonts w:ascii="Arial Narrow" w:hAnsi="Arial Narrow" w:cs="Arial Narrow"/>
          <w:sz w:val="22"/>
          <w:szCs w:val="22"/>
          <w:u w:val="single"/>
        </w:rPr>
        <w:t>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</w:t>
      </w:r>
      <w:r>
        <w:rPr>
          <w:rFonts w:ascii="Arial Narrow" w:hAnsi="Arial Narrow" w:cs="Arial Narrow"/>
          <w:sz w:val="22"/>
          <w:szCs w:val="22"/>
        </w:rPr>
        <w:t>nikových kombinácií spravidla odpisuje najdlhšie počas 7 rokov podľa pravidiel v zákone o dani z príjmov (§ 17/11; § 17a - 17e ZDP)]</w:t>
      </w:r>
    </w:p>
    <w:p w:rsidR="00FD4A50" w:rsidRDefault="00FD4A50">
      <w:pPr>
        <w:pStyle w:val="Standard"/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FD4A50" w:rsidRDefault="00812FD0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</w:p>
    <w:p w:rsidR="00FD4A50" w:rsidRDefault="00FD4A50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Pritom sa uvádza </w:t>
      </w:r>
      <w:r>
        <w:rPr>
          <w:rFonts w:ascii="Arial Narrow" w:hAnsi="Arial Narrow" w:cs="Arial Narrow"/>
          <w:sz w:val="22"/>
          <w:szCs w:val="22"/>
        </w:rPr>
        <w:t>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</w:t>
      </w:r>
      <w:r>
        <w:rPr>
          <w:rFonts w:ascii="Arial Narrow" w:hAnsi="Arial Narrow" w:cs="Arial Narrow"/>
          <w:sz w:val="22"/>
          <w:szCs w:val="22"/>
        </w:rPr>
        <w:t>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9615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FD4A50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812FD0">
            <w:pPr>
              <w:pStyle w:val="Standard"/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4A50" w:rsidRDefault="00FD4A50">
            <w:pPr>
              <w:pStyle w:val="Standard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FD4A50" w:rsidRDefault="00812FD0">
      <w:pPr>
        <w:pStyle w:val="Standard"/>
        <w:spacing w:before="120" w:after="120"/>
        <w:ind w:right="-471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FD4A50" w:rsidRDefault="00812FD0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FD4A50" w:rsidRDefault="00FD4A50">
      <w:pPr>
        <w:pStyle w:val="Standard"/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2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FD4A50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TopHeader"/>
              <w:snapToGrid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FD4A50" w:rsidRDefault="00812FD0">
      <w:pPr>
        <w:pStyle w:val="Standard"/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Zostatková doba </w:t>
      </w:r>
      <w:r>
        <w:rPr>
          <w:rFonts w:ascii="Arial Narrow" w:hAnsi="Arial Narrow" w:cs="Arial Narrow"/>
          <w:sz w:val="22"/>
          <w:szCs w:val="22"/>
        </w:rPr>
        <w:t>splatnosti záväzku alebo jeho časti – je rozdiel medzi dohodnutou dobou splatnosti záväzkov a závierkovým dňom (§ 12 PU).]</w:t>
      </w:r>
    </w:p>
    <w:p w:rsidR="00FD4A50" w:rsidRDefault="00FD4A50">
      <w:pPr>
        <w:pStyle w:val="Standard"/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</w:t>
      </w:r>
    </w:p>
    <w:tbl>
      <w:tblPr>
        <w:tblW w:w="964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FD4A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D4A50" w:rsidRDefault="00812FD0">
            <w:pPr>
              <w:pStyle w:val="TopHeader"/>
              <w:snapToGrid w:val="0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D4A50" w:rsidRDefault="00812FD0">
            <w:pPr>
              <w:pStyle w:val="TopHeader"/>
              <w:snapToGrid w:val="0"/>
            </w:pPr>
            <w:r>
              <w:t>Bežné účtovné obdobie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000000" w:rsidRDefault="00812FD0"/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D4A50" w:rsidRDefault="00812FD0">
            <w:pPr>
              <w:pStyle w:val="TopHeader"/>
              <w:snapToGrid w:val="0"/>
            </w:pPr>
            <w:r>
              <w:t>Spôsob</w:t>
            </w:r>
          </w:p>
          <w:p w:rsidR="00FD4A50" w:rsidRDefault="00812FD0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D4A50" w:rsidRDefault="00812FD0">
            <w:pPr>
              <w:pStyle w:val="TopHeader"/>
              <w:snapToGrid w:val="0"/>
            </w:pPr>
            <w:r>
              <w:t>Hodnota záväzkov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FD4A50" w:rsidRDefault="00FD4A50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</w:t>
      </w:r>
    </w:p>
    <w:p w:rsidR="00FD4A50" w:rsidRDefault="00812FD0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dôvod nadobudnutia vlastných akcií počas účtovného </w:t>
      </w:r>
      <w:r>
        <w:rPr>
          <w:rFonts w:ascii="Arial Narrow" w:hAnsi="Arial Narrow" w:cs="Arial Narrow"/>
          <w:sz w:val="22"/>
          <w:szCs w:val="22"/>
        </w:rPr>
        <w:t>obdobia:</w:t>
      </w:r>
    </w:p>
    <w:p w:rsidR="00FD4A50" w:rsidRDefault="00812FD0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</w:t>
      </w:r>
      <w:r>
        <w:rPr>
          <w:rFonts w:ascii="Arial Narrow" w:hAnsi="Arial Narrow" w:cs="Arial Narrow"/>
          <w:sz w:val="22"/>
          <w:szCs w:val="22"/>
        </w:rPr>
        <w:t>maní:</w:t>
      </w:r>
    </w:p>
    <w:p w:rsidR="00FD4A50" w:rsidRDefault="00812FD0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FD4A50" w:rsidRDefault="00812FD0">
      <w:pPr>
        <w:pStyle w:val="Standard"/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počet, menovitá hodnota a protihodnota, za ktorú sa vlastné </w:t>
      </w:r>
      <w:r>
        <w:rPr>
          <w:rFonts w:ascii="Arial Narrow" w:hAnsi="Arial Narrow" w:cs="Arial Narrow"/>
          <w:sz w:val="22"/>
          <w:szCs w:val="22"/>
        </w:rPr>
        <w:t>akcie nadobudli a ktoré účtovná jednotka má v držbe k poslednému dňu účtovného obdobia; uvádza sa aj ich percentuálny podiel na upísanom základnom imaní:</w:t>
      </w:r>
    </w:p>
    <w:p w:rsidR="00FD4A50" w:rsidRDefault="00FD4A50">
      <w:pPr>
        <w:pStyle w:val="Standard"/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FD4A50" w:rsidRDefault="00812FD0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FD4A50" w:rsidRDefault="00FD4A50">
      <w:pPr>
        <w:pStyle w:val="Standard"/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FD4A50" w:rsidRDefault="00812FD0">
      <w:pPr>
        <w:pStyle w:val="Standard"/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FD4A50" w:rsidRDefault="00812FD0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</w:t>
      </w:r>
      <w:r>
        <w:rPr>
          <w:rFonts w:ascii="Arial Narrow" w:hAnsi="Arial Narrow" w:cs="Arial Narrow"/>
          <w:sz w:val="22"/>
          <w:szCs w:val="22"/>
        </w:rPr>
        <w:t>dnota pravdepodobného majetku, ktorým sa rozumie možný majetok, ktorý vznikol v dôsledku minulých udalostí a ktorého existencia alebo vlastníctvo závisí od toho, či nastane alebo nenastane jeden alebo viac neistých udalostí v budúcnosti, ktorých vznik nezá</w:t>
      </w:r>
      <w:r>
        <w:rPr>
          <w:rFonts w:ascii="Arial Narrow" w:hAnsi="Arial Narrow" w:cs="Arial Narrow"/>
          <w:sz w:val="22"/>
          <w:szCs w:val="22"/>
        </w:rPr>
        <w:t>visí od účtovnej jednotky; týmto majetkom sú – napr. práva zo servisných zmlúv, poistných zmlúv, koncesionárskych zmlúv, licenčných zmlúv: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</w:t>
      </w:r>
      <w:r>
        <w:rPr>
          <w:rFonts w:ascii="Arial Narrow" w:hAnsi="Arial Narrow" w:cs="Arial Narrow"/>
          <w:sz w:val="22"/>
          <w:szCs w:val="22"/>
        </w:rPr>
        <w:t>ých záruk, zo všeobecne záväzných právnych predpisov, z ručenia podľa jednotlivých druhov ručenia; takými podmienenými záväzkami sú:</w:t>
      </w:r>
    </w:p>
    <w:p w:rsidR="00FD4A50" w:rsidRDefault="00812FD0">
      <w:pPr>
        <w:pStyle w:val="Standard"/>
        <w:numPr>
          <w:ilvl w:val="0"/>
          <w:numId w:val="2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možná povinnosť, ktorá vznikla ako dôsledok minulej udalosti a ktorej existencia závisí od toho, či nastane lebo nenastane </w:t>
      </w:r>
      <w:r>
        <w:rPr>
          <w:rFonts w:ascii="Arial Narrow" w:hAnsi="Arial Narrow" w:cs="Arial Narrow"/>
          <w:sz w:val="22"/>
          <w:szCs w:val="22"/>
        </w:rPr>
        <w:t>jedna alebo viac neistých udalostí v budúcnosti, ktorých vznik nezávisí od účtovnej jednotky:</w:t>
      </w:r>
    </w:p>
    <w:p w:rsidR="00FD4A50" w:rsidRDefault="00812FD0">
      <w:pPr>
        <w:pStyle w:val="Standard"/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</w:t>
      </w:r>
      <w:r>
        <w:rPr>
          <w:rFonts w:ascii="Arial Narrow" w:hAnsi="Arial Narrow" w:cs="Arial Narrow"/>
          <w:sz w:val="22"/>
          <w:szCs w:val="22"/>
        </w:rPr>
        <w:t>bný úbytok ekonomických úžitkov, alebo výška tejto povinnosti sa nedá spoľahlivo oceniť: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</w:t>
      </w:r>
      <w:r>
        <w:rPr>
          <w:rFonts w:ascii="Arial Narrow" w:hAnsi="Arial Narrow" w:cs="Arial Narrow"/>
          <w:sz w:val="22"/>
          <w:szCs w:val="22"/>
        </w:rPr>
        <w:t>očniť investície a veľké opravy: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961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FD4A50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TopHeader"/>
              <w:snapToGrid w:val="0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 xml:space="preserve">Prenajatý </w:t>
            </w:r>
            <w:r>
              <w:rPr>
                <w:rFonts w:ascii="Arial Narrow" w:hAnsi="Arial Narrow"/>
                <w:sz w:val="22"/>
                <w:szCs w:val="22"/>
              </w:rPr>
              <w:t>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D4A50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812FD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4A50" w:rsidRDefault="00FD4A50">
            <w:pPr>
              <w:pStyle w:val="Standard"/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FD4A50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D4A50" w:rsidRDefault="00812FD0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FD4A50" w:rsidRDefault="00812FD0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FD4A50" w:rsidRDefault="00FD4A50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D4A50" w:rsidRDefault="00812FD0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</w:t>
      </w:r>
      <w:r>
        <w:rPr>
          <w:rFonts w:ascii="Arial Narrow" w:hAnsi="Arial Narrow" w:cs="Arial Narrow"/>
          <w:sz w:val="22"/>
          <w:szCs w:val="22"/>
        </w:rPr>
        <w:t>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</w:t>
      </w:r>
      <w:r>
        <w:rPr>
          <w:rFonts w:ascii="Arial Narrow" w:hAnsi="Arial Narrow" w:cs="Arial Narrow"/>
          <w:sz w:val="22"/>
          <w:szCs w:val="22"/>
        </w:rPr>
        <w:t>d:</w:t>
      </w:r>
    </w:p>
    <w:p w:rsidR="00FD4A50" w:rsidRDefault="00812FD0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</w:t>
      </w:r>
      <w:r>
        <w:rPr>
          <w:rFonts w:ascii="Arial Narrow" w:hAnsi="Arial Narrow" w:cs="Arial Narrow"/>
          <w:sz w:val="22"/>
          <w:szCs w:val="22"/>
          <w:u w:val="single"/>
        </w:rPr>
        <w:t>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Zmena spoločníkov účtovnej jednotky: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Zmeny </w:t>
      </w:r>
      <w:r>
        <w:rPr>
          <w:rFonts w:ascii="Arial Narrow" w:hAnsi="Arial Narrow" w:cs="Arial Narrow"/>
          <w:sz w:val="22"/>
          <w:szCs w:val="22"/>
        </w:rPr>
        <w:t>významných položiek dlhodobého finančného majetku: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ukončenie činnosti časti účtovnej jednotky, napríklad odštepného závodu, organizačnej zložky, prevádzkarne: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Vydané dlhopisy a iné cenné papiere: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</w:t>
      </w:r>
      <w:r>
        <w:rPr>
          <w:rFonts w:ascii="Arial Narrow" w:hAnsi="Arial Narrow" w:cs="Arial Narrow"/>
          <w:sz w:val="22"/>
          <w:szCs w:val="22"/>
        </w:rPr>
        <w:t>a zmena právnej formy účtovnej jednotky: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udalosti, ak majú vplyv na hospodárenie účtovnej jednotky, napr. živelná pohroma: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FD4A50" w:rsidRDefault="00FD4A50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FD4A50" w:rsidRDefault="00812FD0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FD4A50" w:rsidRDefault="00FD4A50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D4A50" w:rsidRDefault="00FD4A50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D4A50" w:rsidRDefault="00812FD0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FD4A50" w:rsidRDefault="00FD4A50">
      <w:pPr>
        <w:pStyle w:val="Standard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A50" w:rsidRDefault="00812FD0">
      <w:pPr>
        <w:pStyle w:val="Standard"/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1) Informácie </w:t>
      </w:r>
      <w:r>
        <w:rPr>
          <w:rFonts w:ascii="Arial Narrow" w:hAnsi="Arial Narrow" w:cs="Arial Narrow"/>
          <w:bCs/>
          <w:sz w:val="22"/>
          <w:szCs w:val="22"/>
        </w:rPr>
        <w:t>o výlučnom práve poskytovať služby vo verejnom záujme:</w:t>
      </w:r>
    </w:p>
    <w:p w:rsidR="00FD4A50" w:rsidRDefault="00812FD0">
      <w:pPr>
        <w:pStyle w:val="Standard"/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FD4A50" w:rsidRDefault="00812FD0">
      <w:pPr>
        <w:pStyle w:val="Standard"/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FD4A50">
      <w:headerReference w:type="default" r:id="rId8"/>
      <w:footerReference w:type="default" r:id="rId9"/>
      <w:pgSz w:w="11905" w:h="16837"/>
      <w:pgMar w:top="1417" w:right="992" w:bottom="1417" w:left="1417" w:header="567" w:footer="56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12FD0">
      <w:r>
        <w:separator/>
      </w:r>
    </w:p>
  </w:endnote>
  <w:endnote w:type="continuationSeparator" w:id="0">
    <w:p w:rsidR="00000000" w:rsidRDefault="00812F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0E93" w:rsidRDefault="00812FD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</w:p>
  <w:p w:rsidR="00050E93" w:rsidRDefault="00812FD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12FD0">
      <w:r>
        <w:rPr>
          <w:color w:val="000000"/>
        </w:rPr>
        <w:separator/>
      </w:r>
    </w:p>
  </w:footnote>
  <w:footnote w:type="continuationSeparator" w:id="0">
    <w:p w:rsidR="00000000" w:rsidRDefault="00812F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0E93" w:rsidRDefault="00812FD0">
    <w:pPr>
      <w:pStyle w:val="Textbody"/>
      <w:tabs>
        <w:tab w:val="left" w:pos="2593"/>
        <w:tab w:val="left" w:pos="5951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50 298 160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 20 265 114</w:t>
    </w:r>
  </w:p>
  <w:p w:rsidR="00050E93" w:rsidRDefault="00812F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A0294"/>
    <w:multiLevelType w:val="multilevel"/>
    <w:tmpl w:val="2ECCB894"/>
    <w:styleLink w:val="WW8Num3"/>
    <w:lvl w:ilvl="0">
      <w:numFmt w:val="bullet"/>
      <w:lvlText w:val=""/>
      <w:lvlJc w:val="left"/>
      <w:rPr>
        <w:rFonts w:ascii="Wingdings" w:hAnsi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">
    <w:nsid w:val="01D16AE3"/>
    <w:multiLevelType w:val="multilevel"/>
    <w:tmpl w:val="A96C1138"/>
    <w:styleLink w:val="WW8Num16"/>
    <w:lvl w:ilvl="0">
      <w:numFmt w:val="bullet"/>
      <w:lvlText w:val=""/>
      <w:lvlJc w:val="left"/>
      <w:rPr>
        <w:rFonts w:ascii="Wingdings" w:hAnsi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2">
    <w:nsid w:val="150B6F20"/>
    <w:multiLevelType w:val="multilevel"/>
    <w:tmpl w:val="EE7CCDF4"/>
    <w:styleLink w:val="WW8Num6"/>
    <w:lvl w:ilvl="0">
      <w:numFmt w:val="bullet"/>
      <w:lvlText w:val=""/>
      <w:lvlJc w:val="left"/>
      <w:rPr>
        <w:rFonts w:ascii="Wingdings" w:hAnsi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3">
    <w:nsid w:val="2D2B11A0"/>
    <w:multiLevelType w:val="multilevel"/>
    <w:tmpl w:val="CD561482"/>
    <w:styleLink w:val="WW8Num15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>
    <w:nsid w:val="344624A2"/>
    <w:multiLevelType w:val="multilevel"/>
    <w:tmpl w:val="4462E598"/>
    <w:styleLink w:val="WW8Num12"/>
    <w:lvl w:ilvl="0">
      <w:start w:val="1"/>
      <w:numFmt w:val="decimal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vanish w:val="0"/>
        <w:color w:val="000000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(%7)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>
    <w:nsid w:val="370B64F9"/>
    <w:multiLevelType w:val="multilevel"/>
    <w:tmpl w:val="C7C42162"/>
    <w:styleLink w:val="WW8Num5"/>
    <w:lvl w:ilvl="0">
      <w:numFmt w:val="bullet"/>
      <w:lvlText w:val=""/>
      <w:lvlJc w:val="left"/>
      <w:rPr>
        <w:rFonts w:ascii="Wingdings" w:hAnsi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6">
    <w:nsid w:val="467C54CE"/>
    <w:multiLevelType w:val="multilevel"/>
    <w:tmpl w:val="384E8FE2"/>
    <w:styleLink w:val="WW8Num11"/>
    <w:lvl w:ilvl="0">
      <w:numFmt w:val="bullet"/>
      <w:lvlText w:val=""/>
      <w:lvlJc w:val="left"/>
      <w:rPr>
        <w:rFonts w:ascii="Wingdings" w:hAnsi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7">
    <w:nsid w:val="472F0BBB"/>
    <w:multiLevelType w:val="multilevel"/>
    <w:tmpl w:val="47141936"/>
    <w:styleLink w:val="WW8Num4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>
    <w:nsid w:val="4B7F00B2"/>
    <w:multiLevelType w:val="multilevel"/>
    <w:tmpl w:val="B144E9C0"/>
    <w:styleLink w:val="WW8Num9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9">
    <w:nsid w:val="4BF40936"/>
    <w:multiLevelType w:val="multilevel"/>
    <w:tmpl w:val="36FE2B4C"/>
    <w:styleLink w:val="WW8Num14"/>
    <w:lvl w:ilvl="0">
      <w:numFmt w:val="bullet"/>
      <w:lvlText w:val=""/>
      <w:lvlJc w:val="left"/>
      <w:rPr>
        <w:rFonts w:ascii="Wingdings" w:hAnsi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0">
    <w:nsid w:val="53680633"/>
    <w:multiLevelType w:val="multilevel"/>
    <w:tmpl w:val="EE6C6A68"/>
    <w:styleLink w:val="WW8Num13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1">
    <w:nsid w:val="64473FCB"/>
    <w:multiLevelType w:val="multilevel"/>
    <w:tmpl w:val="0A1AF5D0"/>
    <w:styleLink w:val="WW8Num7"/>
    <w:lvl w:ilvl="0">
      <w:numFmt w:val="bullet"/>
      <w:lvlText w:val=""/>
      <w:lvlJc w:val="left"/>
      <w:rPr>
        <w:rFonts w:ascii="Wingdings" w:hAnsi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2">
    <w:nsid w:val="6DD96E76"/>
    <w:multiLevelType w:val="multilevel"/>
    <w:tmpl w:val="E61A0E1C"/>
    <w:styleLink w:val="WW8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3">
    <w:nsid w:val="70C45147"/>
    <w:multiLevelType w:val="multilevel"/>
    <w:tmpl w:val="B0EE0CF2"/>
    <w:styleLink w:val="WW8Num1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4">
    <w:nsid w:val="730F6116"/>
    <w:multiLevelType w:val="multilevel"/>
    <w:tmpl w:val="A61C0C44"/>
    <w:styleLink w:val="WW8Num2"/>
    <w:lvl w:ilvl="0">
      <w:numFmt w:val="bullet"/>
      <w:lvlText w:val=""/>
      <w:lvlJc w:val="left"/>
      <w:rPr>
        <w:rFonts w:ascii="Wingdings" w:hAnsi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5">
    <w:nsid w:val="75807E9E"/>
    <w:multiLevelType w:val="multilevel"/>
    <w:tmpl w:val="8794A266"/>
    <w:styleLink w:val="WW8Num17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6">
    <w:nsid w:val="7B233D0F"/>
    <w:multiLevelType w:val="multilevel"/>
    <w:tmpl w:val="486E12FC"/>
    <w:styleLink w:val="WW8Num10"/>
    <w:lvl w:ilvl="0">
      <w:numFmt w:val="bullet"/>
      <w:lvlText w:val="-"/>
      <w:lvlJc w:val="left"/>
      <w:rPr>
        <w:rFonts w:ascii="Arial Narrow" w:eastAsia="Times New Roman" w:hAnsi="Arial Narrow" w:cs="Arial Narrow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7">
    <w:nsid w:val="7CD54E94"/>
    <w:multiLevelType w:val="multilevel"/>
    <w:tmpl w:val="7D70AEEA"/>
    <w:styleLink w:val="WWOutlineListStyle"/>
    <w:lvl w:ilvl="0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vanish w:val="0"/>
        <w:color w:val="000000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(%7)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17"/>
  </w:num>
  <w:num w:numId="2">
    <w:abstractNumId w:val="13"/>
  </w:num>
  <w:num w:numId="3">
    <w:abstractNumId w:val="14"/>
  </w:num>
  <w:num w:numId="4">
    <w:abstractNumId w:val="0"/>
  </w:num>
  <w:num w:numId="5">
    <w:abstractNumId w:val="7"/>
  </w:num>
  <w:num w:numId="6">
    <w:abstractNumId w:val="5"/>
  </w:num>
  <w:num w:numId="7">
    <w:abstractNumId w:val="2"/>
  </w:num>
  <w:num w:numId="8">
    <w:abstractNumId w:val="11"/>
  </w:num>
  <w:num w:numId="9">
    <w:abstractNumId w:val="12"/>
  </w:num>
  <w:num w:numId="10">
    <w:abstractNumId w:val="8"/>
  </w:num>
  <w:num w:numId="11">
    <w:abstractNumId w:val="16"/>
  </w:num>
  <w:num w:numId="12">
    <w:abstractNumId w:val="6"/>
  </w:num>
  <w:num w:numId="13">
    <w:abstractNumId w:val="4"/>
  </w:num>
  <w:num w:numId="14">
    <w:abstractNumId w:val="10"/>
  </w:num>
  <w:num w:numId="15">
    <w:abstractNumId w:val="9"/>
  </w:num>
  <w:num w:numId="16">
    <w:abstractNumId w:val="3"/>
  </w:num>
  <w:num w:numId="17">
    <w:abstractNumId w:val="1"/>
  </w:num>
  <w:num w:numId="18">
    <w:abstractNumId w:val="15"/>
  </w:num>
  <w:num w:numId="19">
    <w:abstractNumId w:val="16"/>
    <w:lvlOverride w:ilvl="0"/>
  </w:num>
  <w:num w:numId="20">
    <w:abstractNumId w:val="5"/>
    <w:lvlOverride w:ilvl="0"/>
  </w:num>
  <w:num w:numId="21">
    <w:abstractNumId w:val="0"/>
    <w:lvlOverride w:ilvl="0"/>
  </w:num>
  <w:num w:numId="22">
    <w:abstractNumId w:val="11"/>
    <w:lvlOverride w:ilvl="0"/>
  </w:num>
  <w:num w:numId="23">
    <w:abstractNumId w:val="1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FD4A50"/>
    <w:rsid w:val="00812FD0"/>
    <w:rsid w:val="00FD4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ahoma"/>
        <w:kern w:val="3"/>
        <w:sz w:val="24"/>
        <w:szCs w:val="24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Nadpis2"/>
    <w:pPr>
      <w:keepNext/>
      <w:numPr>
        <w:numId w:val="1"/>
      </w:numPr>
      <w:tabs>
        <w:tab w:val="left" w:pos="9720"/>
      </w:tabs>
      <w:spacing w:before="240" w:after="60"/>
      <w:ind w:left="4500" w:firstLine="360"/>
      <w:jc w:val="center"/>
      <w:outlineLvl w:val="0"/>
    </w:pPr>
    <w:rPr>
      <w:b/>
      <w:bCs/>
    </w:rPr>
  </w:style>
  <w:style w:type="paragraph" w:styleId="Nadpis2">
    <w:name w:val="heading 2"/>
    <w:basedOn w:val="Standard"/>
    <w:next w:val="Standard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">
    <w:name w:val="WW_OutlineListStyle"/>
    <w:basedOn w:val="Bezzoznamu"/>
    <w:pPr>
      <w:numPr>
        <w:numId w:val="1"/>
      </w:numPr>
    </w:pPr>
  </w:style>
  <w:style w:type="paragraph" w:customStyle="1" w:styleId="Standard">
    <w:name w:val="Standard"/>
    <w:pPr>
      <w:widowControl/>
    </w:pPr>
    <w:rPr>
      <w:rFonts w:eastAsia="Times New Roman" w:cs="Times New Roman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Textbody">
    <w:name w:val="Text body"/>
    <w:basedOn w:val="Standard"/>
    <w:pPr>
      <w:widowControl w:val="0"/>
      <w:ind w:left="668" w:hanging="567"/>
    </w:pPr>
    <w:rPr>
      <w:lang w:val="en-US"/>
    </w:r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oznam">
    <w:name w:val="List"/>
    <w:basedOn w:val="Textbody"/>
    <w:rPr>
      <w:rFonts w:cs="Tahoma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Zkladntext">
    <w:name w:val="Základní text"/>
    <w:pPr>
      <w:widowControl/>
      <w:spacing w:after="240"/>
      <w:jc w:val="both"/>
    </w:pPr>
    <w:rPr>
      <w:rFonts w:eastAsia="Arial" w:cs="Times New Roman"/>
      <w:color w:val="000000"/>
    </w:rPr>
  </w:style>
  <w:style w:type="paragraph" w:customStyle="1" w:styleId="Footnote">
    <w:name w:val="Footnote"/>
    <w:basedOn w:val="Standard"/>
    <w:rPr>
      <w:sz w:val="20"/>
      <w:szCs w:val="20"/>
    </w:rPr>
  </w:style>
  <w:style w:type="paragraph" w:styleId="Pt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Standard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Standard"/>
    <w:pPr>
      <w:tabs>
        <w:tab w:val="center" w:pos="4703"/>
        <w:tab w:val="right" w:pos="9406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Wingdings" w:hAnsi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6z0">
    <w:name w:val="WW8Num6z0"/>
    <w:rPr>
      <w:rFonts w:ascii="Wingdings" w:hAnsi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Wingdings" w:hAnsi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outline w:val="0"/>
      <w:vanish w:val="0"/>
      <w:color w:val="000000"/>
      <w:spacing w:val="0"/>
      <w:w w:val="100"/>
      <w:kern w:val="3"/>
      <w:position w:val="0"/>
      <w:sz w:val="24"/>
      <w:szCs w:val="24"/>
      <w:u w:val="none"/>
      <w:vertAlign w:val="baseline"/>
    </w:rPr>
  </w:style>
  <w:style w:type="character" w:customStyle="1" w:styleId="WW8Num14z0">
    <w:name w:val="WW8Num14z0"/>
    <w:rPr>
      <w:rFonts w:ascii="Wingdings" w:hAnsi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/>
    </w:rPr>
  </w:style>
  <w:style w:type="character" w:customStyle="1" w:styleId="WW8Num16z0">
    <w:name w:val="WW8Num16z0"/>
    <w:rPr>
      <w:rFonts w:ascii="Wingdings" w:hAnsi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/>
    </w:rPr>
  </w:style>
  <w:style w:type="character" w:customStyle="1" w:styleId="Nadpis1Char">
    <w:name w:val="Nadpis 1 Char"/>
    <w:rPr>
      <w:b/>
      <w:bCs/>
      <w:kern w:val="3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"/>
  </w:style>
  <w:style w:type="character" w:customStyle="1" w:styleId="NzovChar">
    <w:name w:val="Názov Char"/>
    <w:rPr>
      <w:rFonts w:ascii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numbering" w:customStyle="1" w:styleId="WW8Num1">
    <w:name w:val="WW8Num1"/>
    <w:basedOn w:val="Bezzoznamu"/>
    <w:pPr>
      <w:numPr>
        <w:numId w:val="2"/>
      </w:numPr>
    </w:pPr>
  </w:style>
  <w:style w:type="numbering" w:customStyle="1" w:styleId="WW8Num2">
    <w:name w:val="WW8Num2"/>
    <w:basedOn w:val="Bezzoznamu"/>
    <w:pPr>
      <w:numPr>
        <w:numId w:val="3"/>
      </w:numPr>
    </w:pPr>
  </w:style>
  <w:style w:type="numbering" w:customStyle="1" w:styleId="WW8Num3">
    <w:name w:val="WW8Num3"/>
    <w:basedOn w:val="Bezzoznamu"/>
    <w:pPr>
      <w:numPr>
        <w:numId w:val="4"/>
      </w:numPr>
    </w:pPr>
  </w:style>
  <w:style w:type="numbering" w:customStyle="1" w:styleId="WW8Num4">
    <w:name w:val="WW8Num4"/>
    <w:basedOn w:val="Bezzoznamu"/>
    <w:pPr>
      <w:numPr>
        <w:numId w:val="5"/>
      </w:numPr>
    </w:pPr>
  </w:style>
  <w:style w:type="numbering" w:customStyle="1" w:styleId="WW8Num5">
    <w:name w:val="WW8Num5"/>
    <w:basedOn w:val="Bezzoznamu"/>
    <w:pPr>
      <w:numPr>
        <w:numId w:val="6"/>
      </w:numPr>
    </w:pPr>
  </w:style>
  <w:style w:type="numbering" w:customStyle="1" w:styleId="WW8Num6">
    <w:name w:val="WW8Num6"/>
    <w:basedOn w:val="Bezzoznamu"/>
    <w:pPr>
      <w:numPr>
        <w:numId w:val="7"/>
      </w:numPr>
    </w:pPr>
  </w:style>
  <w:style w:type="numbering" w:customStyle="1" w:styleId="WW8Num7">
    <w:name w:val="WW8Num7"/>
    <w:basedOn w:val="Bezzoznamu"/>
    <w:pPr>
      <w:numPr>
        <w:numId w:val="8"/>
      </w:numPr>
    </w:pPr>
  </w:style>
  <w:style w:type="numbering" w:customStyle="1" w:styleId="WW8Num8">
    <w:name w:val="WW8Num8"/>
    <w:basedOn w:val="Bezzoznamu"/>
    <w:pPr>
      <w:numPr>
        <w:numId w:val="9"/>
      </w:numPr>
    </w:pPr>
  </w:style>
  <w:style w:type="numbering" w:customStyle="1" w:styleId="WW8Num9">
    <w:name w:val="WW8Num9"/>
    <w:basedOn w:val="Bezzoznamu"/>
    <w:pPr>
      <w:numPr>
        <w:numId w:val="10"/>
      </w:numPr>
    </w:pPr>
  </w:style>
  <w:style w:type="numbering" w:customStyle="1" w:styleId="WW8Num10">
    <w:name w:val="WW8Num10"/>
    <w:basedOn w:val="Bezzoznamu"/>
    <w:pPr>
      <w:numPr>
        <w:numId w:val="11"/>
      </w:numPr>
    </w:pPr>
  </w:style>
  <w:style w:type="numbering" w:customStyle="1" w:styleId="WW8Num11">
    <w:name w:val="WW8Num11"/>
    <w:basedOn w:val="Bezzoznamu"/>
    <w:pPr>
      <w:numPr>
        <w:numId w:val="12"/>
      </w:numPr>
    </w:pPr>
  </w:style>
  <w:style w:type="numbering" w:customStyle="1" w:styleId="WW8Num12">
    <w:name w:val="WW8Num12"/>
    <w:basedOn w:val="Bezzoznamu"/>
    <w:pPr>
      <w:numPr>
        <w:numId w:val="13"/>
      </w:numPr>
    </w:pPr>
  </w:style>
  <w:style w:type="numbering" w:customStyle="1" w:styleId="WW8Num13">
    <w:name w:val="WW8Num13"/>
    <w:basedOn w:val="Bezzoznamu"/>
    <w:pPr>
      <w:numPr>
        <w:numId w:val="14"/>
      </w:numPr>
    </w:pPr>
  </w:style>
  <w:style w:type="numbering" w:customStyle="1" w:styleId="WW8Num14">
    <w:name w:val="WW8Num14"/>
    <w:basedOn w:val="Bezzoznamu"/>
    <w:pPr>
      <w:numPr>
        <w:numId w:val="15"/>
      </w:numPr>
    </w:pPr>
  </w:style>
  <w:style w:type="numbering" w:customStyle="1" w:styleId="WW8Num15">
    <w:name w:val="WW8Num15"/>
    <w:basedOn w:val="Bezzoznamu"/>
    <w:pPr>
      <w:numPr>
        <w:numId w:val="16"/>
      </w:numPr>
    </w:pPr>
  </w:style>
  <w:style w:type="numbering" w:customStyle="1" w:styleId="WW8Num16">
    <w:name w:val="WW8Num16"/>
    <w:basedOn w:val="Bezzoznamu"/>
    <w:pPr>
      <w:numPr>
        <w:numId w:val="17"/>
      </w:numPr>
    </w:pPr>
  </w:style>
  <w:style w:type="numbering" w:customStyle="1" w:styleId="WW8Num17">
    <w:name w:val="WW8Num17"/>
    <w:basedOn w:val="Bezzoznamu"/>
    <w:pPr>
      <w:numPr>
        <w:numId w:val="18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ahoma"/>
        <w:kern w:val="3"/>
        <w:sz w:val="24"/>
        <w:szCs w:val="24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Nadpis2"/>
    <w:pPr>
      <w:keepNext/>
      <w:numPr>
        <w:numId w:val="1"/>
      </w:numPr>
      <w:tabs>
        <w:tab w:val="left" w:pos="9720"/>
      </w:tabs>
      <w:spacing w:before="240" w:after="60"/>
      <w:ind w:left="4500" w:firstLine="360"/>
      <w:jc w:val="center"/>
      <w:outlineLvl w:val="0"/>
    </w:pPr>
    <w:rPr>
      <w:b/>
      <w:bCs/>
    </w:rPr>
  </w:style>
  <w:style w:type="paragraph" w:styleId="Nadpis2">
    <w:name w:val="heading 2"/>
    <w:basedOn w:val="Standard"/>
    <w:next w:val="Standard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">
    <w:name w:val="WW_OutlineListStyle"/>
    <w:basedOn w:val="Bezzoznamu"/>
    <w:pPr>
      <w:numPr>
        <w:numId w:val="1"/>
      </w:numPr>
    </w:pPr>
  </w:style>
  <w:style w:type="paragraph" w:customStyle="1" w:styleId="Standard">
    <w:name w:val="Standard"/>
    <w:pPr>
      <w:widowControl/>
    </w:pPr>
    <w:rPr>
      <w:rFonts w:eastAsia="Times New Roman" w:cs="Times New Roman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Textbody">
    <w:name w:val="Text body"/>
    <w:basedOn w:val="Standard"/>
    <w:pPr>
      <w:widowControl w:val="0"/>
      <w:ind w:left="668" w:hanging="567"/>
    </w:pPr>
    <w:rPr>
      <w:lang w:val="en-US"/>
    </w:r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oznam">
    <w:name w:val="List"/>
    <w:basedOn w:val="Textbody"/>
    <w:rPr>
      <w:rFonts w:cs="Tahoma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Zkladntext">
    <w:name w:val="Základní text"/>
    <w:pPr>
      <w:widowControl/>
      <w:spacing w:after="240"/>
      <w:jc w:val="both"/>
    </w:pPr>
    <w:rPr>
      <w:rFonts w:eastAsia="Arial" w:cs="Times New Roman"/>
      <w:color w:val="000000"/>
    </w:rPr>
  </w:style>
  <w:style w:type="paragraph" w:customStyle="1" w:styleId="Footnote">
    <w:name w:val="Footnote"/>
    <w:basedOn w:val="Standard"/>
    <w:rPr>
      <w:sz w:val="20"/>
      <w:szCs w:val="20"/>
    </w:rPr>
  </w:style>
  <w:style w:type="paragraph" w:styleId="Pt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Standard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Standard"/>
    <w:pPr>
      <w:tabs>
        <w:tab w:val="center" w:pos="4703"/>
        <w:tab w:val="right" w:pos="9406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Wingdings" w:hAnsi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6z0">
    <w:name w:val="WW8Num6z0"/>
    <w:rPr>
      <w:rFonts w:ascii="Wingdings" w:hAnsi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Wingdings" w:hAnsi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outline w:val="0"/>
      <w:vanish w:val="0"/>
      <w:color w:val="000000"/>
      <w:spacing w:val="0"/>
      <w:w w:val="100"/>
      <w:kern w:val="3"/>
      <w:position w:val="0"/>
      <w:sz w:val="24"/>
      <w:szCs w:val="24"/>
      <w:u w:val="none"/>
      <w:vertAlign w:val="baseline"/>
    </w:rPr>
  </w:style>
  <w:style w:type="character" w:customStyle="1" w:styleId="WW8Num14z0">
    <w:name w:val="WW8Num14z0"/>
    <w:rPr>
      <w:rFonts w:ascii="Wingdings" w:hAnsi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/>
    </w:rPr>
  </w:style>
  <w:style w:type="character" w:customStyle="1" w:styleId="WW8Num16z0">
    <w:name w:val="WW8Num16z0"/>
    <w:rPr>
      <w:rFonts w:ascii="Wingdings" w:hAnsi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/>
    </w:rPr>
  </w:style>
  <w:style w:type="character" w:customStyle="1" w:styleId="Nadpis1Char">
    <w:name w:val="Nadpis 1 Char"/>
    <w:rPr>
      <w:b/>
      <w:bCs/>
      <w:kern w:val="3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"/>
  </w:style>
  <w:style w:type="character" w:customStyle="1" w:styleId="NzovChar">
    <w:name w:val="Názov Char"/>
    <w:rPr>
      <w:rFonts w:ascii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numbering" w:customStyle="1" w:styleId="WW8Num1">
    <w:name w:val="WW8Num1"/>
    <w:basedOn w:val="Bezzoznamu"/>
    <w:pPr>
      <w:numPr>
        <w:numId w:val="2"/>
      </w:numPr>
    </w:pPr>
  </w:style>
  <w:style w:type="numbering" w:customStyle="1" w:styleId="WW8Num2">
    <w:name w:val="WW8Num2"/>
    <w:basedOn w:val="Bezzoznamu"/>
    <w:pPr>
      <w:numPr>
        <w:numId w:val="3"/>
      </w:numPr>
    </w:pPr>
  </w:style>
  <w:style w:type="numbering" w:customStyle="1" w:styleId="WW8Num3">
    <w:name w:val="WW8Num3"/>
    <w:basedOn w:val="Bezzoznamu"/>
    <w:pPr>
      <w:numPr>
        <w:numId w:val="4"/>
      </w:numPr>
    </w:pPr>
  </w:style>
  <w:style w:type="numbering" w:customStyle="1" w:styleId="WW8Num4">
    <w:name w:val="WW8Num4"/>
    <w:basedOn w:val="Bezzoznamu"/>
    <w:pPr>
      <w:numPr>
        <w:numId w:val="5"/>
      </w:numPr>
    </w:pPr>
  </w:style>
  <w:style w:type="numbering" w:customStyle="1" w:styleId="WW8Num5">
    <w:name w:val="WW8Num5"/>
    <w:basedOn w:val="Bezzoznamu"/>
    <w:pPr>
      <w:numPr>
        <w:numId w:val="6"/>
      </w:numPr>
    </w:pPr>
  </w:style>
  <w:style w:type="numbering" w:customStyle="1" w:styleId="WW8Num6">
    <w:name w:val="WW8Num6"/>
    <w:basedOn w:val="Bezzoznamu"/>
    <w:pPr>
      <w:numPr>
        <w:numId w:val="7"/>
      </w:numPr>
    </w:pPr>
  </w:style>
  <w:style w:type="numbering" w:customStyle="1" w:styleId="WW8Num7">
    <w:name w:val="WW8Num7"/>
    <w:basedOn w:val="Bezzoznamu"/>
    <w:pPr>
      <w:numPr>
        <w:numId w:val="8"/>
      </w:numPr>
    </w:pPr>
  </w:style>
  <w:style w:type="numbering" w:customStyle="1" w:styleId="WW8Num8">
    <w:name w:val="WW8Num8"/>
    <w:basedOn w:val="Bezzoznamu"/>
    <w:pPr>
      <w:numPr>
        <w:numId w:val="9"/>
      </w:numPr>
    </w:pPr>
  </w:style>
  <w:style w:type="numbering" w:customStyle="1" w:styleId="WW8Num9">
    <w:name w:val="WW8Num9"/>
    <w:basedOn w:val="Bezzoznamu"/>
    <w:pPr>
      <w:numPr>
        <w:numId w:val="10"/>
      </w:numPr>
    </w:pPr>
  </w:style>
  <w:style w:type="numbering" w:customStyle="1" w:styleId="WW8Num10">
    <w:name w:val="WW8Num10"/>
    <w:basedOn w:val="Bezzoznamu"/>
    <w:pPr>
      <w:numPr>
        <w:numId w:val="11"/>
      </w:numPr>
    </w:pPr>
  </w:style>
  <w:style w:type="numbering" w:customStyle="1" w:styleId="WW8Num11">
    <w:name w:val="WW8Num11"/>
    <w:basedOn w:val="Bezzoznamu"/>
    <w:pPr>
      <w:numPr>
        <w:numId w:val="12"/>
      </w:numPr>
    </w:pPr>
  </w:style>
  <w:style w:type="numbering" w:customStyle="1" w:styleId="WW8Num12">
    <w:name w:val="WW8Num12"/>
    <w:basedOn w:val="Bezzoznamu"/>
    <w:pPr>
      <w:numPr>
        <w:numId w:val="13"/>
      </w:numPr>
    </w:pPr>
  </w:style>
  <w:style w:type="numbering" w:customStyle="1" w:styleId="WW8Num13">
    <w:name w:val="WW8Num13"/>
    <w:basedOn w:val="Bezzoznamu"/>
    <w:pPr>
      <w:numPr>
        <w:numId w:val="14"/>
      </w:numPr>
    </w:pPr>
  </w:style>
  <w:style w:type="numbering" w:customStyle="1" w:styleId="WW8Num14">
    <w:name w:val="WW8Num14"/>
    <w:basedOn w:val="Bezzoznamu"/>
    <w:pPr>
      <w:numPr>
        <w:numId w:val="15"/>
      </w:numPr>
    </w:pPr>
  </w:style>
  <w:style w:type="numbering" w:customStyle="1" w:styleId="WW8Num15">
    <w:name w:val="WW8Num15"/>
    <w:basedOn w:val="Bezzoznamu"/>
    <w:pPr>
      <w:numPr>
        <w:numId w:val="16"/>
      </w:numPr>
    </w:pPr>
  </w:style>
  <w:style w:type="numbering" w:customStyle="1" w:styleId="WW8Num16">
    <w:name w:val="WW8Num16"/>
    <w:basedOn w:val="Bezzoznamu"/>
    <w:pPr>
      <w:numPr>
        <w:numId w:val="17"/>
      </w:numPr>
    </w:pPr>
  </w:style>
  <w:style w:type="numbering" w:customStyle="1" w:styleId="WW8Num17">
    <w:name w:val="WW8Num17"/>
    <w:basedOn w:val="Bezzoznamu"/>
    <w:pPr>
      <w:numPr>
        <w:numId w:val="1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7</Pages>
  <Words>2883</Words>
  <Characters>16436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kuki</cp:lastModifiedBy>
  <cp:revision>1</cp:revision>
  <cp:lastPrinted>2015-07-22T10:26:00Z</cp:lastPrinted>
  <dcterms:created xsi:type="dcterms:W3CDTF">2015-07-21T11:45:00Z</dcterms:created>
  <dcterms:modified xsi:type="dcterms:W3CDTF">2017-06-13T12:41:00Z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ácia 1">
    <vt:lpwstr/>
  </property>
  <property fmtid="{D5CDD505-2E9C-101B-9397-08002B2CF9AE}" pid="3" name="Informácia 2">
    <vt:lpwstr/>
  </property>
  <property fmtid="{D5CDD505-2E9C-101B-9397-08002B2CF9AE}" pid="4" name="Informácia 3">
    <vt:lpwstr/>
  </property>
  <property fmtid="{D5CDD505-2E9C-101B-9397-08002B2CF9AE}" pid="5" name="Informácia 4">
    <vt:lpwstr/>
  </property>
</Properties>
</file>