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tabs>
          <w:tab w:val="left" w:pos="3358" w:leader="none"/>
        </w:tabs>
        <w:spacing w:before="62" w:after="0"/>
        <w:ind w:left="0" w:right="756" w:hanging="0"/>
        <w:jc w:val="center"/>
        <w:rPr/>
      </w:pPr>
      <w:r>
        <w:rPr/>
        <w:t>I</w:t>
      </w:r>
      <w:r>
        <w:rPr/>
        <w:t>ČO</w:t>
        <w:tab/>
        <w:t>DIČ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6535"/>
                        </a:xfrm>
                        <a:prstGeom prst="rect"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lotextu"/>
                              <w:spacing w:before="47" w:after="0"/>
                              <w:ind w:left="64" w:right="0" w:hanging="0"/>
                              <w:rPr/>
                            </w:pPr>
                            <w:r>
                              <w:rPr/>
                              <w:t>Poznámky Úč MÚJ 3 - 01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35.5pt;height:17.05pt;mso-wrap-distance-left:9pt;mso-wrap-distance-right:9pt;mso-wrap-distance-top:0pt;mso-wrap-distance-bottom:0pt;margin-top:0.5pt;mso-position-vertical-relative:text;margin-left:50.3pt;mso-position-horizontal-relative:page">
                <v:textbox inset="0in,0in,0in,0in">
                  <w:txbxContent>
                    <w:p>
                      <w:pPr>
                        <w:pStyle w:val="Tlotextu"/>
                        <w:spacing w:before="47" w:after="0"/>
                        <w:ind w:left="64" w:right="0" w:hanging="0"/>
                        <w:rPr/>
                      </w:pPr>
                      <w:r>
                        <w:rPr/>
                        <w:t>Poznámky Úč MÚJ 3 - 01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745" cy="2228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2773" w:type="dxa"/>
                              <w:jc w:val="left"/>
                              <w:tblInd w:w="0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9"/>
                              <w:gridCol w:w="346"/>
                              <w:gridCol w:w="346"/>
                              <w:gridCol w:w="346"/>
                              <w:gridCol w:w="346"/>
                              <w:gridCol w:w="348"/>
                              <w:gridCol w:w="345"/>
                              <w:gridCol w:w="346"/>
                            </w:tblGrid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34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349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lotextu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39.35pt;height:17.55pt;mso-wrap-distance-left:9pt;mso-wrap-distance-right:9pt;mso-wrap-distance-top:0pt;mso-wrap-distance-bottom:0pt;margin-top:0.25pt;mso-position-vertical-relative:text;margin-left:220.95pt;mso-position-horizontal-relative:page">
                <v:textbox inset="0in,0in,0in,0in">
                  <w:txbxContent>
                    <w:tbl>
                      <w:tblPr>
                        <w:tblW w:w="2773" w:type="dxa"/>
                        <w:jc w:val="left"/>
                        <w:tblInd w:w="0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9"/>
                        <w:gridCol w:w="346"/>
                        <w:gridCol w:w="346"/>
                        <w:gridCol w:w="346"/>
                        <w:gridCol w:w="346"/>
                        <w:gridCol w:w="348"/>
                        <w:gridCol w:w="345"/>
                        <w:gridCol w:w="346"/>
                      </w:tblGrid>
                      <w:tr>
                        <w:trPr>
                          <w:trHeight w:val="320" w:hRule="atLeast"/>
                        </w:trPr>
                        <w:tc>
                          <w:tcPr>
                            <w:tcW w:w="34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349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Tlotextu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page">
                  <wp:posOffset>4999990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2228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3440" w:type="dxa"/>
                              <w:jc w:val="left"/>
                              <w:tblInd w:w="0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3"/>
                              <w:gridCol w:w="342"/>
                              <w:gridCol w:w="346"/>
                              <w:gridCol w:w="344"/>
                              <w:gridCol w:w="344"/>
                              <w:gridCol w:w="345"/>
                              <w:gridCol w:w="343"/>
                              <w:gridCol w:w="344"/>
                              <w:gridCol w:w="345"/>
                              <w:gridCol w:w="343"/>
                            </w:tblGrid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lotextu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72.75pt;height:17.55pt;mso-wrap-distance-left:9pt;mso-wrap-distance-right:9pt;mso-wrap-distance-top:0pt;mso-wrap-distance-bottom:0pt;margin-top:0.25pt;mso-position-vertical-relative:text;margin-left:393.7pt;mso-position-horizontal-relative:page">
                <v:textbox inset="0in,0in,0in,0in">
                  <w:txbxContent>
                    <w:tbl>
                      <w:tblPr>
                        <w:tblW w:w="3440" w:type="dxa"/>
                        <w:jc w:val="left"/>
                        <w:tblInd w:w="0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3"/>
                        <w:gridCol w:w="342"/>
                        <w:gridCol w:w="346"/>
                        <w:gridCol w:w="344"/>
                        <w:gridCol w:w="344"/>
                        <w:gridCol w:w="345"/>
                        <w:gridCol w:w="343"/>
                        <w:gridCol w:w="344"/>
                        <w:gridCol w:w="345"/>
                        <w:gridCol w:w="343"/>
                      </w:tblGrid>
                      <w:tr>
                        <w:trPr>
                          <w:trHeight w:val="320" w:hRule="atLeast"/>
                        </w:trPr>
                        <w:tc>
                          <w:tcPr>
                            <w:tcW w:w="34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Tlotextu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Nadpis1"/>
        <w:spacing w:before="217" w:after="0"/>
        <w:rPr/>
      </w:pPr>
      <w:r>
        <w:rPr/>
        <w:t>Čl. I</w:t>
      </w:r>
    </w:p>
    <w:p>
      <w:pPr>
        <w:pStyle w:val="Normal"/>
        <w:spacing w:before="0" w:after="0"/>
        <w:ind w:left="0" w:right="838" w:hanging="0"/>
        <w:jc w:val="center"/>
        <w:rPr>
          <w:b/>
          <w:b/>
          <w:sz w:val="24"/>
        </w:rPr>
      </w:pPr>
      <w:r>
        <w:rPr>
          <w:b/>
          <w:sz w:val="24"/>
        </w:rPr>
        <w:t>Všeobecné údaje</w:t>
      </w:r>
    </w:p>
    <w:p>
      <w:pPr>
        <w:pStyle w:val="Tlotextu"/>
        <w:spacing w:before="5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3"/>
        </w:numPr>
        <w:tabs>
          <w:tab w:val="left" w:pos="828" w:leader="none"/>
          <w:tab w:val="left" w:pos="829" w:leader="none"/>
        </w:tabs>
        <w:spacing w:lineRule="auto" w:line="240" w:before="1" w:after="0"/>
        <w:ind w:left="828" w:right="0" w:hanging="567"/>
        <w:jc w:val="left"/>
        <w:rPr/>
      </w:pPr>
      <w:r>
        <w:rPr>
          <w:sz w:val="24"/>
        </w:rPr>
        <w:t xml:space="preserve">Názov právnickej osoby a jej sídlo: </w:t>
      </w:r>
      <w:r>
        <w:rPr>
          <w:sz w:val="24"/>
        </w:rPr>
        <w:t>Tritonsystems spol. s r.o., Topoľčianska 25, 851 05 Bratislava</w:t>
      </w:r>
    </w:p>
    <w:p>
      <w:pPr>
        <w:pStyle w:val="Tlotextu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left" w:pos="828" w:leader="none"/>
          <w:tab w:val="left" w:pos="829" w:leader="none"/>
        </w:tabs>
        <w:spacing w:lineRule="auto" w:line="240" w:before="0" w:after="0"/>
        <w:ind w:left="828" w:right="0" w:hanging="567"/>
        <w:jc w:val="left"/>
        <w:rPr/>
      </w:pPr>
      <w:r>
        <w:rPr>
          <w:sz w:val="24"/>
        </w:rPr>
        <w:t xml:space="preserve">Údaje o konsolidovanom celku: </w:t>
      </w:r>
      <w:r>
        <w:rPr>
          <w:sz w:val="24"/>
        </w:rPr>
        <w:t>účtovná jednotka nie je súčasťou konsolidovaného celku.</w:t>
      </w:r>
    </w:p>
    <w:p>
      <w:pPr>
        <w:pStyle w:val="ListParagraph"/>
        <w:numPr>
          <w:ilvl w:val="0"/>
          <w:numId w:val="3"/>
        </w:numPr>
        <w:tabs>
          <w:tab w:val="left" w:pos="828" w:leader="none"/>
          <w:tab w:val="left" w:pos="829" w:leader="none"/>
        </w:tabs>
        <w:spacing w:lineRule="auto" w:line="240" w:before="0" w:after="0"/>
        <w:ind w:left="828" w:right="0" w:hanging="567"/>
        <w:jc w:val="left"/>
        <w:rPr/>
      </w:pPr>
      <w:r>
        <w:rPr>
          <w:sz w:val="24"/>
        </w:rPr>
        <w:t>Priemerný prepočítaný počet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zamestnancov: </w:t>
      </w:r>
      <w:r>
        <w:rPr>
          <w:sz w:val="24"/>
        </w:rPr>
        <w:t>9</w:t>
      </w:r>
    </w:p>
    <w:p>
      <w:pPr>
        <w:pStyle w:val="Tlotextu"/>
        <w:spacing w:before="4" w:after="0"/>
        <w:rPr/>
      </w:pPr>
      <w:r>
        <w:rPr/>
      </w:r>
    </w:p>
    <w:p>
      <w:pPr>
        <w:pStyle w:val="Nadpis1"/>
        <w:ind w:left="0" w:right="837" w:hanging="0"/>
        <w:rPr/>
      </w:pPr>
      <w:r>
        <w:rPr/>
        <w:t>Čl. II</w:t>
      </w:r>
    </w:p>
    <w:p>
      <w:pPr>
        <w:pStyle w:val="Normal"/>
        <w:spacing w:before="0" w:after="0"/>
        <w:ind w:left="0" w:right="834" w:hanging="0"/>
        <w:jc w:val="center"/>
        <w:rPr>
          <w:b/>
          <w:b/>
          <w:sz w:val="24"/>
        </w:rPr>
      </w:pPr>
      <w:r>
        <w:rPr>
          <w:b/>
          <w:sz w:val="24"/>
        </w:rPr>
        <w:t>Informácie o prijatých postupoch</w:t>
      </w:r>
    </w:p>
    <w:p>
      <w:pPr>
        <w:pStyle w:val="Tlotextu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2"/>
        </w:numPr>
        <w:tabs>
          <w:tab w:val="left" w:pos="828" w:leader="none"/>
          <w:tab w:val="left" w:pos="829" w:leader="none"/>
        </w:tabs>
        <w:spacing w:lineRule="auto" w:line="240" w:before="0" w:after="0"/>
        <w:ind w:left="828" w:right="958" w:hanging="567"/>
        <w:jc w:val="left"/>
        <w:rPr/>
      </w:pPr>
      <w:r>
        <w:rPr>
          <w:sz w:val="24"/>
        </w:rPr>
        <w:t>Ú</w:t>
      </w:r>
      <w:r>
        <w:rPr>
          <w:sz w:val="24"/>
        </w:rPr>
        <w:t xml:space="preserve">čtovná závierka </w:t>
      </w:r>
      <w:r>
        <w:rPr>
          <w:sz w:val="24"/>
        </w:rPr>
        <w:t xml:space="preserve">je </w:t>
      </w:r>
      <w:r>
        <w:rPr>
          <w:sz w:val="24"/>
        </w:rPr>
        <w:t>zostavená za splnenia predpokladu, že účtovná jednotka bude nepretržite pokračovať vo svojej</w:t>
      </w:r>
      <w:r>
        <w:rPr>
          <w:spacing w:val="-6"/>
          <w:sz w:val="24"/>
        </w:rPr>
        <w:t xml:space="preserve"> </w:t>
      </w:r>
      <w:r>
        <w:rPr>
          <w:sz w:val="24"/>
        </w:rPr>
        <w:t>činnosti.</w:t>
      </w:r>
    </w:p>
    <w:p>
      <w:pPr>
        <w:pStyle w:val="Tlotextu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"/>
        </w:numPr>
        <w:tabs>
          <w:tab w:val="left" w:pos="828" w:leader="none"/>
          <w:tab w:val="left" w:pos="829" w:leader="none"/>
        </w:tabs>
        <w:spacing w:lineRule="auto" w:line="240" w:before="0" w:after="0"/>
        <w:ind w:left="828" w:right="0" w:hanging="567"/>
        <w:jc w:val="left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</w:p>
    <w:p>
      <w:pPr>
        <w:pStyle w:val="ListParagraph"/>
        <w:numPr>
          <w:ilvl w:val="1"/>
          <w:numId w:val="2"/>
        </w:numPr>
        <w:tabs>
          <w:tab w:val="left" w:pos="1398" w:leader="none"/>
        </w:tabs>
        <w:spacing w:lineRule="auto" w:line="240" w:before="0" w:after="0"/>
        <w:ind w:left="1397" w:right="953" w:hanging="569"/>
        <w:jc w:val="both"/>
        <w:rPr/>
      </w:pPr>
      <w:r>
        <w:rPr>
          <w:sz w:val="24"/>
        </w:rPr>
        <w:t>dlhodobého nehmotného majetku, dlhodobého hmotného majetku a dlhodobého 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 –</w:t>
      </w:r>
      <w:r>
        <w:rPr>
          <w:sz w:val="24"/>
        </w:rPr>
        <w:t xml:space="preserve"> obstarávacia cena vrátane nákladov súvisiacich s obstaraním,</w:t>
      </w:r>
    </w:p>
    <w:p>
      <w:pPr>
        <w:pStyle w:val="ListParagraph"/>
        <w:numPr>
          <w:ilvl w:val="1"/>
          <w:numId w:val="2"/>
        </w:numPr>
        <w:tabs>
          <w:tab w:val="left" w:pos="1397" w:leader="none"/>
          <w:tab w:val="left" w:pos="1398" w:leader="none"/>
        </w:tabs>
        <w:spacing w:lineRule="auto" w:line="240" w:before="0" w:after="0"/>
        <w:jc w:val="left"/>
        <w:rPr/>
      </w:pPr>
      <w:r>
        <w:rPr>
          <w:sz w:val="24"/>
        </w:rPr>
        <w:t xml:space="preserve">zásob obstaraných kúpou </w:t>
      </w:r>
      <w:r>
        <w:rPr>
          <w:sz w:val="24"/>
        </w:rPr>
        <w:t>- obstarávacia cena vrátane nákladov súvisiacich s obstaraním</w:t>
      </w:r>
      <w:r>
        <w:rPr>
          <w:sz w:val="24"/>
        </w:rPr>
        <w:t>,</w:t>
      </w:r>
    </w:p>
    <w:p>
      <w:pPr>
        <w:pStyle w:val="ListParagraph"/>
        <w:numPr>
          <w:ilvl w:val="1"/>
          <w:numId w:val="2"/>
        </w:numPr>
        <w:tabs>
          <w:tab w:val="left" w:pos="1397" w:leader="none"/>
          <w:tab w:val="left" w:pos="1398" w:leader="none"/>
        </w:tabs>
        <w:spacing w:lineRule="auto" w:line="240" w:before="0" w:after="0"/>
        <w:ind w:left="1397" w:right="0" w:hanging="569"/>
        <w:jc w:val="left"/>
        <w:rPr/>
      </w:pPr>
      <w:r>
        <w:rPr>
          <w:sz w:val="24"/>
        </w:rPr>
        <w:t>pohľadávok –</w:t>
      </w:r>
      <w:r>
        <w:rPr>
          <w:sz w:val="24"/>
        </w:rPr>
        <w:t xml:space="preserve"> menovitá hodnota,</w:t>
      </w:r>
    </w:p>
    <w:p>
      <w:pPr>
        <w:pStyle w:val="ListParagraph"/>
        <w:numPr>
          <w:ilvl w:val="1"/>
          <w:numId w:val="2"/>
        </w:numPr>
        <w:tabs>
          <w:tab w:val="left" w:pos="1397" w:leader="none"/>
          <w:tab w:val="left" w:pos="1398" w:leader="none"/>
        </w:tabs>
        <w:spacing w:lineRule="auto" w:line="240" w:before="0" w:after="0"/>
        <w:ind w:left="1397" w:right="0" w:hanging="569"/>
        <w:jc w:val="left"/>
        <w:rPr/>
      </w:pPr>
      <w:r>
        <w:rPr>
          <w:sz w:val="24"/>
        </w:rPr>
        <w:t>krátkodobého finančného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 –</w:t>
      </w:r>
      <w:r>
        <w:rPr>
          <w:sz w:val="24"/>
        </w:rPr>
        <w:t xml:space="preserve"> menovitá hodnota,</w:t>
      </w:r>
    </w:p>
    <w:p>
      <w:pPr>
        <w:pStyle w:val="ListParagraph"/>
        <w:numPr>
          <w:ilvl w:val="1"/>
          <w:numId w:val="2"/>
        </w:numPr>
        <w:tabs>
          <w:tab w:val="left" w:pos="1397" w:leader="none"/>
          <w:tab w:val="left" w:pos="1398" w:leader="none"/>
        </w:tabs>
        <w:spacing w:lineRule="auto" w:line="240" w:before="0" w:after="0"/>
        <w:ind w:left="1397" w:right="0" w:hanging="569"/>
        <w:jc w:val="left"/>
        <w:rPr/>
      </w:pPr>
      <w:r>
        <w:rPr>
          <w:sz w:val="24"/>
        </w:rPr>
        <w:t>záväzkov vrátane rezerv, dlhopisov, pôžičiek a</w:t>
      </w:r>
      <w:r>
        <w:rPr>
          <w:spacing w:val="-3"/>
          <w:sz w:val="24"/>
        </w:rPr>
        <w:t xml:space="preserve"> </w:t>
      </w:r>
      <w:r>
        <w:rPr>
          <w:sz w:val="24"/>
        </w:rPr>
        <w:t>úverov –</w:t>
      </w:r>
      <w:r>
        <w:rPr>
          <w:sz w:val="24"/>
        </w:rPr>
        <w:t xml:space="preserve"> menovi</w:t>
      </w:r>
      <w:r>
        <w:rPr>
          <w:sz w:val="24"/>
        </w:rPr>
        <w:t>tá hodnota.</w:t>
      </w:r>
    </w:p>
    <w:p>
      <w:pPr>
        <w:pStyle w:val="Tlotextu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"/>
        </w:numPr>
        <w:tabs>
          <w:tab w:val="left" w:pos="829" w:leader="none"/>
        </w:tabs>
        <w:spacing w:lineRule="auto" w:line="240" w:before="0" w:after="0"/>
        <w:ind w:left="828" w:right="955" w:hanging="567"/>
        <w:jc w:val="both"/>
        <w:rPr/>
      </w:pPr>
      <w:r>
        <w:rPr>
          <w:sz w:val="24"/>
        </w:rPr>
        <w:t>Spôsob zostavenia odpisového plánu pre jednotlivé druhy dlhodobého hmotného majetku a dlhodobého nehmotného majetku –</w:t>
      </w:r>
      <w:r>
        <w:rPr>
          <w:sz w:val="24"/>
        </w:rPr>
        <w:t xml:space="preserve"> v zmysle platných právnych predpisov. </w:t>
      </w:r>
    </w:p>
    <w:p>
      <w:pPr>
        <w:pStyle w:val="ListParagraph"/>
        <w:numPr>
          <w:ilvl w:val="0"/>
          <w:numId w:val="0"/>
        </w:numPr>
        <w:tabs>
          <w:tab w:val="left" w:pos="829" w:leader="none"/>
        </w:tabs>
        <w:spacing w:lineRule="auto" w:line="240" w:before="0" w:after="0"/>
        <w:ind w:left="1089" w:right="955" w:hanging="0"/>
        <w:jc w:val="both"/>
        <w:rPr/>
      </w:pPr>
      <w:r>
        <w:rPr>
          <w:sz w:val="24"/>
        </w:rPr>
        <w:t>Ú</w:t>
      </w:r>
      <w:r>
        <w:rPr>
          <w:sz w:val="24"/>
        </w:rPr>
        <w:t>čtovná jednotka odpisuje len dopravné prostriedky, rovnomerne 4 roky.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5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page">
                  <wp:posOffset>647700</wp:posOffset>
                </wp:positionH>
                <wp:positionV relativeFrom="paragraph">
                  <wp:posOffset>192405</wp:posOffset>
                </wp:positionV>
                <wp:extent cx="1284605" cy="1270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15.15pt" to="195pt,15.15pt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>
      <w:pPr>
        <w:pStyle w:val="Tlotextu"/>
        <w:spacing w:before="58" w:after="0"/>
        <w:ind w:left="120" w:right="955" w:hanging="0"/>
        <w:jc w:val="both"/>
        <w:rPr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 xml:space="preserve">) </w:t>
      </w:r>
      <w:r>
        <w:rPr/>
        <w:t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</w:t>
      </w:r>
      <w:r>
        <w:rPr>
          <w:spacing w:val="-1"/>
        </w:rPr>
        <w:t xml:space="preserve"> </w:t>
      </w:r>
      <w:r>
        <w:rPr/>
        <w:t>2008).</w:t>
      </w:r>
    </w:p>
    <w:p>
      <w:pPr>
        <w:pStyle w:val="Tlotextu"/>
        <w:ind w:left="120" w:right="957" w:hanging="0"/>
        <w:jc w:val="both"/>
        <w:rPr/>
      </w:pPr>
      <w:r>
        <w:rPr/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>
      <w:pPr>
        <w:pStyle w:val="Tlotextu"/>
        <w:rPr>
          <w:sz w:val="18"/>
        </w:rPr>
      </w:pPr>
      <w:r>
        <w:rPr>
          <w:sz w:val="18"/>
        </w:rPr>
      </w:r>
    </w:p>
    <w:p>
      <w:pPr>
        <w:pStyle w:val="Tlotextu"/>
        <w:spacing w:before="90" w:after="0"/>
        <w:ind w:left="0" w:right="954" w:hanging="0"/>
        <w:jc w:val="right"/>
        <w:rPr/>
      </w:pPr>
      <w:r>
        <w:rPr/>
        <w:t>Strana 7</w:t>
      </w:r>
    </w:p>
    <w:p>
      <w:pPr>
        <w:sectPr>
          <w:type w:val="nextPage"/>
          <w:pgSz w:w="11906" w:h="16850"/>
          <w:pgMar w:left="900" w:right="460" w:header="0" w:top="5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2"/>
        </w:numPr>
        <w:tabs>
          <w:tab w:val="left" w:pos="669" w:leader="none"/>
        </w:tabs>
        <w:spacing w:lineRule="auto" w:line="240" w:before="70" w:after="0"/>
        <w:ind w:left="668" w:right="116" w:hanging="567"/>
        <w:jc w:val="both"/>
        <w:rPr>
          <w:sz w:val="24"/>
        </w:rPr>
      </w:pPr>
      <w:r>
        <w:rPr>
          <w:sz w:val="24"/>
        </w:rPr>
        <w:t>Zmeny účtovných  zásad  a zmeny  účtovných  metód  s uvedením  dôvodu  týchto  zmien a vyčíslením ich  vplyvu  na  finančnú  hodnotu  majetku,  záväzkov,  základného  imania  a výsledku hospodárenia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jednotky.</w:t>
      </w:r>
    </w:p>
    <w:p>
      <w:pPr>
        <w:pStyle w:val="Tlotextu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left" w:pos="668" w:leader="none"/>
          <w:tab w:val="left" w:pos="669" w:leader="none"/>
        </w:tabs>
        <w:spacing w:lineRule="auto" w:line="240" w:before="0" w:after="0"/>
        <w:ind w:left="668" w:right="0" w:hanging="567"/>
        <w:jc w:val="left"/>
        <w:rPr>
          <w:sz w:val="22"/>
        </w:rPr>
      </w:pPr>
      <w:r>
        <w:rPr>
          <w:sz w:val="24"/>
        </w:rPr>
        <w:t>Informácie o dotáciách a ich oceňovanie v</w:t>
      </w:r>
      <w:r>
        <w:rPr>
          <w:spacing w:val="-6"/>
          <w:sz w:val="24"/>
        </w:rPr>
        <w:t xml:space="preserve"> </w:t>
      </w:r>
      <w:r>
        <w:rPr>
          <w:sz w:val="24"/>
        </w:rPr>
        <w:t>účtovníctve</w:t>
      </w:r>
      <w:r>
        <w:rPr>
          <w:sz w:val="22"/>
        </w:rPr>
        <w:t>.</w:t>
      </w:r>
    </w:p>
    <w:p>
      <w:pPr>
        <w:pStyle w:val="Tlotextu"/>
        <w:spacing w:before="10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left" w:pos="669" w:leader="none"/>
        </w:tabs>
        <w:spacing w:lineRule="auto" w:line="240" w:before="0" w:after="0"/>
        <w:ind w:left="668" w:right="112" w:hanging="567"/>
        <w:jc w:val="both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3"/>
          <w:sz w:val="24"/>
        </w:rPr>
        <w:t xml:space="preserve"> </w:t>
      </w:r>
      <w:r>
        <w:rPr>
          <w:sz w:val="24"/>
        </w:rPr>
        <w:t>obdobia.</w:t>
      </w:r>
    </w:p>
    <w:p>
      <w:pPr>
        <w:pStyle w:val="Tlotextu"/>
        <w:spacing w:before="5" w:after="0"/>
        <w:rPr/>
      </w:pPr>
      <w:r>
        <w:rPr/>
      </w:r>
    </w:p>
    <w:p>
      <w:pPr>
        <w:pStyle w:val="Nadpis1"/>
        <w:ind w:left="1090" w:right="1245" w:hanging="0"/>
        <w:rPr/>
      </w:pPr>
      <w:r>
        <w:rPr/>
        <w:t>Čl. III</w:t>
      </w:r>
    </w:p>
    <w:p>
      <w:pPr>
        <w:pStyle w:val="Normal"/>
        <w:spacing w:before="0" w:after="0"/>
        <w:ind w:left="1090" w:right="1246" w:hanging="0"/>
        <w:jc w:val="center"/>
        <w:rPr>
          <w:b/>
          <w:b/>
          <w:sz w:val="24"/>
        </w:rPr>
      </w:pPr>
      <w:r>
        <w:rPr>
          <w:b/>
          <w:sz w:val="24"/>
        </w:rPr>
        <w:t>Informácie, ktoré vysvetľujú a dopĺňajú súvahu a výkaz ziskov a strát</w:t>
      </w:r>
    </w:p>
    <w:p>
      <w:pPr>
        <w:pStyle w:val="Tlotextu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left" w:pos="669" w:leader="none"/>
        </w:tabs>
        <w:spacing w:lineRule="auto" w:line="240" w:before="0" w:after="0"/>
        <w:ind w:left="668" w:right="113" w:hanging="567"/>
        <w:jc w:val="both"/>
        <w:rPr/>
      </w:pPr>
      <w:r>
        <w:rPr>
          <w:sz w:val="24"/>
        </w:rPr>
        <w:t>Informácia o sume a dôvodoch vzniku jednotlivých položiek nákladov alebo  výnosov, ktoré majú výnimočný rozsah alebo výskyt, napríklad výnosy z predaja podniku alebo  časti podniku, náklady z dôvodu predaja podniku alebo časti podniku, škody z dôvodu živelných</w:t>
      </w:r>
      <w:r>
        <w:rPr>
          <w:spacing w:val="-4"/>
          <w:sz w:val="24"/>
        </w:rPr>
        <w:t xml:space="preserve"> </w:t>
      </w:r>
      <w:r>
        <w:rPr>
          <w:sz w:val="24"/>
        </w:rPr>
        <w:t>pohrôm</w:t>
      </w:r>
      <w:r>
        <w:rPr>
          <w:sz w:val="24"/>
        </w:rPr>
        <w:t xml:space="preserve"> – </w:t>
      </w:r>
      <w:bookmarkStart w:id="0" w:name="__DdeLink__196_2167379990"/>
      <w:r>
        <w:rPr>
          <w:sz w:val="24"/>
        </w:rPr>
        <w:t>účtovná jednotka nemá náplň</w:t>
      </w:r>
      <w:bookmarkEnd w:id="0"/>
      <w:r>
        <w:rPr>
          <w:sz w:val="24"/>
        </w:rPr>
        <w:t>.</w:t>
      </w:r>
    </w:p>
    <w:p>
      <w:pPr>
        <w:pStyle w:val="Tlotextu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left" w:pos="668" w:leader="none"/>
          <w:tab w:val="left" w:pos="669" w:leader="none"/>
        </w:tabs>
        <w:spacing w:lineRule="auto" w:line="240" w:before="1" w:after="0"/>
        <w:ind w:left="668" w:right="0" w:hanging="567"/>
        <w:jc w:val="left"/>
        <w:rPr>
          <w:sz w:val="24"/>
        </w:rPr>
      </w:pPr>
      <w:r>
        <w:rPr>
          <w:sz w:val="24"/>
        </w:rPr>
        <w:t>Informácie o záväzkoch, 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>
      <w:pPr>
        <w:pStyle w:val="ListParagraph"/>
        <w:numPr>
          <w:ilvl w:val="1"/>
          <w:numId w:val="1"/>
        </w:numPr>
        <w:tabs>
          <w:tab w:val="left" w:pos="1237" w:leader="none"/>
          <w:tab w:val="left" w:pos="1238" w:leader="none"/>
        </w:tabs>
        <w:spacing w:lineRule="auto" w:line="240" w:before="0" w:after="0"/>
        <w:jc w:val="left"/>
        <w:rPr/>
      </w:pPr>
      <w:r>
        <w:rPr>
          <w:sz w:val="24"/>
        </w:rPr>
        <w:t>celkovej sume záväzkov so zostatkovou dobou splatnosti dlhšou ako päť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rokov: </w:t>
      </w:r>
      <w:r>
        <w:rPr>
          <w:sz w:val="24"/>
        </w:rPr>
        <w:t>účtovná jednotka nemá náplň.</w:t>
      </w:r>
    </w:p>
    <w:p>
      <w:pPr>
        <w:pStyle w:val="ListParagraph"/>
        <w:numPr>
          <w:ilvl w:val="1"/>
          <w:numId w:val="1"/>
        </w:numPr>
        <w:tabs>
          <w:tab w:val="left" w:pos="1237" w:leader="none"/>
          <w:tab w:val="left" w:pos="1238" w:leader="none"/>
        </w:tabs>
        <w:spacing w:lineRule="auto" w:line="240" w:before="0" w:after="0"/>
        <w:jc w:val="left"/>
        <w:rPr/>
      </w:pPr>
      <w:r>
        <w:rPr>
          <w:sz w:val="24"/>
        </w:rPr>
        <w:t>celkovej sume zabezpečených záväzkov, opis a spôsoby zabezpečenia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záväzkov:  </w:t>
      </w:r>
      <w:r>
        <w:rPr>
          <w:sz w:val="24"/>
        </w:rPr>
        <w:t>účtovná jednotka nemá náplň</w:t>
      </w:r>
    </w:p>
    <w:p>
      <w:pPr>
        <w:pStyle w:val="Tlotextu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left" w:pos="668" w:leader="none"/>
          <w:tab w:val="left" w:pos="669" w:leader="none"/>
        </w:tabs>
        <w:spacing w:lineRule="auto" w:line="240" w:before="0" w:after="0"/>
        <w:ind w:left="668" w:right="0" w:hanging="567"/>
        <w:jc w:val="left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</w:p>
    <w:p>
      <w:pPr>
        <w:pStyle w:val="ListParagraph"/>
        <w:numPr>
          <w:ilvl w:val="1"/>
          <w:numId w:val="1"/>
        </w:numPr>
        <w:tabs>
          <w:tab w:val="left" w:pos="1237" w:leader="none"/>
          <w:tab w:val="left" w:pos="1238" w:leader="none"/>
        </w:tabs>
        <w:spacing w:lineRule="auto" w:line="240" w:before="0" w:after="0"/>
        <w:jc w:val="left"/>
        <w:rPr/>
      </w:pPr>
      <w:r>
        <w:rPr>
          <w:sz w:val="24"/>
        </w:rPr>
        <w:t>dôvode nadobudnutia vlastných akcií počas účtovného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obdobia </w:t>
      </w:r>
      <w:r>
        <w:rPr>
          <w:sz w:val="24"/>
        </w:rPr>
        <w:t>-  účtovná jednotka nemá náplň,</w:t>
      </w:r>
    </w:p>
    <w:p>
      <w:pPr>
        <w:pStyle w:val="ListParagraph"/>
        <w:numPr>
          <w:ilvl w:val="1"/>
          <w:numId w:val="1"/>
        </w:numPr>
        <w:tabs>
          <w:tab w:val="left" w:pos="1237" w:leader="none"/>
          <w:tab w:val="left" w:pos="1238" w:leader="none"/>
        </w:tabs>
        <w:spacing w:lineRule="auto" w:line="240" w:before="0" w:after="0"/>
        <w:ind w:left="1237" w:right="0" w:hanging="569"/>
        <w:jc w:val="left"/>
        <w:rPr>
          <w:sz w:val="24"/>
        </w:rPr>
      </w:pPr>
      <w:r>
        <w:rPr>
          <w:sz w:val="24"/>
        </w:rPr>
        <w:t>informáciách, ktorými</w:t>
      </w:r>
      <w:r>
        <w:rPr>
          <w:spacing w:val="-7"/>
          <w:sz w:val="24"/>
        </w:rPr>
        <w:t xml:space="preserve"> </w:t>
      </w:r>
      <w:r>
        <w:rPr>
          <w:sz w:val="24"/>
        </w:rPr>
        <w:t>sú</w:t>
      </w:r>
    </w:p>
    <w:p>
      <w:pPr>
        <w:pStyle w:val="ListParagraph"/>
        <w:numPr>
          <w:ilvl w:val="2"/>
          <w:numId w:val="1"/>
        </w:numPr>
        <w:tabs>
          <w:tab w:val="left" w:pos="1662" w:leader="none"/>
        </w:tabs>
        <w:spacing w:lineRule="auto" w:line="240" w:before="0" w:after="0"/>
        <w:jc w:val="both"/>
        <w:rPr/>
      </w:pPr>
      <w:r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imaní </w:t>
      </w:r>
      <w:r>
        <w:rPr>
          <w:sz w:val="24"/>
        </w:rPr>
        <w:t>-  účtovná jednotka nemá náplň,</w:t>
      </w:r>
    </w:p>
    <w:p>
      <w:pPr>
        <w:pStyle w:val="ListParagraph"/>
        <w:numPr>
          <w:ilvl w:val="2"/>
          <w:numId w:val="1"/>
        </w:numPr>
        <w:tabs>
          <w:tab w:val="left" w:pos="1662" w:leader="none"/>
        </w:tabs>
        <w:spacing w:lineRule="auto" w:line="240" w:before="0" w:after="0"/>
        <w:jc w:val="both"/>
        <w:rPr/>
      </w:pPr>
      <w:r>
        <w:rPr>
          <w:sz w:val="24"/>
        </w:rPr>
        <w:t>počet a hodnota, za ktorú sa vlastné akcie počas  účtovného obdobia nadobudli   a počet a hodnota, za ktorú sa vlastné akcie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osobu </w:t>
      </w:r>
      <w:r>
        <w:rPr>
          <w:sz w:val="24"/>
        </w:rPr>
        <w:t>-  účtovná jednotka nemá náplň,</w:t>
      </w:r>
    </w:p>
    <w:p>
      <w:pPr>
        <w:pStyle w:val="ListParagraph"/>
        <w:numPr>
          <w:ilvl w:val="1"/>
          <w:numId w:val="1"/>
        </w:numPr>
        <w:tabs>
          <w:tab w:val="left" w:pos="1238" w:leader="none"/>
        </w:tabs>
        <w:spacing w:lineRule="auto" w:line="240" w:before="0" w:after="0"/>
        <w:jc w:val="both"/>
        <w:rPr/>
      </w:pPr>
      <w:r>
        <w:rPr>
          <w:sz w:val="24"/>
        </w:rPr>
        <w:t>počte, menovitej hodnote a hodnote, za ktorú sa vlastné akcie nadobudli a ktoré účtovná jednotka má v držbe k poslednému dňu účtovného obdobia; uvádza  sa aj  ich percentuálny podiel na upísanom základnom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imaní </w:t>
      </w:r>
      <w:r>
        <w:rPr>
          <w:sz w:val="24"/>
        </w:rPr>
        <w:t>-  účtovná jednotka nemá náplň.</w:t>
      </w:r>
    </w:p>
    <w:p>
      <w:pPr>
        <w:pStyle w:val="Tlotextu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left" w:pos="668" w:leader="none"/>
          <w:tab w:val="left" w:pos="669" w:leader="none"/>
        </w:tabs>
        <w:spacing w:lineRule="auto" w:line="240" w:before="0" w:after="0"/>
        <w:ind w:left="668" w:right="0" w:hanging="567"/>
        <w:jc w:val="left"/>
        <w:rPr>
          <w:sz w:val="24"/>
        </w:rPr>
      </w:pPr>
      <w:r>
        <w:rPr>
          <w:sz w:val="24"/>
        </w:rPr>
        <w:t>Informácie o orgánoch účtovnej jednotky, 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</w:p>
    <w:p>
      <w:pPr>
        <w:pStyle w:val="ListParagraph"/>
        <w:numPr>
          <w:ilvl w:val="1"/>
          <w:numId w:val="1"/>
        </w:numPr>
        <w:tabs>
          <w:tab w:val="left" w:pos="1238" w:leader="none"/>
        </w:tabs>
        <w:spacing w:lineRule="auto" w:line="240" w:before="0" w:after="0"/>
        <w:jc w:val="both"/>
        <w:rPr/>
      </w:pPr>
      <w:r>
        <w:rPr>
          <w:sz w:val="24"/>
        </w:rPr>
        <w:t>výške jednotlivých druhov záruk alebo iných zabezpečení poskytnutých pre členov štatutárneho  orgánu,  dozorného  orgánu  a  iného  orgánu  účtovnej  jednotky,  a to  v členení za jednotlivé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orgány </w:t>
      </w:r>
      <w:r>
        <w:rPr>
          <w:sz w:val="24"/>
        </w:rPr>
        <w:t>-  účtovná jednotka nemá náplň,</w:t>
      </w:r>
    </w:p>
    <w:p>
      <w:pPr>
        <w:pStyle w:val="ListParagraph"/>
        <w:numPr>
          <w:ilvl w:val="1"/>
          <w:numId w:val="1"/>
        </w:numPr>
        <w:tabs>
          <w:tab w:val="left" w:pos="1238" w:leader="none"/>
        </w:tabs>
        <w:spacing w:lineRule="auto" w:line="240" w:before="0" w:after="0"/>
        <w:ind w:left="1237" w:right="113" w:hanging="569"/>
        <w:jc w:val="both"/>
        <w:rPr>
          <w:sz w:val="24"/>
        </w:rPr>
      </w:pPr>
      <w:r>
        <w:rPr>
          <w:sz w:val="24"/>
        </w:rPr>
        <w:t>pôžičkách poskytnutých členom štatutárneho orgánu, dozorného orgánu a iného orgánu účtovnej jednotky 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>
      <w:pPr>
        <w:pStyle w:val="ListParagraph"/>
        <w:numPr>
          <w:ilvl w:val="2"/>
          <w:numId w:val="1"/>
        </w:numPr>
        <w:tabs>
          <w:tab w:val="left" w:pos="1662" w:leader="none"/>
        </w:tabs>
        <w:spacing w:lineRule="auto" w:line="240" w:before="0" w:after="0"/>
        <w:jc w:val="both"/>
        <w:rPr/>
      </w:pPr>
      <w:r>
        <w:rPr>
          <w:sz w:val="24"/>
        </w:rPr>
        <w:t>celková suma  poskytnutých  pôžičiek  k poslednému  dňu  účtovného  obdobia  v členení za jednotlivé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orgány </w:t>
      </w:r>
      <w:r>
        <w:rPr>
          <w:sz w:val="24"/>
        </w:rPr>
        <w:t>-  účtovná jednotka nemá náplň,</w:t>
      </w:r>
    </w:p>
    <w:p>
      <w:pPr>
        <w:pStyle w:val="ListParagraph"/>
        <w:numPr>
          <w:ilvl w:val="2"/>
          <w:numId w:val="1"/>
        </w:numPr>
        <w:tabs>
          <w:tab w:val="left" w:pos="1662" w:leader="none"/>
        </w:tabs>
        <w:spacing w:lineRule="auto" w:line="240" w:before="0" w:after="0"/>
        <w:jc w:val="both"/>
        <w:rPr/>
      </w:pPr>
      <w:r>
        <w:rPr>
          <w:sz w:val="24"/>
        </w:rPr>
        <w:t>celková  suma  splatených  pôžičiek   k poslednému   dňu  účtovného  obdobia   v členení za jednotlivé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orgány </w:t>
      </w:r>
      <w:r>
        <w:rPr>
          <w:sz w:val="24"/>
        </w:rPr>
        <w:t>-  účtovná jednotka nemá náplň.</w:t>
      </w:r>
    </w:p>
    <w:p>
      <w:pPr>
        <w:pStyle w:val="Tlotextu"/>
        <w:spacing w:before="90" w:after="0"/>
        <w:ind w:left="0" w:right="114" w:hanging="0"/>
        <w:jc w:val="right"/>
        <w:rPr/>
      </w:pPr>
      <w:r>
        <w:rPr/>
        <w:t>Strana 8</w:t>
      </w:r>
    </w:p>
    <w:p>
      <w:pPr>
        <w:pStyle w:val="Tlotextu"/>
        <w:spacing w:before="9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left" w:pos="1297" w:leader="none"/>
          <w:tab w:val="left" w:pos="2162" w:leader="none"/>
          <w:tab w:val="left" w:pos="3026" w:leader="none"/>
          <w:tab w:val="left" w:pos="4322" w:leader="none"/>
          <w:tab w:val="left" w:pos="9291" w:leader="none"/>
        </w:tabs>
        <w:spacing w:before="101" w:after="0"/>
        <w:ind w:left="1" w:right="0" w:hanging="0"/>
        <w:jc w:val="center"/>
        <w:rPr>
          <w:rFonts w:ascii="Courier New" w:hAnsi="Courier New"/>
          <w:color w:val="0000FF"/>
          <w:sz w:val="27"/>
          <w:u w:val="single" w:color="0000FF"/>
        </w:rPr>
      </w:pPr>
      <w:r>
        <w:rPr/>
      </w:r>
    </w:p>
    <w:sectPr>
      <w:type w:val="nextPage"/>
      <w:pgSz w:w="11906" w:h="16850"/>
      <w:pgMar w:left="1060" w:right="1300" w:header="0" w:top="13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668" w:hanging="567"/>
      </w:pPr>
      <w:rPr>
        <w:sz w:val="24"/>
        <w:spacing w:val="-20"/>
        <w:szCs w:val="24"/>
        <w:w w:val="99"/>
        <w:rFonts w:eastAsia="Times New Roman" w:cs="Times New Roman"/>
      </w:rPr>
    </w:lvl>
    <w:lvl w:ilvl="1">
      <w:start w:val="1"/>
      <w:numFmt w:val="lowerLetter"/>
      <w:lvlText w:val="%2)"/>
      <w:lvlJc w:val="left"/>
      <w:pPr>
        <w:ind w:left="1237" w:hanging="569"/>
      </w:pPr>
      <w:rPr>
        <w:sz w:val="24"/>
        <w:spacing w:val="-2"/>
        <w:szCs w:val="24"/>
        <w:w w:val="99"/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662" w:hanging="425"/>
      </w:pPr>
      <w:rPr>
        <w:sz w:val="24"/>
        <w:spacing w:val="-14"/>
        <w:szCs w:val="24"/>
        <w:w w:val="99"/>
        <w:rFonts w:eastAsia="Times New Roman" w:cs="Times New Roman"/>
      </w:rPr>
    </w:lvl>
    <w:lvl w:ilvl="3">
      <w:start w:val="0"/>
      <w:numFmt w:val="bullet"/>
      <w:lvlText w:val=""/>
      <w:lvlJc w:val="left"/>
      <w:pPr>
        <w:ind w:left="2645" w:hanging="4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3631" w:hanging="4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4617" w:hanging="4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5603" w:hanging="4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6589" w:hanging="4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7574" w:hanging="425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(%1)"/>
      <w:lvlJc w:val="left"/>
      <w:pPr>
        <w:ind w:left="828" w:hanging="567"/>
      </w:pPr>
      <w:rPr>
        <w:sz w:val="24"/>
        <w:spacing w:val="-4"/>
        <w:szCs w:val="24"/>
        <w:w w:val="99"/>
        <w:rFonts w:eastAsia="Times New Roman" w:cs="Times New Roman"/>
      </w:rPr>
    </w:lvl>
    <w:lvl w:ilvl="1">
      <w:start w:val="1"/>
      <w:numFmt w:val="lowerLetter"/>
      <w:lvlText w:val="%2)"/>
      <w:lvlJc w:val="left"/>
      <w:pPr>
        <w:ind w:left="1397" w:hanging="569"/>
      </w:pPr>
      <w:rPr>
        <w:sz w:val="24"/>
        <w:spacing w:val="-3"/>
        <w:szCs w:val="24"/>
        <w:w w:val="99"/>
        <w:rFonts w:eastAsia="Times New Roman" w:cs="Times New Roman"/>
      </w:rPr>
    </w:lvl>
    <w:lvl w:ilvl="2">
      <w:start w:val="0"/>
      <w:numFmt w:val="bullet"/>
      <w:lvlText w:val=""/>
      <w:lvlJc w:val="left"/>
      <w:pPr>
        <w:ind w:left="2416" w:hanging="56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3432" w:hanging="56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448" w:hanging="56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465" w:hanging="56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481" w:hanging="56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497" w:hanging="56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513" w:hanging="569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(%1)"/>
      <w:lvlJc w:val="left"/>
      <w:pPr>
        <w:ind w:left="828" w:hanging="567"/>
      </w:pPr>
      <w:rPr>
        <w:sz w:val="24"/>
        <w:spacing w:val="-8"/>
        <w:szCs w:val="24"/>
        <w:w w:val="99"/>
        <w:rFonts w:eastAsia="Times New Roman" w:cs="Times New Roman"/>
      </w:rPr>
    </w:lvl>
    <w:lvl w:ilvl="1">
      <w:start w:val="1"/>
      <w:numFmt w:val="lowerLetter"/>
      <w:lvlText w:val="%2)"/>
      <w:lvlJc w:val="left"/>
      <w:pPr>
        <w:ind w:left="1397" w:hanging="569"/>
      </w:pPr>
      <w:rPr>
        <w:sz w:val="24"/>
        <w:spacing w:val="-21"/>
        <w:szCs w:val="24"/>
        <w:w w:val="99"/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822" w:hanging="425"/>
      </w:pPr>
      <w:rPr>
        <w:sz w:val="24"/>
        <w:spacing w:val="-25"/>
        <w:szCs w:val="24"/>
        <w:w w:val="99"/>
        <w:rFonts w:eastAsia="Times New Roman" w:cs="Times New Roman"/>
      </w:rPr>
    </w:lvl>
    <w:lvl w:ilvl="3">
      <w:start w:val="0"/>
      <w:numFmt w:val="bullet"/>
      <w:lvlText w:val=""/>
      <w:lvlJc w:val="left"/>
      <w:pPr>
        <w:ind w:left="2910" w:hanging="4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001" w:hanging="4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092" w:hanging="4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183" w:hanging="4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274" w:hanging="4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364" w:hanging="425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en-US" w:eastAsia="en-US" w:bidi="ar-SA"/>
    </w:rPr>
  </w:style>
  <w:style w:type="paragraph" w:styleId="Nadpis1">
    <w:name w:val="Heading 1"/>
    <w:basedOn w:val="Normal"/>
    <w:uiPriority w:val="1"/>
    <w:qFormat/>
    <w:pPr>
      <w:ind w:left="0" w:right="834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spacing w:val="-20"/>
      <w:w w:val="99"/>
      <w:sz w:val="24"/>
      <w:szCs w:val="24"/>
    </w:rPr>
  </w:style>
  <w:style w:type="character" w:styleId="ListLabel2">
    <w:name w:val="ListLabel 2"/>
    <w:qFormat/>
    <w:rPr>
      <w:rFonts w:eastAsia="Times New Roman" w:cs="Times New Roman"/>
      <w:spacing w:val="-2"/>
      <w:w w:val="99"/>
      <w:sz w:val="24"/>
      <w:szCs w:val="24"/>
    </w:rPr>
  </w:style>
  <w:style w:type="character" w:styleId="ListLabel3">
    <w:name w:val="ListLabel 3"/>
    <w:qFormat/>
    <w:rPr>
      <w:rFonts w:eastAsia="Times New Roman" w:cs="Times New Roman"/>
      <w:spacing w:val="-14"/>
      <w:w w:val="99"/>
      <w:sz w:val="24"/>
      <w:szCs w:val="24"/>
    </w:rPr>
  </w:style>
  <w:style w:type="character" w:styleId="ListLabel4">
    <w:name w:val="ListLabel 4"/>
    <w:qFormat/>
    <w:rPr>
      <w:rFonts w:eastAsia="Times New Roman" w:cs="Times New Roman"/>
      <w:spacing w:val="-4"/>
      <w:w w:val="99"/>
      <w:sz w:val="24"/>
      <w:szCs w:val="24"/>
    </w:rPr>
  </w:style>
  <w:style w:type="character" w:styleId="ListLabel5">
    <w:name w:val="ListLabel 5"/>
    <w:qFormat/>
    <w:rPr>
      <w:rFonts w:eastAsia="Times New Roman" w:cs="Times New Roman"/>
      <w:spacing w:val="-3"/>
      <w:w w:val="99"/>
      <w:sz w:val="24"/>
      <w:szCs w:val="24"/>
    </w:rPr>
  </w:style>
  <w:style w:type="character" w:styleId="ListLabel6">
    <w:name w:val="ListLabel 6"/>
    <w:qFormat/>
    <w:rPr>
      <w:rFonts w:eastAsia="Times New Roman" w:cs="Times New Roman"/>
      <w:spacing w:val="-8"/>
      <w:w w:val="99"/>
      <w:sz w:val="24"/>
      <w:szCs w:val="24"/>
    </w:rPr>
  </w:style>
  <w:style w:type="character" w:styleId="ListLabel7">
    <w:name w:val="ListLabel 7"/>
    <w:qFormat/>
    <w:rPr>
      <w:rFonts w:eastAsia="Times New Roman" w:cs="Times New Roman"/>
      <w:spacing w:val="-21"/>
      <w:w w:val="99"/>
      <w:sz w:val="24"/>
      <w:szCs w:val="24"/>
    </w:rPr>
  </w:style>
  <w:style w:type="character" w:styleId="ListLabel8">
    <w:name w:val="ListLabel 8"/>
    <w:qFormat/>
    <w:rPr>
      <w:rFonts w:eastAsia="Times New Roman" w:cs="Times New Roman"/>
      <w:spacing w:val="-25"/>
      <w:w w:val="99"/>
      <w:sz w:val="24"/>
      <w:szCs w:val="24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1397" w:right="0" w:hanging="569"/>
    </w:pPr>
    <w:rPr>
      <w:rFonts w:ascii="Times New Roman" w:hAnsi="Times New Roman" w:eastAsia="Times New Roman" w:cs="Times New Roman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LibreOffice/5.3.3.2$Windows_x86 LibreOffice_project/3d9a8b4b4e538a85e0782bd6c2d430bafe583448</Application>
  <Pages>2</Pages>
  <Words>678</Words>
  <Characters>3855</Characters>
  <CharactersWithSpaces>4511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2017-06-19T12:21:50Z</dcterms:created>
  <dc:creator>maria</dc:creator>
  <dc:description/>
  <dc:language>sk-SK</dc:language>
  <cp:lastModifiedBy/>
  <cp:lastPrinted>2017-06-19T14:48:14Z</cp:lastPrinted>
  <dcterms:modified xsi:type="dcterms:W3CDTF">2017-06-19T14:48:35Z</dcterms:modified>
  <cp:revision>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2015-02-05T00:00:00Z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2017-06-19T00:00:00Z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