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87" w:rsidRPr="007F2F9C" w:rsidRDefault="00C71387" w:rsidP="007F2F9C">
      <w:pPr>
        <w:contextualSpacing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  <w:rPr>
          <w:b/>
        </w:rPr>
      </w:pPr>
    </w:p>
    <w:p w:rsidR="00C71387" w:rsidRPr="007F2F9C" w:rsidRDefault="00C71387" w:rsidP="007F2F9C">
      <w:pPr>
        <w:contextualSpacing/>
        <w:jc w:val="center"/>
      </w:pPr>
      <w:r w:rsidRPr="007F2F9C">
        <w:t>Výroč</w:t>
      </w:r>
      <w:r w:rsidR="00053E21" w:rsidRPr="007F2F9C">
        <w:t xml:space="preserve">ná správa občianskeho združenia </w:t>
      </w:r>
      <w:r w:rsidRPr="007F2F9C">
        <w:t xml:space="preserve"> </w:t>
      </w:r>
    </w:p>
    <w:p w:rsidR="00C71387" w:rsidRPr="007F2F9C" w:rsidRDefault="00C71387" w:rsidP="007F2F9C">
      <w:pPr>
        <w:contextualSpacing/>
        <w:jc w:val="center"/>
        <w:rPr>
          <w:b/>
        </w:rPr>
      </w:pPr>
    </w:p>
    <w:p w:rsidR="00C71387" w:rsidRPr="007F2F9C" w:rsidRDefault="00053E21" w:rsidP="007F2F9C">
      <w:pPr>
        <w:contextualSpacing/>
        <w:jc w:val="center"/>
        <w:rPr>
          <w:b/>
        </w:rPr>
      </w:pPr>
      <w:r w:rsidRPr="007F2F9C">
        <w:rPr>
          <w:b/>
          <w:bCs/>
        </w:rPr>
        <w:t>Prosocia</w:t>
      </w:r>
    </w:p>
    <w:p w:rsidR="00C71387" w:rsidRPr="007F2F9C" w:rsidRDefault="00C71387" w:rsidP="007F2F9C">
      <w:pPr>
        <w:contextualSpacing/>
        <w:jc w:val="center"/>
        <w:rPr>
          <w:b/>
        </w:rPr>
      </w:pPr>
    </w:p>
    <w:p w:rsidR="00C71387" w:rsidRPr="007F2F9C" w:rsidRDefault="00C71387" w:rsidP="007F2F9C">
      <w:pPr>
        <w:contextualSpacing/>
        <w:jc w:val="center"/>
      </w:pPr>
      <w:r w:rsidRPr="007F2F9C">
        <w:t xml:space="preserve">za rok </w:t>
      </w:r>
      <w:r w:rsidR="008F3F57" w:rsidRPr="007F2F9C">
        <w:t>201</w:t>
      </w:r>
      <w:r w:rsidR="00A97181" w:rsidRPr="007F2F9C">
        <w:t>6</w:t>
      </w: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  <w:jc w:val="center"/>
      </w:pPr>
    </w:p>
    <w:p w:rsidR="00C71387" w:rsidRPr="007F2F9C" w:rsidRDefault="00C71387" w:rsidP="007F2F9C">
      <w:pPr>
        <w:contextualSpacing/>
      </w:pPr>
    </w:p>
    <w:p w:rsidR="00C71387" w:rsidRPr="007F2F9C" w:rsidRDefault="00C71387" w:rsidP="007F2F9C">
      <w:pPr>
        <w:contextualSpacing/>
      </w:pPr>
    </w:p>
    <w:p w:rsidR="00C71387" w:rsidRPr="007F2F9C" w:rsidRDefault="00C71387" w:rsidP="007F2F9C">
      <w:pPr>
        <w:contextualSpacing/>
      </w:pPr>
    </w:p>
    <w:p w:rsidR="00C71387" w:rsidRPr="007F2F9C" w:rsidRDefault="00C71387" w:rsidP="007F2F9C">
      <w:pPr>
        <w:contextualSpacing/>
      </w:pPr>
      <w:r w:rsidRPr="007F2F9C">
        <w:t>V</w:t>
      </w:r>
      <w:r w:rsidR="00DE0CC7" w:rsidRPr="007F2F9C">
        <w:t> </w:t>
      </w:r>
      <w:r w:rsidR="00053E21" w:rsidRPr="007F2F9C">
        <w:t>Hurbanove</w:t>
      </w:r>
      <w:r w:rsidR="00DE0CC7" w:rsidRPr="007F2F9C">
        <w:t xml:space="preserve"> dňa </w:t>
      </w:r>
      <w:r w:rsidR="006A55EE">
        <w:t>19.06.2017</w:t>
      </w:r>
    </w:p>
    <w:p w:rsidR="00C71387" w:rsidRPr="007F2F9C" w:rsidRDefault="00C71387" w:rsidP="007F2F9C">
      <w:pPr>
        <w:contextualSpacing/>
      </w:pPr>
    </w:p>
    <w:p w:rsidR="00C71387" w:rsidRPr="007F2F9C" w:rsidRDefault="00C71387" w:rsidP="007F2F9C">
      <w:pPr>
        <w:contextualSpacing/>
      </w:pPr>
    </w:p>
    <w:p w:rsidR="00C71387" w:rsidRPr="007F2F9C" w:rsidRDefault="00C71387" w:rsidP="007F2F9C">
      <w:pPr>
        <w:contextualSpacing/>
        <w:rPr>
          <w:b/>
          <w:u w:val="single"/>
        </w:rPr>
      </w:pPr>
    </w:p>
    <w:p w:rsidR="00C71387" w:rsidRPr="007F2F9C" w:rsidRDefault="00C71387" w:rsidP="007F2F9C">
      <w:pPr>
        <w:contextualSpacing/>
        <w:rPr>
          <w:b/>
          <w:u w:val="single"/>
        </w:rPr>
      </w:pPr>
    </w:p>
    <w:p w:rsidR="00755FCE" w:rsidRPr="007F2F9C" w:rsidRDefault="00755FCE" w:rsidP="007F2F9C">
      <w:pPr>
        <w:contextualSpacing/>
        <w:rPr>
          <w:b/>
          <w:u w:val="single"/>
        </w:rPr>
      </w:pPr>
    </w:p>
    <w:p w:rsidR="00755FCE" w:rsidRPr="007F2F9C" w:rsidRDefault="00755FCE" w:rsidP="007F2F9C">
      <w:pPr>
        <w:contextualSpacing/>
        <w:rPr>
          <w:b/>
          <w:u w:val="single"/>
        </w:rPr>
      </w:pPr>
    </w:p>
    <w:p w:rsidR="00C71387" w:rsidRPr="007F2F9C" w:rsidRDefault="00C71387" w:rsidP="007F2F9C">
      <w:pPr>
        <w:contextualSpacing/>
        <w:rPr>
          <w:b/>
          <w:u w:val="single"/>
        </w:rPr>
      </w:pPr>
    </w:p>
    <w:p w:rsidR="00C71387" w:rsidRPr="007F2F9C" w:rsidRDefault="00C71387" w:rsidP="007F2F9C">
      <w:pPr>
        <w:contextualSpacing/>
        <w:jc w:val="both"/>
        <w:rPr>
          <w:b/>
          <w:u w:val="single"/>
        </w:rPr>
      </w:pPr>
      <w:r w:rsidRPr="007F2F9C">
        <w:rPr>
          <w:b/>
          <w:u w:val="single"/>
        </w:rPr>
        <w:t>OBSAH:</w:t>
      </w:r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pStyle w:val="Nadpis1"/>
        <w:contextualSpacing/>
        <w:rPr>
          <w:bCs/>
          <w:caps/>
          <w:szCs w:val="24"/>
          <w:u w:val="none"/>
        </w:rPr>
      </w:pPr>
    </w:p>
    <w:p w:rsidR="00C71387" w:rsidRPr="007F2F9C" w:rsidRDefault="00C71387" w:rsidP="007F2F9C">
      <w:pPr>
        <w:pStyle w:val="Nadpis1"/>
        <w:contextualSpacing/>
        <w:rPr>
          <w:caps/>
          <w:szCs w:val="24"/>
          <w:u w:val="none"/>
        </w:rPr>
      </w:pPr>
      <w:r w:rsidRPr="007F2F9C">
        <w:rPr>
          <w:caps/>
          <w:szCs w:val="24"/>
          <w:u w:val="none"/>
        </w:rPr>
        <w:t>1.  ÚVOD</w:t>
      </w:r>
      <w:r w:rsidRPr="007F2F9C">
        <w:rPr>
          <w:caps/>
          <w:szCs w:val="24"/>
          <w:u w:val="none"/>
        </w:rPr>
        <w:tab/>
      </w:r>
      <w:r w:rsidRPr="007F2F9C">
        <w:rPr>
          <w:caps/>
          <w:szCs w:val="24"/>
          <w:u w:val="none"/>
        </w:rPr>
        <w:tab/>
      </w:r>
      <w:r w:rsidRPr="007F2F9C">
        <w:rPr>
          <w:caps/>
          <w:szCs w:val="24"/>
          <w:u w:val="none"/>
        </w:rPr>
        <w:tab/>
      </w:r>
      <w:r w:rsidRPr="007F2F9C">
        <w:rPr>
          <w:caps/>
          <w:szCs w:val="24"/>
          <w:u w:val="none"/>
        </w:rPr>
        <w:tab/>
      </w:r>
      <w:r w:rsidRPr="007F2F9C">
        <w:rPr>
          <w:caps/>
          <w:szCs w:val="24"/>
          <w:u w:val="none"/>
        </w:rPr>
        <w:tab/>
      </w:r>
      <w:r w:rsidRPr="007F2F9C">
        <w:rPr>
          <w:caps/>
          <w:szCs w:val="24"/>
          <w:u w:val="none"/>
        </w:rPr>
        <w:tab/>
      </w:r>
      <w:r w:rsidRPr="007F2F9C">
        <w:rPr>
          <w:caps/>
          <w:szCs w:val="24"/>
          <w:u w:val="none"/>
        </w:rPr>
        <w:tab/>
      </w:r>
      <w:r w:rsidRPr="007F2F9C">
        <w:rPr>
          <w:caps/>
          <w:szCs w:val="24"/>
          <w:u w:val="none"/>
        </w:rPr>
        <w:tab/>
      </w:r>
      <w:r w:rsidRPr="007F2F9C">
        <w:rPr>
          <w:caps/>
          <w:szCs w:val="24"/>
          <w:u w:val="none"/>
        </w:rPr>
        <w:tab/>
      </w:r>
      <w:r w:rsidRPr="007F2F9C">
        <w:rPr>
          <w:caps/>
          <w:szCs w:val="24"/>
          <w:u w:val="none"/>
        </w:rPr>
        <w:tab/>
      </w:r>
      <w:r w:rsidR="00BF5974">
        <w:rPr>
          <w:caps/>
          <w:szCs w:val="24"/>
          <w:u w:val="none"/>
        </w:rPr>
        <w:t xml:space="preserve">  </w:t>
      </w:r>
      <w:r w:rsidRPr="007F2F9C">
        <w:rPr>
          <w:caps/>
          <w:szCs w:val="24"/>
          <w:u w:val="none"/>
        </w:rPr>
        <w:t>3</w:t>
      </w:r>
      <w:r w:rsidRPr="007F2F9C">
        <w:rPr>
          <w:caps/>
          <w:szCs w:val="24"/>
          <w:u w:val="none"/>
        </w:rPr>
        <w:tab/>
      </w:r>
      <w:r w:rsidRPr="007F2F9C">
        <w:rPr>
          <w:caps/>
          <w:szCs w:val="24"/>
          <w:u w:val="none"/>
        </w:rPr>
        <w:tab/>
      </w:r>
      <w:r w:rsidRPr="007F2F9C">
        <w:rPr>
          <w:caps/>
          <w:szCs w:val="24"/>
          <w:u w:val="none"/>
        </w:rPr>
        <w:tab/>
      </w:r>
      <w:r w:rsidRPr="007F2F9C">
        <w:rPr>
          <w:caps/>
          <w:szCs w:val="24"/>
          <w:u w:val="none"/>
        </w:rPr>
        <w:tab/>
      </w:r>
      <w:r w:rsidRPr="007F2F9C">
        <w:rPr>
          <w:caps/>
          <w:szCs w:val="24"/>
          <w:u w:val="none"/>
        </w:rPr>
        <w:tab/>
      </w:r>
    </w:p>
    <w:p w:rsidR="00C71387" w:rsidRPr="007F2F9C" w:rsidRDefault="00C71387" w:rsidP="007F2F9C">
      <w:pPr>
        <w:pStyle w:val="Nadpis1"/>
        <w:contextualSpacing/>
        <w:rPr>
          <w:bCs/>
          <w:caps/>
          <w:szCs w:val="24"/>
          <w:u w:val="none"/>
        </w:rPr>
      </w:pPr>
      <w:r w:rsidRPr="007F2F9C">
        <w:rPr>
          <w:bCs/>
          <w:caps/>
          <w:szCs w:val="24"/>
          <w:u w:val="none"/>
        </w:rPr>
        <w:t xml:space="preserve">2. Prehľad činností uskutočnených organizáciou </w:t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</w:p>
    <w:p w:rsidR="00C71387" w:rsidRPr="007F2F9C" w:rsidRDefault="00C71387" w:rsidP="007F2F9C">
      <w:pPr>
        <w:pStyle w:val="Nadpis1"/>
        <w:contextualSpacing/>
        <w:rPr>
          <w:bCs/>
          <w:caps/>
          <w:szCs w:val="24"/>
          <w:u w:val="none"/>
        </w:rPr>
      </w:pPr>
      <w:r w:rsidRPr="007F2F9C">
        <w:rPr>
          <w:bCs/>
          <w:caps/>
          <w:szCs w:val="24"/>
          <w:u w:val="none"/>
        </w:rPr>
        <w:t>za rok 201</w:t>
      </w:r>
      <w:r w:rsidR="00534080" w:rsidRPr="007F2F9C">
        <w:rPr>
          <w:bCs/>
          <w:caps/>
          <w:szCs w:val="24"/>
          <w:u w:val="none"/>
        </w:rPr>
        <w:t>6</w:t>
      </w:r>
      <w:r w:rsidRPr="007F2F9C">
        <w:rPr>
          <w:bCs/>
          <w:caps/>
          <w:szCs w:val="24"/>
          <w:u w:val="none"/>
        </w:rPr>
        <w:t xml:space="preserve"> s uvedením vzťahu k účelu založenia</w:t>
      </w:r>
      <w:r w:rsidR="007F2F9C">
        <w:rPr>
          <w:bCs/>
          <w:caps/>
          <w:szCs w:val="24"/>
          <w:u w:val="none"/>
        </w:rPr>
        <w:tab/>
        <w:t xml:space="preserve">            </w:t>
      </w:r>
      <w:r w:rsidR="00BF5974">
        <w:rPr>
          <w:bCs/>
          <w:caps/>
          <w:szCs w:val="24"/>
          <w:u w:val="none"/>
        </w:rPr>
        <w:t xml:space="preserve"> </w:t>
      </w:r>
      <w:r w:rsidR="00373301" w:rsidRPr="007F2F9C">
        <w:rPr>
          <w:bCs/>
          <w:caps/>
          <w:szCs w:val="24"/>
          <w:u w:val="none"/>
        </w:rPr>
        <w:t>4</w:t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</w:p>
    <w:p w:rsidR="00C71387" w:rsidRPr="007F2F9C" w:rsidRDefault="00C71387" w:rsidP="007F2F9C">
      <w:pPr>
        <w:pStyle w:val="Nadpis1"/>
        <w:contextualSpacing/>
        <w:rPr>
          <w:bCs/>
          <w:caps/>
          <w:szCs w:val="24"/>
          <w:u w:val="none"/>
        </w:rPr>
      </w:pPr>
      <w:r w:rsidRPr="007F2F9C">
        <w:rPr>
          <w:bCs/>
          <w:caps/>
          <w:szCs w:val="24"/>
          <w:u w:val="none"/>
        </w:rPr>
        <w:t xml:space="preserve">3. Ročná účtovná závierka a zhodnotenie </w:t>
      </w:r>
      <w:r w:rsidR="00477194" w:rsidRPr="007F2F9C">
        <w:rPr>
          <w:bCs/>
          <w:caps/>
          <w:szCs w:val="24"/>
          <w:u w:val="none"/>
        </w:rPr>
        <w:tab/>
      </w:r>
      <w:r w:rsidR="00477194" w:rsidRPr="007F2F9C">
        <w:rPr>
          <w:bCs/>
          <w:caps/>
          <w:szCs w:val="24"/>
          <w:u w:val="none"/>
        </w:rPr>
        <w:tab/>
      </w:r>
      <w:r w:rsidR="00477194" w:rsidRPr="007F2F9C">
        <w:rPr>
          <w:bCs/>
          <w:caps/>
          <w:szCs w:val="24"/>
          <w:u w:val="none"/>
        </w:rPr>
        <w:tab/>
      </w:r>
      <w:r w:rsidR="00477194" w:rsidRPr="007F2F9C">
        <w:rPr>
          <w:bCs/>
          <w:caps/>
          <w:szCs w:val="24"/>
          <w:u w:val="none"/>
        </w:rPr>
        <w:tab/>
      </w:r>
      <w:r w:rsidR="00BF5974">
        <w:rPr>
          <w:bCs/>
          <w:caps/>
          <w:szCs w:val="24"/>
          <w:u w:val="none"/>
        </w:rPr>
        <w:t xml:space="preserve"> </w:t>
      </w:r>
      <w:r w:rsidR="00454666">
        <w:rPr>
          <w:bCs/>
          <w:caps/>
          <w:szCs w:val="24"/>
          <w:u w:val="none"/>
        </w:rPr>
        <w:t>6</w:t>
      </w:r>
    </w:p>
    <w:p w:rsidR="00C71387" w:rsidRPr="007F2F9C" w:rsidRDefault="00C71387" w:rsidP="007F2F9C">
      <w:pPr>
        <w:pStyle w:val="Nadpis1"/>
        <w:contextualSpacing/>
        <w:rPr>
          <w:bCs/>
          <w:caps/>
          <w:szCs w:val="24"/>
          <w:u w:val="none"/>
        </w:rPr>
      </w:pPr>
      <w:r w:rsidRPr="007F2F9C">
        <w:rPr>
          <w:bCs/>
          <w:caps/>
          <w:szCs w:val="24"/>
          <w:u w:val="none"/>
        </w:rPr>
        <w:t>základných údajov v nej obsiahnutých</w:t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</w:p>
    <w:p w:rsidR="00C71387" w:rsidRPr="007F2F9C" w:rsidRDefault="00C71387" w:rsidP="007F2F9C">
      <w:pPr>
        <w:contextualSpacing/>
      </w:pPr>
    </w:p>
    <w:p w:rsidR="00C71387" w:rsidRPr="007F2F9C" w:rsidRDefault="00C71387" w:rsidP="007F2F9C">
      <w:pPr>
        <w:pStyle w:val="Nadpis1"/>
        <w:contextualSpacing/>
        <w:rPr>
          <w:bCs/>
          <w:caps/>
          <w:szCs w:val="24"/>
          <w:u w:val="none"/>
        </w:rPr>
      </w:pPr>
      <w:r w:rsidRPr="007F2F9C">
        <w:rPr>
          <w:bCs/>
          <w:caps/>
          <w:szCs w:val="24"/>
          <w:u w:val="none"/>
        </w:rPr>
        <w:t>4. Výrok audítora k ročnej účtovnej závierke</w:t>
      </w:r>
      <w:r w:rsidR="00615C40" w:rsidRPr="007F2F9C">
        <w:rPr>
          <w:bCs/>
          <w:caps/>
          <w:szCs w:val="24"/>
          <w:u w:val="none"/>
        </w:rPr>
        <w:tab/>
      </w:r>
      <w:r w:rsidR="00454666">
        <w:rPr>
          <w:bCs/>
          <w:caps/>
          <w:szCs w:val="24"/>
          <w:u w:val="none"/>
        </w:rPr>
        <w:tab/>
      </w:r>
      <w:r w:rsidR="00454666">
        <w:rPr>
          <w:bCs/>
          <w:caps/>
          <w:szCs w:val="24"/>
          <w:u w:val="none"/>
        </w:rPr>
        <w:tab/>
      </w:r>
      <w:r w:rsidR="00BF5974">
        <w:rPr>
          <w:bCs/>
          <w:caps/>
          <w:szCs w:val="24"/>
          <w:u w:val="none"/>
        </w:rPr>
        <w:t xml:space="preserve"> </w:t>
      </w:r>
      <w:r w:rsidR="00454666">
        <w:rPr>
          <w:bCs/>
          <w:caps/>
          <w:szCs w:val="24"/>
          <w:u w:val="none"/>
        </w:rPr>
        <w:t>6</w:t>
      </w:r>
      <w:r w:rsidR="00615C40" w:rsidRPr="007F2F9C">
        <w:rPr>
          <w:bCs/>
          <w:caps/>
          <w:szCs w:val="24"/>
          <w:u w:val="none"/>
        </w:rPr>
        <w:tab/>
      </w:r>
    </w:p>
    <w:p w:rsidR="00C71387" w:rsidRPr="007F2F9C" w:rsidRDefault="00C71387" w:rsidP="007F2F9C">
      <w:pPr>
        <w:contextualSpacing/>
      </w:pPr>
    </w:p>
    <w:p w:rsidR="00C71387" w:rsidRPr="007F2F9C" w:rsidRDefault="00C71387" w:rsidP="007F2F9C">
      <w:pPr>
        <w:pStyle w:val="Nadpis1"/>
        <w:contextualSpacing/>
        <w:rPr>
          <w:bCs/>
          <w:caps/>
          <w:szCs w:val="24"/>
          <w:u w:val="none"/>
        </w:rPr>
      </w:pPr>
      <w:r w:rsidRPr="007F2F9C">
        <w:rPr>
          <w:bCs/>
          <w:caps/>
          <w:szCs w:val="24"/>
          <w:u w:val="none"/>
        </w:rPr>
        <w:t xml:space="preserve">5. </w:t>
      </w:r>
      <w:r w:rsidR="00CF0EDB" w:rsidRPr="007F2F9C">
        <w:rPr>
          <w:bCs/>
          <w:caps/>
          <w:szCs w:val="24"/>
          <w:u w:val="none"/>
        </w:rPr>
        <w:t xml:space="preserve">Prehľad o </w:t>
      </w:r>
      <w:r w:rsidRPr="007F2F9C">
        <w:rPr>
          <w:bCs/>
          <w:caps/>
          <w:szCs w:val="24"/>
          <w:u w:val="none"/>
        </w:rPr>
        <w:t>príjmoch a</w:t>
      </w:r>
      <w:r w:rsidR="00477194" w:rsidRPr="007F2F9C">
        <w:rPr>
          <w:bCs/>
          <w:caps/>
          <w:szCs w:val="24"/>
          <w:u w:val="none"/>
        </w:rPr>
        <w:t> </w:t>
      </w:r>
      <w:r w:rsidRPr="007F2F9C">
        <w:rPr>
          <w:bCs/>
          <w:caps/>
          <w:szCs w:val="24"/>
          <w:u w:val="none"/>
        </w:rPr>
        <w:t>výdavkoch</w:t>
      </w:r>
      <w:r w:rsidR="00477194" w:rsidRPr="007F2F9C">
        <w:rPr>
          <w:bCs/>
          <w:caps/>
          <w:szCs w:val="24"/>
          <w:u w:val="none"/>
        </w:rPr>
        <w:tab/>
      </w:r>
      <w:r w:rsidR="00477194" w:rsidRPr="007F2F9C">
        <w:rPr>
          <w:bCs/>
          <w:caps/>
          <w:szCs w:val="24"/>
          <w:u w:val="none"/>
        </w:rPr>
        <w:tab/>
      </w:r>
      <w:r w:rsidR="00053E21" w:rsidRPr="007F2F9C">
        <w:rPr>
          <w:bCs/>
          <w:caps/>
          <w:szCs w:val="24"/>
          <w:u w:val="none"/>
        </w:rPr>
        <w:t xml:space="preserve">                         </w:t>
      </w:r>
      <w:r w:rsidR="00454666">
        <w:rPr>
          <w:bCs/>
          <w:caps/>
          <w:szCs w:val="24"/>
          <w:u w:val="none"/>
        </w:rPr>
        <w:tab/>
      </w:r>
      <w:r w:rsidR="00BF5974">
        <w:rPr>
          <w:bCs/>
          <w:caps/>
          <w:szCs w:val="24"/>
          <w:u w:val="none"/>
        </w:rPr>
        <w:t xml:space="preserve"> 7</w:t>
      </w:r>
    </w:p>
    <w:p w:rsidR="00C71387" w:rsidRPr="007F2F9C" w:rsidRDefault="00C71387" w:rsidP="007F2F9C">
      <w:pPr>
        <w:pStyle w:val="Nadpis1"/>
        <w:contextualSpacing/>
        <w:rPr>
          <w:bCs/>
          <w:caps/>
          <w:szCs w:val="24"/>
          <w:u w:val="none"/>
        </w:rPr>
      </w:pPr>
      <w:r w:rsidRPr="007F2F9C">
        <w:rPr>
          <w:bCs/>
          <w:caps/>
          <w:szCs w:val="24"/>
          <w:u w:val="none"/>
        </w:rPr>
        <w:t>(resp. o výnosoch a nÁkladoch)</w:t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</w:p>
    <w:p w:rsidR="00C71387" w:rsidRPr="007F2F9C" w:rsidRDefault="00FF5141" w:rsidP="007F2F9C">
      <w:pPr>
        <w:pStyle w:val="Nadpis1"/>
        <w:contextualSpacing/>
        <w:rPr>
          <w:szCs w:val="24"/>
          <w:u w:val="none"/>
        </w:rPr>
      </w:pPr>
      <w:r w:rsidRPr="007F2F9C">
        <w:rPr>
          <w:szCs w:val="24"/>
        </w:rPr>
        <w:fldChar w:fldCharType="begin"/>
      </w:r>
      <w:r w:rsidR="00C71387" w:rsidRPr="007F2F9C">
        <w:rPr>
          <w:szCs w:val="24"/>
        </w:rPr>
        <w:instrText xml:space="preserve"> TOC \o "1-3" \h \z \u </w:instrText>
      </w:r>
      <w:r w:rsidRPr="007F2F9C">
        <w:rPr>
          <w:szCs w:val="24"/>
        </w:rPr>
        <w:fldChar w:fldCharType="separate"/>
      </w:r>
    </w:p>
    <w:p w:rsidR="00C71387" w:rsidRPr="007F2F9C" w:rsidRDefault="00C71387" w:rsidP="007F2F9C">
      <w:pPr>
        <w:pStyle w:val="Nadpis1"/>
        <w:contextualSpacing/>
        <w:rPr>
          <w:bCs/>
          <w:caps/>
          <w:szCs w:val="24"/>
          <w:u w:val="none"/>
        </w:rPr>
      </w:pPr>
      <w:r w:rsidRPr="007F2F9C">
        <w:rPr>
          <w:bCs/>
          <w:caps/>
          <w:szCs w:val="24"/>
          <w:u w:val="none"/>
        </w:rPr>
        <w:t>6. prehľad rozsahu v</w:t>
      </w:r>
      <w:r w:rsidR="00615C40" w:rsidRPr="007F2F9C">
        <w:rPr>
          <w:bCs/>
          <w:caps/>
          <w:szCs w:val="24"/>
          <w:u w:val="none"/>
        </w:rPr>
        <w:t>ýnosov v delení podľa zdrojov</w:t>
      </w:r>
      <w:r w:rsidR="00615C40" w:rsidRPr="007F2F9C">
        <w:rPr>
          <w:bCs/>
          <w:caps/>
          <w:szCs w:val="24"/>
          <w:u w:val="none"/>
        </w:rPr>
        <w:tab/>
      </w:r>
      <w:r w:rsidR="00615C40" w:rsidRPr="007F2F9C">
        <w:rPr>
          <w:bCs/>
          <w:caps/>
          <w:szCs w:val="24"/>
          <w:u w:val="none"/>
        </w:rPr>
        <w:tab/>
      </w:r>
      <w:r w:rsidR="00BF5974">
        <w:rPr>
          <w:bCs/>
          <w:caps/>
          <w:szCs w:val="24"/>
          <w:u w:val="none"/>
        </w:rPr>
        <w:t xml:space="preserve"> 9</w:t>
      </w:r>
    </w:p>
    <w:p w:rsidR="00C71387" w:rsidRPr="007F2F9C" w:rsidRDefault="00C71387" w:rsidP="007F2F9C">
      <w:pPr>
        <w:contextualSpacing/>
      </w:pPr>
    </w:p>
    <w:p w:rsidR="00B147E5" w:rsidRDefault="00FF5141" w:rsidP="007F2F9C">
      <w:pPr>
        <w:pStyle w:val="Nadpis1"/>
        <w:contextualSpacing/>
        <w:rPr>
          <w:bCs/>
          <w:caps/>
          <w:szCs w:val="24"/>
          <w:u w:val="none"/>
        </w:rPr>
      </w:pPr>
      <w:r w:rsidRPr="007F2F9C">
        <w:rPr>
          <w:szCs w:val="24"/>
        </w:rPr>
        <w:fldChar w:fldCharType="end"/>
      </w:r>
      <w:r w:rsidR="00C71387" w:rsidRPr="007F2F9C">
        <w:rPr>
          <w:bCs/>
          <w:caps/>
          <w:szCs w:val="24"/>
          <w:u w:val="none"/>
        </w:rPr>
        <w:t>7. Stav a pohyb majetku a záväzkov organizácie</w:t>
      </w:r>
      <w:r w:rsidR="00615C40" w:rsidRPr="007F2F9C">
        <w:rPr>
          <w:bCs/>
          <w:caps/>
          <w:szCs w:val="24"/>
          <w:u w:val="none"/>
        </w:rPr>
        <w:tab/>
      </w:r>
      <w:r w:rsidR="007F2F9C">
        <w:rPr>
          <w:bCs/>
          <w:caps/>
          <w:szCs w:val="24"/>
          <w:u w:val="none"/>
        </w:rPr>
        <w:t xml:space="preserve">            </w:t>
      </w:r>
      <w:r w:rsidR="00BF5974">
        <w:rPr>
          <w:bCs/>
          <w:caps/>
          <w:szCs w:val="24"/>
          <w:u w:val="none"/>
        </w:rPr>
        <w:t>9</w:t>
      </w:r>
      <w:r w:rsidR="00615C40" w:rsidRPr="007F2F9C">
        <w:rPr>
          <w:bCs/>
          <w:caps/>
          <w:szCs w:val="24"/>
          <w:u w:val="none"/>
        </w:rPr>
        <w:tab/>
      </w:r>
    </w:p>
    <w:p w:rsidR="00B147E5" w:rsidRDefault="00B147E5" w:rsidP="007F2F9C">
      <w:pPr>
        <w:pStyle w:val="Nadpis1"/>
        <w:contextualSpacing/>
        <w:rPr>
          <w:bCs/>
          <w:caps/>
          <w:szCs w:val="24"/>
          <w:u w:val="none"/>
        </w:rPr>
      </w:pPr>
    </w:p>
    <w:p w:rsidR="00B147E5" w:rsidRDefault="00B147E5" w:rsidP="00B147E5">
      <w:pPr>
        <w:pStyle w:val="Nadpis1"/>
        <w:ind w:right="1134"/>
        <w:contextualSpacing/>
        <w:rPr>
          <w:bCs/>
          <w:caps/>
          <w:szCs w:val="24"/>
          <w:u w:val="none"/>
        </w:rPr>
      </w:pPr>
      <w:r w:rsidRPr="00BF5974">
        <w:rPr>
          <w:bCs/>
          <w:caps/>
          <w:szCs w:val="24"/>
          <w:u w:val="none"/>
        </w:rPr>
        <w:t xml:space="preserve">8. ekonomicky oprávnené náklady za kalendárny rok     </w:t>
      </w:r>
      <w:r w:rsidR="00BF5974">
        <w:rPr>
          <w:bCs/>
          <w:caps/>
          <w:szCs w:val="24"/>
          <w:u w:val="none"/>
        </w:rPr>
        <w:t>10</w:t>
      </w:r>
      <w:r>
        <w:rPr>
          <w:bCs/>
          <w:caps/>
          <w:szCs w:val="24"/>
          <w:u w:val="none"/>
        </w:rPr>
        <w:t xml:space="preserve"> </w:t>
      </w:r>
      <w:r>
        <w:rPr>
          <w:bCs/>
          <w:caps/>
          <w:szCs w:val="24"/>
          <w:u w:val="none"/>
        </w:rPr>
        <w:tab/>
      </w:r>
      <w:r>
        <w:rPr>
          <w:bCs/>
          <w:caps/>
          <w:szCs w:val="24"/>
          <w:u w:val="none"/>
        </w:rPr>
        <w:tab/>
      </w:r>
      <w:r>
        <w:rPr>
          <w:bCs/>
          <w:caps/>
          <w:szCs w:val="24"/>
          <w:u w:val="none"/>
        </w:rPr>
        <w:tab/>
      </w:r>
      <w:r>
        <w:rPr>
          <w:bCs/>
          <w:caps/>
          <w:szCs w:val="24"/>
          <w:u w:val="none"/>
        </w:rPr>
        <w:tab/>
      </w:r>
    </w:p>
    <w:p w:rsidR="00C71387" w:rsidRPr="007F2F9C" w:rsidRDefault="00615C40" w:rsidP="007F2F9C">
      <w:pPr>
        <w:pStyle w:val="Nadpis1"/>
        <w:contextualSpacing/>
        <w:rPr>
          <w:bCs/>
          <w:caps/>
          <w:szCs w:val="24"/>
          <w:u w:val="none"/>
        </w:rPr>
      </w:pPr>
      <w:r w:rsidRPr="007F2F9C">
        <w:rPr>
          <w:bCs/>
          <w:caps/>
          <w:szCs w:val="24"/>
          <w:u w:val="none"/>
        </w:rPr>
        <w:tab/>
      </w:r>
      <w:r w:rsidR="00C71387" w:rsidRPr="007F2F9C">
        <w:rPr>
          <w:bCs/>
          <w:caps/>
          <w:szCs w:val="24"/>
          <w:u w:val="none"/>
        </w:rPr>
        <w:tab/>
      </w:r>
      <w:r w:rsidR="00C71387" w:rsidRPr="007F2F9C">
        <w:rPr>
          <w:bCs/>
          <w:caps/>
          <w:szCs w:val="24"/>
          <w:u w:val="none"/>
        </w:rPr>
        <w:tab/>
      </w:r>
    </w:p>
    <w:p w:rsidR="00C71387" w:rsidRPr="007F2F9C" w:rsidRDefault="00B147E5" w:rsidP="00BF5974">
      <w:pPr>
        <w:pStyle w:val="Nadpis1"/>
        <w:ind w:right="1134"/>
        <w:contextualSpacing/>
        <w:rPr>
          <w:bCs/>
          <w:caps/>
          <w:szCs w:val="24"/>
          <w:u w:val="none"/>
        </w:rPr>
      </w:pPr>
      <w:r>
        <w:rPr>
          <w:bCs/>
          <w:caps/>
          <w:szCs w:val="24"/>
          <w:u w:val="none"/>
        </w:rPr>
        <w:t>9</w:t>
      </w:r>
      <w:r w:rsidR="00C71387" w:rsidRPr="007F2F9C">
        <w:rPr>
          <w:bCs/>
          <w:caps/>
          <w:szCs w:val="24"/>
          <w:u w:val="none"/>
        </w:rPr>
        <w:t xml:space="preserve">. Zmeny a nové zloženie organizácie, ku ktorým došlo </w:t>
      </w:r>
      <w:r w:rsidR="007F2F9C">
        <w:rPr>
          <w:bCs/>
          <w:caps/>
          <w:szCs w:val="24"/>
          <w:u w:val="none"/>
        </w:rPr>
        <w:t xml:space="preserve"> </w:t>
      </w:r>
      <w:r w:rsidR="002614D2">
        <w:rPr>
          <w:bCs/>
          <w:caps/>
          <w:szCs w:val="24"/>
          <w:u w:val="none"/>
        </w:rPr>
        <w:t xml:space="preserve">  </w:t>
      </w:r>
      <w:r w:rsidR="00BF5974">
        <w:rPr>
          <w:bCs/>
          <w:caps/>
          <w:szCs w:val="24"/>
          <w:u w:val="none"/>
        </w:rPr>
        <w:t>10</w:t>
      </w:r>
    </w:p>
    <w:p w:rsidR="00C71387" w:rsidRPr="007F2F9C" w:rsidRDefault="00C71387" w:rsidP="007F2F9C">
      <w:pPr>
        <w:pStyle w:val="Nadpis1"/>
        <w:contextualSpacing/>
        <w:rPr>
          <w:bCs/>
          <w:caps/>
          <w:szCs w:val="24"/>
          <w:u w:val="none"/>
        </w:rPr>
      </w:pPr>
      <w:r w:rsidRPr="007F2F9C">
        <w:rPr>
          <w:bCs/>
          <w:caps/>
          <w:szCs w:val="24"/>
          <w:u w:val="none"/>
        </w:rPr>
        <w:t>v priebehu roka</w:t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</w:p>
    <w:p w:rsidR="00C71387" w:rsidRPr="007F2F9C" w:rsidRDefault="00B147E5" w:rsidP="00BF5974">
      <w:pPr>
        <w:pStyle w:val="Nadpis1"/>
        <w:ind w:right="992"/>
        <w:contextualSpacing/>
        <w:rPr>
          <w:bCs/>
          <w:caps/>
          <w:szCs w:val="24"/>
          <w:u w:val="none"/>
        </w:rPr>
      </w:pPr>
      <w:r>
        <w:rPr>
          <w:bCs/>
          <w:caps/>
          <w:szCs w:val="24"/>
          <w:u w:val="none"/>
        </w:rPr>
        <w:t>10</w:t>
      </w:r>
      <w:r w:rsidR="00C71387" w:rsidRPr="007F2F9C">
        <w:rPr>
          <w:bCs/>
          <w:caps/>
          <w:szCs w:val="24"/>
          <w:u w:val="none"/>
        </w:rPr>
        <w:t>. Zmeny štatútu, ku ktorým došlo v priebehu roka</w:t>
      </w:r>
      <w:r w:rsidR="00BF5974">
        <w:rPr>
          <w:bCs/>
          <w:caps/>
          <w:szCs w:val="24"/>
          <w:u w:val="none"/>
        </w:rPr>
        <w:tab/>
        <w:t xml:space="preserve">          10</w:t>
      </w:r>
      <w:r w:rsidR="00615C40" w:rsidRPr="007F2F9C">
        <w:rPr>
          <w:bCs/>
          <w:caps/>
          <w:szCs w:val="24"/>
          <w:u w:val="none"/>
        </w:rPr>
        <w:tab/>
      </w:r>
      <w:r w:rsidR="00615C40" w:rsidRPr="007F2F9C">
        <w:rPr>
          <w:bCs/>
          <w:caps/>
          <w:szCs w:val="24"/>
          <w:u w:val="none"/>
        </w:rPr>
        <w:tab/>
      </w:r>
    </w:p>
    <w:p w:rsidR="00C71387" w:rsidRPr="007F2F9C" w:rsidRDefault="00C71387" w:rsidP="007F2F9C">
      <w:pPr>
        <w:contextualSpacing/>
      </w:pPr>
    </w:p>
    <w:p w:rsidR="00C71387" w:rsidRPr="007F2F9C" w:rsidRDefault="00C71387" w:rsidP="00BF5974">
      <w:pPr>
        <w:pStyle w:val="Nadpis1"/>
        <w:ind w:right="992"/>
        <w:contextualSpacing/>
        <w:rPr>
          <w:bCs/>
          <w:caps/>
          <w:szCs w:val="24"/>
          <w:u w:val="none"/>
        </w:rPr>
      </w:pPr>
      <w:r w:rsidRPr="007F2F9C">
        <w:rPr>
          <w:bCs/>
          <w:caps/>
          <w:szCs w:val="24"/>
          <w:u w:val="none"/>
        </w:rPr>
        <w:t>1</w:t>
      </w:r>
      <w:r w:rsidR="00B147E5">
        <w:rPr>
          <w:bCs/>
          <w:caps/>
          <w:szCs w:val="24"/>
          <w:u w:val="none"/>
        </w:rPr>
        <w:t>1</w:t>
      </w:r>
      <w:r w:rsidRPr="007F2F9C">
        <w:rPr>
          <w:bCs/>
          <w:caps/>
          <w:szCs w:val="24"/>
          <w:u w:val="none"/>
        </w:rPr>
        <w:t>. Ďalšie údaje určené správnou radou</w:t>
      </w:r>
      <w:r w:rsidRPr="007F2F9C">
        <w:rPr>
          <w:bCs/>
          <w:caps/>
          <w:szCs w:val="24"/>
          <w:u w:val="none"/>
        </w:rPr>
        <w:tab/>
      </w:r>
      <w:r w:rsidR="00BF5974">
        <w:rPr>
          <w:bCs/>
          <w:caps/>
          <w:szCs w:val="24"/>
          <w:u w:val="none"/>
        </w:rPr>
        <w:tab/>
      </w:r>
      <w:r w:rsidR="00BF5974">
        <w:rPr>
          <w:bCs/>
          <w:caps/>
          <w:szCs w:val="24"/>
          <w:u w:val="none"/>
        </w:rPr>
        <w:tab/>
        <w:t xml:space="preserve">          10</w:t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  <w:r w:rsidRPr="007F2F9C">
        <w:rPr>
          <w:bCs/>
          <w:caps/>
          <w:szCs w:val="24"/>
          <w:u w:val="none"/>
        </w:rPr>
        <w:tab/>
      </w:r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contextualSpacing/>
        <w:jc w:val="both"/>
      </w:pPr>
      <w:bookmarkStart w:id="0" w:name="_GoBack"/>
      <w:bookmarkEnd w:id="0"/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pStyle w:val="Nadpis1"/>
        <w:contextualSpacing/>
        <w:rPr>
          <w:b/>
          <w:caps/>
          <w:szCs w:val="24"/>
        </w:rPr>
      </w:pPr>
      <w:bookmarkStart w:id="1" w:name="_Toc276040532"/>
      <w:bookmarkStart w:id="2" w:name="_Toc276040636"/>
      <w:r w:rsidRPr="007F2F9C">
        <w:rPr>
          <w:b/>
          <w:caps/>
          <w:szCs w:val="24"/>
        </w:rPr>
        <w:lastRenderedPageBreak/>
        <w:t xml:space="preserve">1.  </w:t>
      </w:r>
      <w:bookmarkStart w:id="3" w:name="_Toc276040533"/>
      <w:r w:rsidRPr="007F2F9C">
        <w:rPr>
          <w:b/>
          <w:caps/>
          <w:szCs w:val="24"/>
        </w:rPr>
        <w:t>ÚVOD</w:t>
      </w:r>
      <w:bookmarkEnd w:id="1"/>
      <w:bookmarkEnd w:id="2"/>
      <w:bookmarkEnd w:id="3"/>
    </w:p>
    <w:p w:rsidR="00C71387" w:rsidRPr="007F2F9C" w:rsidRDefault="00C71387" w:rsidP="007F2F9C">
      <w:pPr>
        <w:ind w:left="360"/>
        <w:contextualSpacing/>
        <w:jc w:val="both"/>
      </w:pPr>
    </w:p>
    <w:p w:rsidR="00C71387" w:rsidRPr="007F2F9C" w:rsidRDefault="00053E21" w:rsidP="007F2F9C">
      <w:pPr>
        <w:pStyle w:val="Nadpis1"/>
        <w:pBdr>
          <w:between w:val="single" w:sz="4" w:space="1" w:color="auto"/>
        </w:pBdr>
        <w:contextualSpacing/>
        <w:rPr>
          <w:szCs w:val="24"/>
        </w:rPr>
      </w:pPr>
      <w:r w:rsidRPr="007F2F9C">
        <w:rPr>
          <w:szCs w:val="24"/>
          <w:u w:val="none"/>
        </w:rPr>
        <w:t>Občianske združenie</w:t>
      </w:r>
      <w:r w:rsidR="00C71387" w:rsidRPr="007F2F9C">
        <w:rPr>
          <w:szCs w:val="24"/>
          <w:u w:val="none"/>
        </w:rPr>
        <w:t xml:space="preserve"> </w:t>
      </w:r>
      <w:r w:rsidRPr="007F2F9C">
        <w:rPr>
          <w:b/>
          <w:bCs/>
          <w:i/>
          <w:szCs w:val="24"/>
          <w:u w:val="none"/>
        </w:rPr>
        <w:t>Prosocia</w:t>
      </w:r>
      <w:r w:rsidR="00C71387" w:rsidRPr="007F2F9C">
        <w:rPr>
          <w:bCs/>
          <w:szCs w:val="24"/>
          <w:u w:val="none"/>
        </w:rPr>
        <w:t xml:space="preserve">, </w:t>
      </w:r>
      <w:r w:rsidR="00C71387" w:rsidRPr="007F2F9C">
        <w:rPr>
          <w:szCs w:val="24"/>
          <w:u w:val="none"/>
        </w:rPr>
        <w:t xml:space="preserve">so sídlom: </w:t>
      </w:r>
      <w:r w:rsidRPr="007F2F9C">
        <w:rPr>
          <w:bCs/>
          <w:szCs w:val="24"/>
          <w:u w:val="none"/>
        </w:rPr>
        <w:t>A. Fesztyho 23, 947 01 Hurbanovo</w:t>
      </w:r>
      <w:r w:rsidR="00C71387" w:rsidRPr="007F2F9C">
        <w:rPr>
          <w:bCs/>
          <w:szCs w:val="24"/>
          <w:u w:val="none"/>
        </w:rPr>
        <w:t xml:space="preserve">, </w:t>
      </w:r>
      <w:r w:rsidR="00C71387" w:rsidRPr="007F2F9C">
        <w:rPr>
          <w:szCs w:val="24"/>
          <w:u w:val="none"/>
        </w:rPr>
        <w:t xml:space="preserve">IČO: </w:t>
      </w:r>
      <w:r w:rsidRPr="007F2F9C">
        <w:rPr>
          <w:szCs w:val="24"/>
          <w:u w:val="none"/>
        </w:rPr>
        <w:t>42049229</w:t>
      </w:r>
      <w:r w:rsidR="00C71387" w:rsidRPr="007F2F9C">
        <w:rPr>
          <w:szCs w:val="24"/>
          <w:u w:val="none"/>
        </w:rPr>
        <w:t xml:space="preserve">, </w:t>
      </w:r>
      <w:r w:rsidRPr="007F2F9C">
        <w:rPr>
          <w:szCs w:val="24"/>
          <w:u w:val="none"/>
        </w:rPr>
        <w:t>vzniklo dňa 01.12.2006 registráciou na Ministerstve vnútra Slovenskej republiky pod číslom VVS/1-900/90-29227.</w:t>
      </w:r>
    </w:p>
    <w:p w:rsidR="00C141EE" w:rsidRPr="007F2F9C" w:rsidRDefault="00C141EE" w:rsidP="007F2F9C">
      <w:pPr>
        <w:contextualSpacing/>
        <w:jc w:val="both"/>
        <w:rPr>
          <w:bCs/>
        </w:rPr>
      </w:pPr>
    </w:p>
    <w:p w:rsidR="00C71387" w:rsidRPr="007F2F9C" w:rsidRDefault="00053E21" w:rsidP="007F2F9C">
      <w:pPr>
        <w:contextualSpacing/>
        <w:jc w:val="both"/>
      </w:pPr>
      <w:r w:rsidRPr="007F2F9C">
        <w:rPr>
          <w:bCs/>
        </w:rPr>
        <w:t>Prosocia</w:t>
      </w:r>
      <w:r w:rsidR="00C71387" w:rsidRPr="007F2F9C">
        <w:t xml:space="preserve"> poskytuje nasledovné všeobecne prospešné služby:</w:t>
      </w:r>
    </w:p>
    <w:p w:rsidR="00C71387" w:rsidRPr="007F2F9C" w:rsidRDefault="00C71387" w:rsidP="007F2F9C">
      <w:pPr>
        <w:contextualSpacing/>
        <w:jc w:val="both"/>
      </w:pPr>
    </w:p>
    <w:p w:rsidR="00373301" w:rsidRPr="007F2F9C" w:rsidRDefault="00373301" w:rsidP="007F2F9C">
      <w:pPr>
        <w:pStyle w:val="Odsekzoznamu"/>
        <w:numPr>
          <w:ilvl w:val="0"/>
          <w:numId w:val="14"/>
        </w:numPr>
        <w:jc w:val="both"/>
      </w:pPr>
      <w:r w:rsidRPr="007F2F9C">
        <w:t>Organizovanie akreditovaných kurzov opatrovania</w:t>
      </w:r>
      <w:r w:rsidR="00ED0631" w:rsidRPr="007F2F9C">
        <w:t xml:space="preserve"> §86 zákona 448/2008 </w:t>
      </w:r>
      <w:proofErr w:type="spellStart"/>
      <w:r w:rsidR="00ED0631" w:rsidRPr="007F2F9C">
        <w:t>Z.z</w:t>
      </w:r>
      <w:proofErr w:type="spellEnd"/>
      <w:r w:rsidR="00ED0631" w:rsidRPr="007F2F9C">
        <w:t xml:space="preserve">. </w:t>
      </w:r>
      <w:r w:rsidRPr="007F2F9C">
        <w:t xml:space="preserve"> ( oblasť vzdelávania)</w:t>
      </w:r>
    </w:p>
    <w:p w:rsidR="003F41BC" w:rsidRPr="007F2F9C" w:rsidRDefault="00373301" w:rsidP="007F2F9C">
      <w:pPr>
        <w:pStyle w:val="Odsekzoznamu"/>
        <w:numPr>
          <w:ilvl w:val="0"/>
          <w:numId w:val="14"/>
        </w:numPr>
        <w:jc w:val="both"/>
      </w:pPr>
      <w:r w:rsidRPr="007F2F9C">
        <w:t xml:space="preserve">Poskytovanie </w:t>
      </w:r>
      <w:r w:rsidR="00A74F0E" w:rsidRPr="007F2F9C">
        <w:t>sociálnych služieb</w:t>
      </w:r>
      <w:r w:rsidRPr="007F2F9C">
        <w:t xml:space="preserve"> pre osoby odkázané na pomoc inej osoby</w:t>
      </w:r>
      <w:r w:rsidR="00ED0631" w:rsidRPr="007F2F9C">
        <w:t xml:space="preserve"> (oblasť poskytovania sociálnych služieb)</w:t>
      </w:r>
      <w:r w:rsidR="003F41BC" w:rsidRPr="007F2F9C">
        <w:t>:</w:t>
      </w:r>
    </w:p>
    <w:p w:rsidR="003F41BC" w:rsidRPr="007F2F9C" w:rsidRDefault="003F41BC" w:rsidP="007F2F9C">
      <w:pPr>
        <w:pStyle w:val="Odsekzoznamu"/>
        <w:numPr>
          <w:ilvl w:val="0"/>
          <w:numId w:val="16"/>
        </w:numPr>
        <w:jc w:val="both"/>
      </w:pPr>
      <w:r w:rsidRPr="007F2F9C">
        <w:t xml:space="preserve">Opatrovateľská služba §41 zákona 448/2008 </w:t>
      </w:r>
      <w:proofErr w:type="spellStart"/>
      <w:r w:rsidRPr="007F2F9C">
        <w:t>Z.z</w:t>
      </w:r>
      <w:proofErr w:type="spellEnd"/>
      <w:r w:rsidRPr="007F2F9C">
        <w:t>. (12.06.2014)</w:t>
      </w:r>
    </w:p>
    <w:p w:rsidR="00373301" w:rsidRPr="007F2F9C" w:rsidRDefault="003F41BC" w:rsidP="007F2F9C">
      <w:pPr>
        <w:pStyle w:val="Odsekzoznamu"/>
        <w:numPr>
          <w:ilvl w:val="0"/>
          <w:numId w:val="16"/>
        </w:numPr>
        <w:jc w:val="both"/>
      </w:pPr>
      <w:r w:rsidRPr="007F2F9C">
        <w:t xml:space="preserve">Požičiavanie pomôcok §47 zákona 448/2008 </w:t>
      </w:r>
      <w:proofErr w:type="spellStart"/>
      <w:r w:rsidRPr="007F2F9C">
        <w:t>Z.z</w:t>
      </w:r>
      <w:proofErr w:type="spellEnd"/>
      <w:r w:rsidRPr="007F2F9C">
        <w:t xml:space="preserve"> (</w:t>
      </w:r>
      <w:r w:rsidR="00ED0631" w:rsidRPr="007F2F9C">
        <w:t>06.02.2017)</w:t>
      </w:r>
      <w:r w:rsidR="00373301" w:rsidRPr="007F2F9C">
        <w:t xml:space="preserve"> </w:t>
      </w:r>
    </w:p>
    <w:p w:rsidR="00373301" w:rsidRPr="007F2F9C" w:rsidRDefault="00373301" w:rsidP="007F2F9C">
      <w:pPr>
        <w:pStyle w:val="Odsekzoznamu"/>
        <w:numPr>
          <w:ilvl w:val="0"/>
          <w:numId w:val="14"/>
        </w:numPr>
        <w:jc w:val="both"/>
      </w:pPr>
      <w:r w:rsidRPr="007F2F9C">
        <w:t>Poskytovanie poradenstva v oblasti opatrovateľskej starostlivosti</w:t>
      </w:r>
      <w:r w:rsidR="00F04971" w:rsidRPr="007F2F9C">
        <w:t xml:space="preserve"> §19 ods.2 zákona 448/2008 </w:t>
      </w:r>
      <w:proofErr w:type="spellStart"/>
      <w:r w:rsidR="00F04971" w:rsidRPr="007F2F9C">
        <w:t>Z.z</w:t>
      </w:r>
      <w:proofErr w:type="spellEnd"/>
      <w:r w:rsidR="00F04971" w:rsidRPr="007F2F9C">
        <w:t xml:space="preserve">. </w:t>
      </w:r>
    </w:p>
    <w:p w:rsidR="00373301" w:rsidRPr="007F2F9C" w:rsidRDefault="00373301" w:rsidP="007F2F9C">
      <w:pPr>
        <w:contextualSpacing/>
        <w:jc w:val="both"/>
      </w:pPr>
      <w:r w:rsidRPr="007F2F9C">
        <w:t xml:space="preserve"> </w:t>
      </w:r>
    </w:p>
    <w:p w:rsidR="00373301" w:rsidRPr="007F2F9C" w:rsidRDefault="00373301" w:rsidP="007F2F9C">
      <w:pPr>
        <w:contextualSpacing/>
        <w:jc w:val="both"/>
        <w:rPr>
          <w:b/>
          <w:i/>
        </w:rPr>
      </w:pPr>
      <w:r w:rsidRPr="007F2F9C">
        <w:rPr>
          <w:b/>
          <w:i/>
        </w:rPr>
        <w:t xml:space="preserve">Oblasť vzdelávania: </w:t>
      </w:r>
    </w:p>
    <w:p w:rsidR="00373301" w:rsidRPr="007F2F9C" w:rsidRDefault="00373301" w:rsidP="007F2F9C">
      <w:pPr>
        <w:contextualSpacing/>
        <w:jc w:val="both"/>
      </w:pPr>
      <w:r w:rsidRPr="007F2F9C">
        <w:t>Od júla 2010 poskytujeme na základe rozhodnutia akreditačnej komisie Ministerstva práce, sociálnych vecí a rodiny akreditované kurzy:</w:t>
      </w:r>
    </w:p>
    <w:p w:rsidR="00373301" w:rsidRPr="007F2F9C" w:rsidRDefault="00373301" w:rsidP="007F2F9C">
      <w:pPr>
        <w:contextualSpacing/>
        <w:jc w:val="both"/>
      </w:pPr>
      <w:r w:rsidRPr="007F2F9C">
        <w:t xml:space="preserve">                                   Kurz Opatrovania – číslo akreditácie 41289/2009</w:t>
      </w:r>
    </w:p>
    <w:p w:rsidR="00373301" w:rsidRPr="007F2F9C" w:rsidRDefault="00373301" w:rsidP="007F2F9C">
      <w:pPr>
        <w:contextualSpacing/>
        <w:jc w:val="both"/>
      </w:pPr>
      <w:r w:rsidRPr="007F2F9C">
        <w:t xml:space="preserve">                                   Kurz Základné sociálne poradenstvo – číslo akreditácie 41286/2009</w:t>
      </w:r>
    </w:p>
    <w:p w:rsidR="00A74F0E" w:rsidRPr="007F2F9C" w:rsidRDefault="00A74F0E" w:rsidP="007F2F9C">
      <w:pPr>
        <w:contextualSpacing/>
        <w:jc w:val="both"/>
      </w:pPr>
    </w:p>
    <w:p w:rsidR="00A74F0E" w:rsidRPr="007F2F9C" w:rsidRDefault="00A74F0E" w:rsidP="007F2F9C">
      <w:pPr>
        <w:contextualSpacing/>
        <w:jc w:val="both"/>
      </w:pPr>
      <w:r w:rsidRPr="007F2F9C">
        <w:t xml:space="preserve">Kurz opatrovania bol od roku 2010 </w:t>
      </w:r>
      <w:proofErr w:type="spellStart"/>
      <w:r w:rsidRPr="007F2F9C">
        <w:t>reakreditovaný</w:t>
      </w:r>
      <w:proofErr w:type="spellEnd"/>
      <w:r w:rsidRPr="007F2F9C">
        <w:t xml:space="preserve"> Ministerstvom práce, sociálnych vecí a rodiny ku dňu 31.12.2016 trikrát: </w:t>
      </w:r>
    </w:p>
    <w:p w:rsidR="00373301" w:rsidRPr="007F2F9C" w:rsidRDefault="00373301" w:rsidP="007F2F9C">
      <w:pPr>
        <w:contextualSpacing/>
        <w:jc w:val="both"/>
      </w:pPr>
    </w:p>
    <w:p w:rsidR="00373301" w:rsidRPr="007F2F9C" w:rsidRDefault="00A74F0E" w:rsidP="007F2F9C">
      <w:pPr>
        <w:contextualSpacing/>
        <w:jc w:val="both"/>
      </w:pPr>
      <w:r w:rsidRPr="007F2F9C">
        <w:t xml:space="preserve">Prvá </w:t>
      </w:r>
      <w:proofErr w:type="spellStart"/>
      <w:r w:rsidRPr="007F2F9C">
        <w:t>reakreditácia</w:t>
      </w:r>
      <w:proofErr w:type="spellEnd"/>
      <w:r w:rsidRPr="007F2F9C">
        <w:t xml:space="preserve"> prebehla</w:t>
      </w:r>
      <w:r w:rsidR="00373301" w:rsidRPr="007F2F9C">
        <w:t xml:space="preserve"> v júli 2012 pod číslom </w:t>
      </w:r>
      <w:proofErr w:type="spellStart"/>
      <w:r w:rsidR="00373301" w:rsidRPr="007F2F9C">
        <w:t>reakreditácie</w:t>
      </w:r>
      <w:proofErr w:type="spellEnd"/>
      <w:r w:rsidR="00373301" w:rsidRPr="007F2F9C">
        <w:t>:</w:t>
      </w:r>
    </w:p>
    <w:p w:rsidR="00373301" w:rsidRPr="007F2F9C" w:rsidRDefault="00373301" w:rsidP="007F2F9C">
      <w:pPr>
        <w:contextualSpacing/>
        <w:jc w:val="both"/>
      </w:pPr>
      <w:r w:rsidRPr="007F2F9C">
        <w:t xml:space="preserve">                                   Kurz Opatrovania – 10609/2012</w:t>
      </w:r>
    </w:p>
    <w:p w:rsidR="00373301" w:rsidRPr="007F2F9C" w:rsidRDefault="00373301" w:rsidP="007F2F9C">
      <w:pPr>
        <w:contextualSpacing/>
        <w:jc w:val="both"/>
      </w:pPr>
      <w:r w:rsidRPr="007F2F9C">
        <w:t xml:space="preserve">                                   Kurz Základné sociálne poradenstvo – 24028/2012</w:t>
      </w:r>
    </w:p>
    <w:p w:rsidR="00373301" w:rsidRPr="007F2F9C" w:rsidRDefault="00373301" w:rsidP="007F2F9C">
      <w:pPr>
        <w:contextualSpacing/>
        <w:jc w:val="both"/>
      </w:pPr>
    </w:p>
    <w:p w:rsidR="00373301" w:rsidRPr="007F2F9C" w:rsidRDefault="00A74F0E" w:rsidP="007F2F9C">
      <w:pPr>
        <w:contextualSpacing/>
        <w:jc w:val="both"/>
      </w:pPr>
      <w:r w:rsidRPr="007F2F9C">
        <w:t xml:space="preserve">Druhá </w:t>
      </w:r>
      <w:proofErr w:type="spellStart"/>
      <w:r w:rsidRPr="007F2F9C">
        <w:t>reakreditácia</w:t>
      </w:r>
      <w:proofErr w:type="spellEnd"/>
      <w:r w:rsidRPr="007F2F9C">
        <w:t xml:space="preserve"> prebehla d</w:t>
      </w:r>
      <w:r w:rsidR="00373301" w:rsidRPr="007F2F9C">
        <w:t>ňa 02.07.2014</w:t>
      </w:r>
      <w:r w:rsidRPr="007F2F9C">
        <w:t xml:space="preserve"> pod číslom akreditácie</w:t>
      </w:r>
      <w:r w:rsidR="00373301" w:rsidRPr="007F2F9C">
        <w:t xml:space="preserve">: </w:t>
      </w:r>
    </w:p>
    <w:p w:rsidR="00373301" w:rsidRPr="007F2F9C" w:rsidRDefault="00373301" w:rsidP="007F2F9C">
      <w:pPr>
        <w:contextualSpacing/>
        <w:jc w:val="both"/>
      </w:pPr>
      <w:r w:rsidRPr="007F2F9C">
        <w:t xml:space="preserve">                                   Kurz Opatrovania – 27213/2014</w:t>
      </w:r>
    </w:p>
    <w:p w:rsidR="00C30F69" w:rsidRPr="007F2F9C" w:rsidRDefault="00C30F69" w:rsidP="007F2F9C">
      <w:pPr>
        <w:contextualSpacing/>
        <w:jc w:val="both"/>
      </w:pPr>
    </w:p>
    <w:p w:rsidR="00C30F69" w:rsidRPr="007F2F9C" w:rsidRDefault="00A74F0E" w:rsidP="007F2F9C">
      <w:pPr>
        <w:contextualSpacing/>
        <w:jc w:val="both"/>
      </w:pPr>
      <w:r w:rsidRPr="007F2F9C">
        <w:t xml:space="preserve">Tretia </w:t>
      </w:r>
      <w:proofErr w:type="spellStart"/>
      <w:r w:rsidRPr="007F2F9C">
        <w:t>reakreditácia</w:t>
      </w:r>
      <w:proofErr w:type="spellEnd"/>
      <w:r w:rsidRPr="007F2F9C">
        <w:t xml:space="preserve"> prebehla 24.06.2016 pod číslom akreditácie: </w:t>
      </w:r>
    </w:p>
    <w:p w:rsidR="00A74F0E" w:rsidRPr="007F2F9C" w:rsidRDefault="00A74F0E" w:rsidP="007F2F9C">
      <w:pPr>
        <w:contextualSpacing/>
        <w:jc w:val="both"/>
      </w:pPr>
      <w:r w:rsidRPr="007F2F9C">
        <w:t xml:space="preserve">                                  Kurz Opatrovania – 25828/2016</w:t>
      </w:r>
    </w:p>
    <w:p w:rsidR="00373301" w:rsidRPr="007F2F9C" w:rsidRDefault="00373301" w:rsidP="007F2F9C">
      <w:pPr>
        <w:contextualSpacing/>
        <w:jc w:val="both"/>
      </w:pPr>
    </w:p>
    <w:p w:rsidR="00373301" w:rsidRPr="007F2F9C" w:rsidRDefault="00373301" w:rsidP="007F2F9C">
      <w:pPr>
        <w:contextualSpacing/>
        <w:jc w:val="both"/>
      </w:pPr>
      <w:r w:rsidRPr="007F2F9C">
        <w:t xml:space="preserve">Dňa 19.06.2014 bola odňatá akreditačnou komisiou Ministerstva práce, sociálnych vecí a rodiny akreditácia na Kurz Základné sociálne poradenstvo, nakoľko sme nepožiadali o predĺženie akreditácie.    </w:t>
      </w:r>
    </w:p>
    <w:p w:rsidR="00373301" w:rsidRPr="007F2F9C" w:rsidRDefault="00373301" w:rsidP="007F2F9C">
      <w:pPr>
        <w:contextualSpacing/>
        <w:jc w:val="both"/>
      </w:pPr>
    </w:p>
    <w:p w:rsidR="00373301" w:rsidRPr="007F2F9C" w:rsidRDefault="00373301" w:rsidP="007F2F9C">
      <w:pPr>
        <w:contextualSpacing/>
        <w:jc w:val="both"/>
      </w:pPr>
      <w:r w:rsidRPr="007F2F9C">
        <w:t xml:space="preserve">Okrem akreditovaných vzdelávacích a štandardných rekvalifikačných kurzov, organizujeme aj semináre a tréningy podľa požiadaviek klienta. </w:t>
      </w:r>
    </w:p>
    <w:p w:rsidR="00373301" w:rsidRPr="007F2F9C" w:rsidRDefault="00373301" w:rsidP="007F2F9C">
      <w:pPr>
        <w:contextualSpacing/>
        <w:jc w:val="both"/>
      </w:pPr>
    </w:p>
    <w:p w:rsidR="00F04971" w:rsidRPr="007F2F9C" w:rsidRDefault="00F04971" w:rsidP="007F2F9C">
      <w:pPr>
        <w:contextualSpacing/>
        <w:jc w:val="both"/>
      </w:pPr>
    </w:p>
    <w:p w:rsidR="00F04971" w:rsidRDefault="00F04971" w:rsidP="007F2F9C">
      <w:pPr>
        <w:contextualSpacing/>
        <w:jc w:val="both"/>
      </w:pPr>
    </w:p>
    <w:p w:rsidR="007F2F9C" w:rsidRDefault="007F2F9C" w:rsidP="007F2F9C">
      <w:pPr>
        <w:contextualSpacing/>
        <w:jc w:val="both"/>
      </w:pPr>
    </w:p>
    <w:p w:rsidR="007F2F9C" w:rsidRDefault="007F2F9C" w:rsidP="007F2F9C">
      <w:pPr>
        <w:contextualSpacing/>
        <w:jc w:val="both"/>
      </w:pPr>
    </w:p>
    <w:p w:rsidR="007F2F9C" w:rsidRPr="007F2F9C" w:rsidRDefault="007F2F9C" w:rsidP="007F2F9C">
      <w:pPr>
        <w:contextualSpacing/>
        <w:jc w:val="both"/>
      </w:pPr>
    </w:p>
    <w:p w:rsidR="00373301" w:rsidRPr="007F2F9C" w:rsidRDefault="00373301" w:rsidP="007F2F9C">
      <w:pPr>
        <w:contextualSpacing/>
        <w:jc w:val="both"/>
        <w:rPr>
          <w:b/>
          <w:i/>
        </w:rPr>
      </w:pPr>
      <w:r w:rsidRPr="007F2F9C">
        <w:rPr>
          <w:b/>
          <w:i/>
        </w:rPr>
        <w:lastRenderedPageBreak/>
        <w:t xml:space="preserve">Oblasť poskytovania sociálnych služieb: </w:t>
      </w:r>
    </w:p>
    <w:p w:rsidR="00053E21" w:rsidRPr="007F2F9C" w:rsidRDefault="00373301" w:rsidP="007F2F9C">
      <w:pPr>
        <w:contextualSpacing/>
        <w:jc w:val="both"/>
      </w:pPr>
      <w:r w:rsidRPr="007F2F9C">
        <w:t xml:space="preserve">Občianske združenie Prosocia poskytuje opatrovateľskú službu na základe zápisu do Registra poskytovateľov sociálnych služieb vedenom na Úrade Nitrianskeho samosprávneho kraja pod číslom registrácie 277. Opatrovateľskú službu poskytujeme v Nitrianskom, Trnavskom, </w:t>
      </w:r>
      <w:proofErr w:type="spellStart"/>
      <w:r w:rsidRPr="007F2F9C">
        <w:t>Banskobystrickom,Trenčianskom</w:t>
      </w:r>
      <w:proofErr w:type="spellEnd"/>
      <w:r w:rsidRPr="007F2F9C">
        <w:t>, Žilinskom a Bratislavskom kraji.</w:t>
      </w:r>
    </w:p>
    <w:p w:rsidR="00373301" w:rsidRPr="007F2F9C" w:rsidRDefault="00373301" w:rsidP="007F2F9C">
      <w:pPr>
        <w:contextualSpacing/>
        <w:jc w:val="both"/>
        <w:rPr>
          <w:b/>
        </w:rPr>
      </w:pPr>
    </w:p>
    <w:p w:rsidR="00C71387" w:rsidRPr="007F2F9C" w:rsidRDefault="00C71387" w:rsidP="007F2F9C">
      <w:pPr>
        <w:contextualSpacing/>
        <w:jc w:val="both"/>
      </w:pPr>
      <w:r w:rsidRPr="007F2F9C">
        <w:rPr>
          <w:b/>
        </w:rPr>
        <w:t xml:space="preserve">Hlavným cieľom </w:t>
      </w:r>
      <w:proofErr w:type="spellStart"/>
      <w:r w:rsidR="00053E21" w:rsidRPr="007F2F9C">
        <w:rPr>
          <w:b/>
          <w:bCs/>
        </w:rPr>
        <w:t>Prosocie</w:t>
      </w:r>
      <w:proofErr w:type="spellEnd"/>
      <w:r w:rsidRPr="007F2F9C">
        <w:rPr>
          <w:b/>
        </w:rPr>
        <w:t xml:space="preserve"> je najmä</w:t>
      </w:r>
      <w:r w:rsidRPr="007F2F9C">
        <w:t xml:space="preserve">: </w:t>
      </w:r>
    </w:p>
    <w:p w:rsidR="00C71387" w:rsidRPr="007F2F9C" w:rsidRDefault="00053E21" w:rsidP="007F2F9C">
      <w:pPr>
        <w:contextualSpacing/>
        <w:jc w:val="both"/>
        <w:rPr>
          <w:rStyle w:val="cell"/>
        </w:rPr>
      </w:pPr>
      <w:r w:rsidRPr="007F2F9C">
        <w:rPr>
          <w:rStyle w:val="cell"/>
        </w:rPr>
        <w:t>pomoc a rozvoj ľudí pracujúcich so skupinami obyvateľstva v sociálne nepriaznivej situácii.</w:t>
      </w:r>
      <w:r w:rsidR="00C71387" w:rsidRPr="007F2F9C">
        <w:rPr>
          <w:rStyle w:val="cell"/>
        </w:rPr>
        <w:t xml:space="preserve"> </w:t>
      </w:r>
    </w:p>
    <w:p w:rsidR="005E52F6" w:rsidRPr="007F2F9C" w:rsidRDefault="005E52F6" w:rsidP="007F2F9C">
      <w:pPr>
        <w:contextualSpacing/>
        <w:jc w:val="both"/>
      </w:pPr>
    </w:p>
    <w:p w:rsidR="00C71387" w:rsidRPr="007F2F9C" w:rsidRDefault="00C71387" w:rsidP="007F2F9C">
      <w:pPr>
        <w:ind w:left="360"/>
        <w:contextualSpacing/>
        <w:jc w:val="both"/>
      </w:pPr>
      <w:r w:rsidRPr="007F2F9C">
        <w:t>Orgánmi neziskovej organizácie sú:</w:t>
      </w:r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numPr>
          <w:ilvl w:val="0"/>
          <w:numId w:val="2"/>
        </w:numPr>
        <w:contextualSpacing/>
        <w:jc w:val="both"/>
      </w:pPr>
      <w:r w:rsidRPr="007F2F9C">
        <w:t>správna rada</w:t>
      </w:r>
    </w:p>
    <w:p w:rsidR="00C71387" w:rsidRPr="007F2F9C" w:rsidRDefault="00C71387" w:rsidP="007F2F9C">
      <w:pPr>
        <w:numPr>
          <w:ilvl w:val="0"/>
          <w:numId w:val="2"/>
        </w:numPr>
        <w:contextualSpacing/>
        <w:jc w:val="both"/>
      </w:pPr>
      <w:r w:rsidRPr="007F2F9C">
        <w:t>riaditeľ</w:t>
      </w:r>
    </w:p>
    <w:p w:rsidR="00C71387" w:rsidRPr="007F2F9C" w:rsidRDefault="00C71387" w:rsidP="007F2F9C">
      <w:pPr>
        <w:numPr>
          <w:ilvl w:val="0"/>
          <w:numId w:val="2"/>
        </w:numPr>
        <w:contextualSpacing/>
        <w:jc w:val="both"/>
      </w:pPr>
      <w:r w:rsidRPr="007F2F9C">
        <w:t>dozorná rada</w:t>
      </w:r>
    </w:p>
    <w:p w:rsidR="00C71387" w:rsidRPr="007F2F9C" w:rsidRDefault="00C71387" w:rsidP="007F2F9C">
      <w:pPr>
        <w:ind w:left="720"/>
        <w:contextualSpacing/>
        <w:jc w:val="both"/>
      </w:pPr>
    </w:p>
    <w:p w:rsidR="00C71387" w:rsidRPr="007F2F9C" w:rsidRDefault="00C71387" w:rsidP="007F2F9C">
      <w:pPr>
        <w:pStyle w:val="Nadpis1"/>
        <w:contextualSpacing/>
        <w:rPr>
          <w:b/>
          <w:bCs/>
          <w:caps/>
          <w:szCs w:val="24"/>
        </w:rPr>
      </w:pPr>
      <w:bookmarkStart w:id="4" w:name="_Toc276040534"/>
      <w:bookmarkStart w:id="5" w:name="_Toc276040637"/>
      <w:r w:rsidRPr="007F2F9C">
        <w:rPr>
          <w:b/>
          <w:bCs/>
          <w:caps/>
          <w:szCs w:val="24"/>
        </w:rPr>
        <w:t>2. Prehľad činností uskutočnených organizáciou za rok 20</w:t>
      </w:r>
      <w:bookmarkEnd w:id="4"/>
      <w:bookmarkEnd w:id="5"/>
      <w:r w:rsidRPr="007F2F9C">
        <w:rPr>
          <w:b/>
          <w:bCs/>
          <w:caps/>
          <w:szCs w:val="24"/>
        </w:rPr>
        <w:t>1</w:t>
      </w:r>
      <w:r w:rsidR="00B25A98">
        <w:rPr>
          <w:b/>
          <w:bCs/>
          <w:caps/>
          <w:szCs w:val="24"/>
        </w:rPr>
        <w:t>6</w:t>
      </w:r>
    </w:p>
    <w:p w:rsidR="00C71387" w:rsidRPr="007F2F9C" w:rsidRDefault="00C71387" w:rsidP="007F2F9C">
      <w:pPr>
        <w:contextualSpacing/>
        <w:jc w:val="both"/>
        <w:rPr>
          <w:caps/>
        </w:rPr>
      </w:pPr>
    </w:p>
    <w:p w:rsidR="00C71387" w:rsidRPr="007F2F9C" w:rsidRDefault="00C71387" w:rsidP="007F2F9C">
      <w:pPr>
        <w:contextualSpacing/>
        <w:jc w:val="both"/>
      </w:pPr>
      <w:r w:rsidRPr="007F2F9C">
        <w:t>Počas roka 20</w:t>
      </w:r>
      <w:r w:rsidR="00A97181" w:rsidRPr="007F2F9C">
        <w:t>16</w:t>
      </w:r>
      <w:r w:rsidRPr="007F2F9C">
        <w:t xml:space="preserve"> </w:t>
      </w:r>
      <w:r w:rsidR="00053E21" w:rsidRPr="007F2F9C">
        <w:rPr>
          <w:bCs/>
        </w:rPr>
        <w:t>Prosocia</w:t>
      </w:r>
      <w:r w:rsidRPr="007F2F9C">
        <w:t xml:space="preserve"> realizovala / zabezpečovala nasledovné činnosti:</w:t>
      </w:r>
    </w:p>
    <w:p w:rsidR="00C71387" w:rsidRPr="007F2F9C" w:rsidRDefault="00C71387" w:rsidP="007F2F9C">
      <w:pPr>
        <w:pStyle w:val="Hlavika"/>
        <w:contextualSpacing/>
        <w:jc w:val="both"/>
      </w:pPr>
    </w:p>
    <w:p w:rsidR="00053E21" w:rsidRPr="007F2F9C" w:rsidRDefault="00053E21" w:rsidP="007F2F9C">
      <w:pPr>
        <w:pStyle w:val="Odsekzoznamu"/>
        <w:numPr>
          <w:ilvl w:val="0"/>
          <w:numId w:val="11"/>
        </w:numPr>
        <w:jc w:val="both"/>
        <w:rPr>
          <w:color w:val="000000"/>
        </w:rPr>
      </w:pPr>
      <w:r w:rsidRPr="007F2F9C">
        <w:rPr>
          <w:color w:val="000000"/>
        </w:rPr>
        <w:t>Oblasť vzdelávania.</w:t>
      </w:r>
    </w:p>
    <w:p w:rsidR="00053E21" w:rsidRPr="007F2F9C" w:rsidRDefault="00053E21" w:rsidP="007F2F9C">
      <w:pPr>
        <w:contextualSpacing/>
        <w:jc w:val="both"/>
        <w:rPr>
          <w:color w:val="000000"/>
        </w:rPr>
      </w:pPr>
    </w:p>
    <w:p w:rsidR="00053E21" w:rsidRPr="007F2F9C" w:rsidRDefault="00053E21" w:rsidP="007F2F9C">
      <w:pPr>
        <w:contextualSpacing/>
        <w:jc w:val="both"/>
        <w:rPr>
          <w:color w:val="000000"/>
        </w:rPr>
      </w:pPr>
      <w:r w:rsidRPr="007F2F9C">
        <w:rPr>
          <w:color w:val="000000"/>
        </w:rPr>
        <w:t xml:space="preserve">Kurzy opatrovania poskytujeme prostredníctvom regionálnych koordinátorov vzdelávania od roku 2010 v týchto lokalitách: </w:t>
      </w:r>
    </w:p>
    <w:p w:rsidR="00053E21" w:rsidRPr="007F2F9C" w:rsidRDefault="00053E21" w:rsidP="007F2F9C">
      <w:pPr>
        <w:pStyle w:val="Odsekzoznamu"/>
        <w:numPr>
          <w:ilvl w:val="0"/>
          <w:numId w:val="12"/>
        </w:numPr>
        <w:jc w:val="both"/>
        <w:rPr>
          <w:color w:val="000000"/>
        </w:rPr>
      </w:pPr>
      <w:r w:rsidRPr="007F2F9C">
        <w:rPr>
          <w:color w:val="000000"/>
        </w:rPr>
        <w:t xml:space="preserve">Hurbanovo, Komárno, Dunajská Streda (Koordinátor vzdelávania: </w:t>
      </w:r>
      <w:r w:rsidR="00534080" w:rsidRPr="007F2F9C">
        <w:rPr>
          <w:color w:val="000000"/>
        </w:rPr>
        <w:t>Mgr. Emese Baranyaiová</w:t>
      </w:r>
      <w:r w:rsidR="00833740" w:rsidRPr="007F2F9C">
        <w:rPr>
          <w:color w:val="000000"/>
        </w:rPr>
        <w:t xml:space="preserve"> – do augusta 2016</w:t>
      </w:r>
      <w:r w:rsidR="00534080" w:rsidRPr="007F2F9C">
        <w:rPr>
          <w:color w:val="000000"/>
        </w:rPr>
        <w:t xml:space="preserve">, od augusta do októbra </w:t>
      </w:r>
      <w:r w:rsidR="00833740" w:rsidRPr="007F2F9C">
        <w:rPr>
          <w:color w:val="000000"/>
        </w:rPr>
        <w:t xml:space="preserve">2016 </w:t>
      </w:r>
      <w:r w:rsidR="00534080" w:rsidRPr="007F2F9C">
        <w:rPr>
          <w:color w:val="000000"/>
        </w:rPr>
        <w:t xml:space="preserve">koordinátor vzdelávania bol pán Ing. Pavol Mikuš a od októbra 2016 je novým koordinátorom vzdelávania pán Štefan </w:t>
      </w:r>
      <w:proofErr w:type="spellStart"/>
      <w:r w:rsidR="00534080" w:rsidRPr="007F2F9C">
        <w:rPr>
          <w:color w:val="000000"/>
        </w:rPr>
        <w:t>Kaszt</w:t>
      </w:r>
      <w:proofErr w:type="spellEnd"/>
      <w:r w:rsidR="00534080" w:rsidRPr="007F2F9C">
        <w:rPr>
          <w:color w:val="000000"/>
        </w:rPr>
        <w:t>)</w:t>
      </w:r>
    </w:p>
    <w:p w:rsidR="00053E21" w:rsidRPr="007F2F9C" w:rsidRDefault="00053E21" w:rsidP="007F2F9C">
      <w:pPr>
        <w:pStyle w:val="Odsekzoznamu"/>
        <w:numPr>
          <w:ilvl w:val="0"/>
          <w:numId w:val="12"/>
        </w:numPr>
        <w:jc w:val="both"/>
        <w:rPr>
          <w:color w:val="000000"/>
        </w:rPr>
      </w:pPr>
      <w:r w:rsidRPr="007F2F9C">
        <w:rPr>
          <w:color w:val="000000"/>
        </w:rPr>
        <w:t xml:space="preserve">Nová Baňa, Žarnovica (Koordinátor vzdelávania: Mgr. Alžbeta </w:t>
      </w:r>
      <w:proofErr w:type="spellStart"/>
      <w:r w:rsidRPr="007F2F9C">
        <w:rPr>
          <w:color w:val="000000"/>
        </w:rPr>
        <w:t>Kiliková</w:t>
      </w:r>
      <w:proofErr w:type="spellEnd"/>
      <w:r w:rsidRPr="007F2F9C">
        <w:rPr>
          <w:color w:val="000000"/>
        </w:rPr>
        <w:t>)</w:t>
      </w:r>
    </w:p>
    <w:p w:rsidR="00053E21" w:rsidRPr="007F2F9C" w:rsidRDefault="00C141EE" w:rsidP="007F2F9C">
      <w:pPr>
        <w:pStyle w:val="Odsekzoznamu"/>
        <w:numPr>
          <w:ilvl w:val="0"/>
          <w:numId w:val="12"/>
        </w:numPr>
        <w:jc w:val="both"/>
        <w:rPr>
          <w:color w:val="000000"/>
        </w:rPr>
      </w:pPr>
      <w:r w:rsidRPr="007F2F9C">
        <w:rPr>
          <w:color w:val="000000"/>
        </w:rPr>
        <w:t>Šahy (</w:t>
      </w:r>
      <w:r w:rsidR="00053E21" w:rsidRPr="007F2F9C">
        <w:rPr>
          <w:color w:val="000000"/>
        </w:rPr>
        <w:t>Koordinátor vzdelávania</w:t>
      </w:r>
      <w:r w:rsidRPr="007F2F9C">
        <w:rPr>
          <w:color w:val="000000"/>
        </w:rPr>
        <w:t xml:space="preserve">: </w:t>
      </w:r>
      <w:r w:rsidR="00053E21" w:rsidRPr="007F2F9C">
        <w:rPr>
          <w:color w:val="000000"/>
        </w:rPr>
        <w:t xml:space="preserve">Mgr. Blanka </w:t>
      </w:r>
      <w:proofErr w:type="spellStart"/>
      <w:r w:rsidR="00053E21" w:rsidRPr="007F2F9C">
        <w:rPr>
          <w:color w:val="000000"/>
        </w:rPr>
        <w:t>Petényiová</w:t>
      </w:r>
      <w:proofErr w:type="spellEnd"/>
      <w:r w:rsidRPr="007F2F9C">
        <w:rPr>
          <w:color w:val="000000"/>
        </w:rPr>
        <w:t>)</w:t>
      </w:r>
    </w:p>
    <w:p w:rsidR="00053E21" w:rsidRPr="007F2F9C" w:rsidRDefault="00C141EE" w:rsidP="007F2F9C">
      <w:pPr>
        <w:pStyle w:val="Odsekzoznamu"/>
        <w:numPr>
          <w:ilvl w:val="0"/>
          <w:numId w:val="12"/>
        </w:numPr>
        <w:jc w:val="both"/>
        <w:rPr>
          <w:color w:val="000000"/>
        </w:rPr>
      </w:pPr>
      <w:r w:rsidRPr="007F2F9C">
        <w:rPr>
          <w:color w:val="000000"/>
        </w:rPr>
        <w:t>Nitra (</w:t>
      </w:r>
      <w:r w:rsidR="00053E21" w:rsidRPr="007F2F9C">
        <w:rPr>
          <w:color w:val="000000"/>
        </w:rPr>
        <w:t>Koordinátor v</w:t>
      </w:r>
      <w:r w:rsidR="00534080" w:rsidRPr="007F2F9C">
        <w:rPr>
          <w:color w:val="000000"/>
        </w:rPr>
        <w:t>zdelávania: Mgr. Martina Verešová</w:t>
      </w:r>
      <w:r w:rsidRPr="007F2F9C">
        <w:rPr>
          <w:color w:val="000000"/>
        </w:rPr>
        <w:t>)</w:t>
      </w:r>
    </w:p>
    <w:p w:rsidR="00053E21" w:rsidRPr="007F2F9C" w:rsidRDefault="00C141EE" w:rsidP="007F2F9C">
      <w:pPr>
        <w:pStyle w:val="Odsekzoznamu"/>
        <w:numPr>
          <w:ilvl w:val="0"/>
          <w:numId w:val="12"/>
        </w:numPr>
        <w:jc w:val="both"/>
        <w:rPr>
          <w:color w:val="000000"/>
        </w:rPr>
      </w:pPr>
      <w:r w:rsidRPr="007F2F9C">
        <w:rPr>
          <w:color w:val="000000"/>
        </w:rPr>
        <w:t>Žilina (</w:t>
      </w:r>
      <w:r w:rsidR="00053E21" w:rsidRPr="007F2F9C">
        <w:rPr>
          <w:color w:val="000000"/>
        </w:rPr>
        <w:t xml:space="preserve">Koordinátor vzdelávania: PhDr. Eva </w:t>
      </w:r>
      <w:proofErr w:type="spellStart"/>
      <w:r w:rsidR="00053E21" w:rsidRPr="007F2F9C">
        <w:rPr>
          <w:color w:val="000000"/>
        </w:rPr>
        <w:t>Cisáriková</w:t>
      </w:r>
      <w:proofErr w:type="spellEnd"/>
      <w:r w:rsidRPr="007F2F9C">
        <w:rPr>
          <w:color w:val="000000"/>
        </w:rPr>
        <w:t>)</w:t>
      </w:r>
    </w:p>
    <w:p w:rsidR="00053E21" w:rsidRPr="007F2F9C" w:rsidRDefault="00854CBF" w:rsidP="007F2F9C">
      <w:pPr>
        <w:contextualSpacing/>
        <w:jc w:val="both"/>
        <w:rPr>
          <w:color w:val="000000"/>
        </w:rPr>
      </w:pPr>
      <w:r w:rsidRPr="007F2F9C">
        <w:rPr>
          <w:color w:val="000000"/>
        </w:rPr>
        <w:t>Za rok 2016</w:t>
      </w:r>
      <w:r w:rsidR="00053E21" w:rsidRPr="007F2F9C">
        <w:rPr>
          <w:color w:val="000000"/>
        </w:rPr>
        <w:t xml:space="preserve"> sme celkovo </w:t>
      </w:r>
      <w:proofErr w:type="spellStart"/>
      <w:r w:rsidR="00053E21" w:rsidRPr="007F2F9C">
        <w:rPr>
          <w:color w:val="000000"/>
        </w:rPr>
        <w:t>prevzdelávali</w:t>
      </w:r>
      <w:proofErr w:type="spellEnd"/>
      <w:r w:rsidR="00053E21" w:rsidRPr="007F2F9C">
        <w:rPr>
          <w:color w:val="000000"/>
        </w:rPr>
        <w:t xml:space="preserve"> 533 opatrovateliek a 78 opatrovateľov, spolu teda 611 opatrovateľov/opatrovateliek. </w:t>
      </w:r>
    </w:p>
    <w:p w:rsidR="00F04971" w:rsidRPr="007F2F9C" w:rsidRDefault="00F04971" w:rsidP="007F2F9C">
      <w:pPr>
        <w:contextualSpacing/>
        <w:jc w:val="both"/>
        <w:rPr>
          <w:color w:val="000000"/>
        </w:rPr>
      </w:pPr>
    </w:p>
    <w:p w:rsidR="00C005CF" w:rsidRPr="007F2F9C" w:rsidRDefault="00C005CF" w:rsidP="007F2F9C">
      <w:pPr>
        <w:contextualSpacing/>
        <w:jc w:val="both"/>
        <w:rPr>
          <w:color w:val="000000"/>
        </w:rPr>
      </w:pPr>
      <w:r w:rsidRPr="007F2F9C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2004060</wp:posOffset>
            </wp:positionH>
            <wp:positionV relativeFrom="margin">
              <wp:posOffset>6286500</wp:posOffset>
            </wp:positionV>
            <wp:extent cx="1918800" cy="1440000"/>
            <wp:effectExtent l="0" t="0" r="5715" b="825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624628_1478627745730778_542466473843438334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2F9C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4017645</wp:posOffset>
            </wp:positionH>
            <wp:positionV relativeFrom="margin">
              <wp:posOffset>6286500</wp:posOffset>
            </wp:positionV>
            <wp:extent cx="1922400" cy="1440000"/>
            <wp:effectExtent l="0" t="0" r="1905" b="8255"/>
            <wp:wrapSquare wrapText="bothSides"/>
            <wp:docPr id="3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171142_1192773207450429_3970884449366107251_n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2F9C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6286500</wp:posOffset>
            </wp:positionV>
            <wp:extent cx="1922400" cy="1440000"/>
            <wp:effectExtent l="0" t="0" r="1905" b="825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803_1586440211616197_6830618548105417146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5CF" w:rsidRPr="007F2F9C" w:rsidRDefault="00C005CF" w:rsidP="007F2F9C">
      <w:pPr>
        <w:contextualSpacing/>
        <w:jc w:val="both"/>
        <w:rPr>
          <w:color w:val="000000"/>
        </w:rPr>
      </w:pPr>
    </w:p>
    <w:p w:rsidR="00F04971" w:rsidRPr="007F2F9C" w:rsidRDefault="00F04971" w:rsidP="007F2F9C">
      <w:pPr>
        <w:contextualSpacing/>
        <w:jc w:val="both"/>
        <w:rPr>
          <w:color w:val="000000"/>
        </w:rPr>
      </w:pPr>
    </w:p>
    <w:p w:rsidR="00C005CF" w:rsidRPr="007F2F9C" w:rsidRDefault="00C005CF" w:rsidP="007F2F9C">
      <w:pPr>
        <w:contextualSpacing/>
        <w:jc w:val="both"/>
        <w:rPr>
          <w:color w:val="000000"/>
        </w:rPr>
      </w:pPr>
    </w:p>
    <w:p w:rsidR="00C005CF" w:rsidRPr="007F2F9C" w:rsidRDefault="00C005CF" w:rsidP="007F2F9C">
      <w:pPr>
        <w:contextualSpacing/>
        <w:jc w:val="both"/>
        <w:rPr>
          <w:color w:val="000000"/>
        </w:rPr>
      </w:pPr>
    </w:p>
    <w:p w:rsidR="00C005CF" w:rsidRPr="007F2F9C" w:rsidRDefault="00C005CF" w:rsidP="007F2F9C">
      <w:pPr>
        <w:contextualSpacing/>
        <w:jc w:val="both"/>
        <w:rPr>
          <w:color w:val="000000"/>
        </w:rPr>
      </w:pPr>
    </w:p>
    <w:p w:rsidR="00C005CF" w:rsidRPr="007F2F9C" w:rsidRDefault="00C005CF" w:rsidP="007F2F9C">
      <w:pPr>
        <w:contextualSpacing/>
        <w:jc w:val="both"/>
        <w:rPr>
          <w:color w:val="000000"/>
        </w:rPr>
      </w:pPr>
    </w:p>
    <w:p w:rsidR="00C005CF" w:rsidRPr="007F2F9C" w:rsidRDefault="00C005CF" w:rsidP="007F2F9C">
      <w:pPr>
        <w:contextualSpacing/>
        <w:jc w:val="both"/>
        <w:rPr>
          <w:color w:val="000000"/>
        </w:rPr>
      </w:pPr>
    </w:p>
    <w:p w:rsidR="00C005CF" w:rsidRPr="007F2F9C" w:rsidRDefault="00C005CF" w:rsidP="007F2F9C">
      <w:pPr>
        <w:contextualSpacing/>
        <w:jc w:val="both"/>
        <w:rPr>
          <w:color w:val="000000"/>
        </w:rPr>
      </w:pPr>
    </w:p>
    <w:p w:rsidR="00C005CF" w:rsidRPr="007F2F9C" w:rsidRDefault="00C005CF" w:rsidP="007F2F9C">
      <w:pPr>
        <w:contextualSpacing/>
        <w:jc w:val="both"/>
        <w:rPr>
          <w:color w:val="000000"/>
        </w:rPr>
      </w:pPr>
    </w:p>
    <w:p w:rsidR="00C141EE" w:rsidRDefault="00C141EE" w:rsidP="007F2F9C">
      <w:pPr>
        <w:contextualSpacing/>
        <w:jc w:val="both"/>
        <w:rPr>
          <w:color w:val="000000"/>
        </w:rPr>
      </w:pPr>
    </w:p>
    <w:p w:rsidR="007F2F9C" w:rsidRDefault="007F2F9C" w:rsidP="007F2F9C">
      <w:pPr>
        <w:contextualSpacing/>
        <w:jc w:val="both"/>
        <w:rPr>
          <w:color w:val="000000"/>
        </w:rPr>
      </w:pPr>
    </w:p>
    <w:p w:rsidR="007F2F9C" w:rsidRDefault="007F2F9C" w:rsidP="007F2F9C">
      <w:pPr>
        <w:contextualSpacing/>
        <w:jc w:val="both"/>
        <w:rPr>
          <w:color w:val="000000"/>
        </w:rPr>
      </w:pPr>
    </w:p>
    <w:p w:rsidR="007F2F9C" w:rsidRPr="007F2F9C" w:rsidRDefault="007F2F9C" w:rsidP="007F2F9C">
      <w:pPr>
        <w:contextualSpacing/>
        <w:jc w:val="both"/>
        <w:rPr>
          <w:color w:val="000000"/>
        </w:rPr>
      </w:pPr>
    </w:p>
    <w:p w:rsidR="00053E21" w:rsidRPr="007F2F9C" w:rsidRDefault="00053E21" w:rsidP="007F2F9C">
      <w:pPr>
        <w:pStyle w:val="Odsekzoznamu"/>
        <w:numPr>
          <w:ilvl w:val="0"/>
          <w:numId w:val="11"/>
        </w:numPr>
        <w:jc w:val="both"/>
        <w:rPr>
          <w:color w:val="000000"/>
        </w:rPr>
      </w:pPr>
      <w:r w:rsidRPr="007F2F9C">
        <w:rPr>
          <w:color w:val="000000"/>
        </w:rPr>
        <w:lastRenderedPageBreak/>
        <w:t xml:space="preserve">Oblasť poskytovania opatrovateľskej služby: </w:t>
      </w:r>
    </w:p>
    <w:p w:rsidR="00053E21" w:rsidRPr="007F2F9C" w:rsidRDefault="00053E21" w:rsidP="007F2F9C">
      <w:pPr>
        <w:contextualSpacing/>
        <w:jc w:val="both"/>
        <w:rPr>
          <w:color w:val="000000"/>
        </w:rPr>
      </w:pPr>
    </w:p>
    <w:p w:rsidR="00053E21" w:rsidRPr="007F2F9C" w:rsidRDefault="00F04971" w:rsidP="007F2F9C">
      <w:pPr>
        <w:contextualSpacing/>
        <w:jc w:val="both"/>
        <w:rPr>
          <w:color w:val="000000"/>
        </w:rPr>
      </w:pPr>
      <w:r w:rsidRPr="007F2F9C">
        <w:rPr>
          <w:color w:val="000000"/>
        </w:rPr>
        <w:t xml:space="preserve">Opatrovateľskú službu poskytujeme v zmysle </w:t>
      </w:r>
      <w:r w:rsidRPr="007F2F9C">
        <w:t xml:space="preserve">§41 zákona 448/2008 </w:t>
      </w:r>
      <w:proofErr w:type="spellStart"/>
      <w:r w:rsidRPr="007F2F9C">
        <w:t>Z.z</w:t>
      </w:r>
      <w:proofErr w:type="spellEnd"/>
      <w:r w:rsidRPr="007F2F9C">
        <w:t xml:space="preserve"> na základe zápisu do Registra poskytovateľov sociálnych služieb vedenom na Úrade Nitrianskeho samosprávneho kraja pod číslom registrácie 277. </w:t>
      </w:r>
      <w:r w:rsidR="00DE0CC7" w:rsidRPr="007F2F9C">
        <w:rPr>
          <w:color w:val="000000"/>
        </w:rPr>
        <w:t xml:space="preserve">Od 01.02.2017 </w:t>
      </w:r>
      <w:r w:rsidRPr="007F2F9C">
        <w:rPr>
          <w:color w:val="000000"/>
        </w:rPr>
        <w:t xml:space="preserve">sme zapojený do </w:t>
      </w:r>
      <w:r w:rsidR="00534080" w:rsidRPr="007F2F9C">
        <w:rPr>
          <w:color w:val="000000"/>
        </w:rPr>
        <w:t>nového</w:t>
      </w:r>
      <w:r w:rsidR="00053E21" w:rsidRPr="007F2F9C">
        <w:rPr>
          <w:color w:val="000000"/>
        </w:rPr>
        <w:t xml:space="preserve"> Národného projektu Podpora opatrovateľskej služby</w:t>
      </w:r>
      <w:r w:rsidR="00534080" w:rsidRPr="007F2F9C">
        <w:rPr>
          <w:color w:val="000000"/>
        </w:rPr>
        <w:t xml:space="preserve"> (01.02.2016 – 30.04.2018)</w:t>
      </w:r>
      <w:r w:rsidR="00053E21" w:rsidRPr="007F2F9C">
        <w:rPr>
          <w:color w:val="000000"/>
        </w:rPr>
        <w:t>, k</w:t>
      </w:r>
      <w:r w:rsidR="00534080" w:rsidRPr="007F2F9C">
        <w:rPr>
          <w:color w:val="000000"/>
        </w:rPr>
        <w:t>torý zastrešuje</w:t>
      </w:r>
      <w:r w:rsidR="00053E21" w:rsidRPr="007F2F9C">
        <w:rPr>
          <w:color w:val="000000"/>
        </w:rPr>
        <w:t xml:space="preserve"> Implementačná agentúra Ministerstva práce, sociálnych vecí a rodiny. V rámc</w:t>
      </w:r>
      <w:r w:rsidR="00833740" w:rsidRPr="007F2F9C">
        <w:rPr>
          <w:color w:val="000000"/>
        </w:rPr>
        <w:t>i tohto projektu sme</w:t>
      </w:r>
      <w:r w:rsidR="00534080" w:rsidRPr="007F2F9C">
        <w:rPr>
          <w:color w:val="000000"/>
        </w:rPr>
        <w:t xml:space="preserve"> ku dňu 31.12.2016 vytvorili</w:t>
      </w:r>
      <w:r w:rsidR="00053E21" w:rsidRPr="007F2F9C">
        <w:rPr>
          <w:color w:val="000000"/>
        </w:rPr>
        <w:t xml:space="preserve"> </w:t>
      </w:r>
      <w:r w:rsidR="00A35054" w:rsidRPr="007F2F9C">
        <w:rPr>
          <w:color w:val="000000"/>
        </w:rPr>
        <w:t>41</w:t>
      </w:r>
      <w:r w:rsidR="00534080" w:rsidRPr="007F2F9C">
        <w:rPr>
          <w:color w:val="000000"/>
        </w:rPr>
        <w:t>,5 úväzkov</w:t>
      </w:r>
      <w:r w:rsidR="00053E21" w:rsidRPr="007F2F9C">
        <w:rPr>
          <w:color w:val="000000"/>
        </w:rPr>
        <w:t xml:space="preserve"> o</w:t>
      </w:r>
      <w:r w:rsidR="00534080" w:rsidRPr="007F2F9C">
        <w:rPr>
          <w:color w:val="000000"/>
        </w:rPr>
        <w:t xml:space="preserve">patrovateľov/opatrovateliek a jedno miesto koordinátora opatrovateľskej služby. </w:t>
      </w:r>
    </w:p>
    <w:p w:rsidR="00053E21" w:rsidRPr="007F2F9C" w:rsidRDefault="00053E21" w:rsidP="007F2F9C">
      <w:pPr>
        <w:contextualSpacing/>
        <w:jc w:val="both"/>
        <w:rPr>
          <w:color w:val="000000"/>
        </w:rPr>
      </w:pPr>
    </w:p>
    <w:p w:rsidR="00053E21" w:rsidRPr="007F2F9C" w:rsidRDefault="00A35054" w:rsidP="007F2F9C">
      <w:pPr>
        <w:contextualSpacing/>
        <w:jc w:val="both"/>
        <w:rPr>
          <w:color w:val="000000"/>
        </w:rPr>
      </w:pPr>
      <w:r w:rsidRPr="007F2F9C">
        <w:rPr>
          <w:color w:val="000000"/>
        </w:rPr>
        <w:t>V roku 2016 sme opatrovateľskú starostlivosť</w:t>
      </w:r>
      <w:r w:rsidR="00053E21" w:rsidRPr="007F2F9C">
        <w:rPr>
          <w:color w:val="000000"/>
        </w:rPr>
        <w:t xml:space="preserve"> </w:t>
      </w:r>
      <w:r w:rsidR="0015581C" w:rsidRPr="007F2F9C">
        <w:rPr>
          <w:color w:val="000000"/>
        </w:rPr>
        <w:t xml:space="preserve">v rámci NP POS </w:t>
      </w:r>
      <w:r w:rsidR="00053E21" w:rsidRPr="007F2F9C">
        <w:rPr>
          <w:color w:val="000000"/>
        </w:rPr>
        <w:t>poskytovali v týchto mestách</w:t>
      </w:r>
      <w:r w:rsidRPr="007F2F9C">
        <w:rPr>
          <w:color w:val="000000"/>
        </w:rPr>
        <w:t xml:space="preserve"> a obciach</w:t>
      </w:r>
      <w:r w:rsidR="00053E21" w:rsidRPr="007F2F9C">
        <w:rPr>
          <w:color w:val="000000"/>
        </w:rPr>
        <w:t xml:space="preserve">: </w:t>
      </w:r>
    </w:p>
    <w:p w:rsidR="00053E21" w:rsidRPr="007F2F9C" w:rsidRDefault="00053E21" w:rsidP="007F2F9C">
      <w:pPr>
        <w:pStyle w:val="Odsekzoznamu"/>
        <w:numPr>
          <w:ilvl w:val="0"/>
          <w:numId w:val="12"/>
        </w:numPr>
        <w:jc w:val="both"/>
        <w:rPr>
          <w:color w:val="000000"/>
        </w:rPr>
      </w:pPr>
      <w:r w:rsidRPr="007F2F9C">
        <w:rPr>
          <w:color w:val="000000"/>
        </w:rPr>
        <w:t>Nit</w:t>
      </w:r>
      <w:r w:rsidR="00A35054" w:rsidRPr="007F2F9C">
        <w:rPr>
          <w:color w:val="000000"/>
        </w:rPr>
        <w:t>riansky kraj: Hurbanovo (7,5 úväzku), Dulovce (4 úväzky)</w:t>
      </w:r>
      <w:r w:rsidRPr="007F2F9C">
        <w:rPr>
          <w:color w:val="000000"/>
        </w:rPr>
        <w:t xml:space="preserve">, </w:t>
      </w:r>
      <w:r w:rsidR="00D45B6A" w:rsidRPr="007F2F9C">
        <w:rPr>
          <w:color w:val="000000"/>
        </w:rPr>
        <w:t xml:space="preserve">Zlaté Moravce (3,5 úväzku), Nitra (3 úväzky), Komjatice (2 úväzky), Kolta (2 úväzky), </w:t>
      </w:r>
      <w:r w:rsidRPr="007F2F9C">
        <w:rPr>
          <w:color w:val="000000"/>
        </w:rPr>
        <w:t>Kolárovo</w:t>
      </w:r>
      <w:r w:rsidR="00A35054" w:rsidRPr="007F2F9C">
        <w:rPr>
          <w:color w:val="000000"/>
        </w:rPr>
        <w:t xml:space="preserve"> (1 úväzok)</w:t>
      </w:r>
      <w:r w:rsidRPr="007F2F9C">
        <w:rPr>
          <w:color w:val="000000"/>
        </w:rPr>
        <w:t xml:space="preserve">, </w:t>
      </w:r>
      <w:r w:rsidR="00A35054" w:rsidRPr="007F2F9C">
        <w:rPr>
          <w:color w:val="000000"/>
        </w:rPr>
        <w:t>Sokolciach (1 úväzok), Brestovec (1 úväzok), Lipové (1 úväzok) Levice</w:t>
      </w:r>
      <w:r w:rsidR="00D45B6A" w:rsidRPr="007F2F9C">
        <w:rPr>
          <w:color w:val="000000"/>
        </w:rPr>
        <w:t xml:space="preserve"> (1 úväzok)</w:t>
      </w:r>
      <w:r w:rsidR="00A35054" w:rsidRPr="007F2F9C">
        <w:rPr>
          <w:color w:val="000000"/>
        </w:rPr>
        <w:t>, Machulince ( 1 úväzok)</w:t>
      </w:r>
      <w:r w:rsidR="00D45B6A" w:rsidRPr="007F2F9C">
        <w:rPr>
          <w:color w:val="000000"/>
        </w:rPr>
        <w:t>, Hosťovce (1 úväzok), Pastovce (1 úväzok), Chotín (1 úväzok)</w:t>
      </w:r>
    </w:p>
    <w:p w:rsidR="00053E21" w:rsidRPr="007F2F9C" w:rsidRDefault="00A35054" w:rsidP="007F2F9C">
      <w:pPr>
        <w:pStyle w:val="Odsekzoznamu"/>
        <w:numPr>
          <w:ilvl w:val="0"/>
          <w:numId w:val="12"/>
        </w:numPr>
        <w:jc w:val="both"/>
        <w:rPr>
          <w:color w:val="000000"/>
        </w:rPr>
      </w:pPr>
      <w:r w:rsidRPr="007F2F9C">
        <w:rPr>
          <w:color w:val="000000"/>
        </w:rPr>
        <w:t>Trnavský kraj: Váhovce</w:t>
      </w:r>
      <w:r w:rsidR="00D45B6A" w:rsidRPr="007F2F9C">
        <w:rPr>
          <w:color w:val="000000"/>
        </w:rPr>
        <w:t xml:space="preserve"> (1 úväzok)</w:t>
      </w:r>
    </w:p>
    <w:p w:rsidR="00053E21" w:rsidRPr="007F2F9C" w:rsidRDefault="00053E21" w:rsidP="007F2F9C">
      <w:pPr>
        <w:pStyle w:val="Odsekzoznamu"/>
        <w:numPr>
          <w:ilvl w:val="0"/>
          <w:numId w:val="12"/>
        </w:numPr>
        <w:jc w:val="both"/>
        <w:rPr>
          <w:color w:val="000000"/>
        </w:rPr>
      </w:pPr>
      <w:r w:rsidRPr="007F2F9C">
        <w:rPr>
          <w:color w:val="000000"/>
        </w:rPr>
        <w:t>Trenčiansky kraj: Bzince pod Javorinou</w:t>
      </w:r>
      <w:r w:rsidR="00D45B6A" w:rsidRPr="007F2F9C">
        <w:rPr>
          <w:color w:val="000000"/>
        </w:rPr>
        <w:t xml:space="preserve"> (1 úväzok)</w:t>
      </w:r>
    </w:p>
    <w:p w:rsidR="00053E21" w:rsidRPr="007F2F9C" w:rsidRDefault="00F04971" w:rsidP="007F2F9C">
      <w:pPr>
        <w:pStyle w:val="Odsekzoznamu"/>
        <w:numPr>
          <w:ilvl w:val="0"/>
          <w:numId w:val="12"/>
        </w:numPr>
        <w:jc w:val="both"/>
        <w:rPr>
          <w:color w:val="000000"/>
        </w:rPr>
      </w:pPr>
      <w:r w:rsidRPr="007F2F9C">
        <w:rPr>
          <w:color w:val="000000"/>
        </w:rPr>
        <w:t>Bratislavský kraj: Dú</w:t>
      </w:r>
      <w:r w:rsidR="00A35054" w:rsidRPr="007F2F9C">
        <w:rPr>
          <w:color w:val="000000"/>
        </w:rPr>
        <w:t>bravk</w:t>
      </w:r>
      <w:r w:rsidR="00D45B6A" w:rsidRPr="007F2F9C">
        <w:rPr>
          <w:color w:val="000000"/>
        </w:rPr>
        <w:t>a</w:t>
      </w:r>
      <w:r w:rsidR="0015581C" w:rsidRPr="007F2F9C">
        <w:rPr>
          <w:color w:val="000000"/>
        </w:rPr>
        <w:t xml:space="preserve"> (4 úväzky)</w:t>
      </w:r>
      <w:r w:rsidR="00D45B6A" w:rsidRPr="007F2F9C">
        <w:rPr>
          <w:color w:val="000000"/>
        </w:rPr>
        <w:t xml:space="preserve">, </w:t>
      </w:r>
      <w:r w:rsidR="003F4104" w:rsidRPr="007F2F9C">
        <w:rPr>
          <w:color w:val="000000"/>
        </w:rPr>
        <w:t xml:space="preserve">Ružinov (2 úväzky), </w:t>
      </w:r>
      <w:r w:rsidR="00D45B6A" w:rsidRPr="007F2F9C">
        <w:rPr>
          <w:color w:val="000000"/>
        </w:rPr>
        <w:t>Staré Mesto</w:t>
      </w:r>
      <w:r w:rsidR="0015581C" w:rsidRPr="007F2F9C">
        <w:rPr>
          <w:color w:val="000000"/>
        </w:rPr>
        <w:t xml:space="preserve"> (1 úväzok)</w:t>
      </w:r>
      <w:r w:rsidR="00D45B6A" w:rsidRPr="007F2F9C">
        <w:rPr>
          <w:color w:val="000000"/>
        </w:rPr>
        <w:t xml:space="preserve">, </w:t>
      </w:r>
      <w:r w:rsidR="00A35054" w:rsidRPr="007F2F9C">
        <w:rPr>
          <w:color w:val="000000"/>
        </w:rPr>
        <w:t>Petržalka</w:t>
      </w:r>
      <w:r w:rsidR="0015581C" w:rsidRPr="007F2F9C">
        <w:rPr>
          <w:color w:val="000000"/>
        </w:rPr>
        <w:t xml:space="preserve"> (1 úväzok)</w:t>
      </w:r>
      <w:r w:rsidR="003F4104" w:rsidRPr="007F2F9C">
        <w:rPr>
          <w:color w:val="000000"/>
        </w:rPr>
        <w:t>, Vraku</w:t>
      </w:r>
      <w:r w:rsidRPr="007F2F9C">
        <w:rPr>
          <w:color w:val="000000"/>
        </w:rPr>
        <w:t>ňa (0,5 úväzku</w:t>
      </w:r>
      <w:r w:rsidR="003F4104" w:rsidRPr="007F2F9C">
        <w:rPr>
          <w:color w:val="000000"/>
        </w:rPr>
        <w:t>).</w:t>
      </w:r>
    </w:p>
    <w:p w:rsidR="00DE0CC7" w:rsidRPr="007F2F9C" w:rsidRDefault="00DE0CC7" w:rsidP="007F2F9C">
      <w:pPr>
        <w:contextualSpacing/>
        <w:jc w:val="both"/>
        <w:rPr>
          <w:color w:val="000000"/>
        </w:rPr>
      </w:pPr>
    </w:p>
    <w:p w:rsidR="00DE0CC7" w:rsidRPr="007F2F9C" w:rsidRDefault="00DE0CC7" w:rsidP="007F2F9C">
      <w:pPr>
        <w:contextualSpacing/>
        <w:jc w:val="both"/>
        <w:rPr>
          <w:color w:val="000000"/>
        </w:rPr>
      </w:pPr>
      <w:r w:rsidRPr="007F2F9C">
        <w:rPr>
          <w:color w:val="000000"/>
        </w:rPr>
        <w:t xml:space="preserve">V roku 2016 sme mimo NP POS v bratislavskom kraji poskytovali opatrovateľskú službu 2 klientom samoplatiteľom. </w:t>
      </w:r>
    </w:p>
    <w:p w:rsidR="00C005CF" w:rsidRPr="007F2F9C" w:rsidRDefault="00C005CF" w:rsidP="007F2F9C">
      <w:pPr>
        <w:contextualSpacing/>
        <w:jc w:val="both"/>
        <w:rPr>
          <w:color w:val="000000"/>
        </w:rPr>
      </w:pPr>
    </w:p>
    <w:p w:rsidR="00C005CF" w:rsidRPr="007F2F9C" w:rsidRDefault="002457BE" w:rsidP="007F2F9C">
      <w:pPr>
        <w:contextualSpacing/>
        <w:jc w:val="both"/>
        <w:rPr>
          <w:color w:val="000000"/>
        </w:rPr>
      </w:pPr>
      <w:r w:rsidRPr="007F2F9C"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4055745</wp:posOffset>
            </wp:positionH>
            <wp:positionV relativeFrom="margin">
              <wp:posOffset>4448175</wp:posOffset>
            </wp:positionV>
            <wp:extent cx="1922400" cy="1440000"/>
            <wp:effectExtent l="0" t="0" r="1905" b="8255"/>
            <wp:wrapSquare wrapText="bothSides"/>
            <wp:docPr id="9" name="Obrázo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70309_094604.jp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2F9C"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2051685</wp:posOffset>
            </wp:positionH>
            <wp:positionV relativeFrom="margin">
              <wp:posOffset>4448175</wp:posOffset>
            </wp:positionV>
            <wp:extent cx="1922400" cy="1440000"/>
            <wp:effectExtent l="0" t="0" r="1905" b="8255"/>
            <wp:wrapNone/>
            <wp:docPr id="5" name="Obrázo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1360.JP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5CF" w:rsidRPr="007F2F9C"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4448175</wp:posOffset>
            </wp:positionV>
            <wp:extent cx="1922400" cy="1440000"/>
            <wp:effectExtent l="0" t="0" r="1905" b="8255"/>
            <wp:wrapSquare wrapText="bothSides"/>
            <wp:docPr id="4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1362.JP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5CF" w:rsidRPr="007F2F9C" w:rsidRDefault="00C005CF" w:rsidP="007F2F9C">
      <w:pPr>
        <w:contextualSpacing/>
        <w:jc w:val="both"/>
        <w:rPr>
          <w:color w:val="000000"/>
        </w:rPr>
      </w:pPr>
    </w:p>
    <w:p w:rsidR="00C005CF" w:rsidRPr="007F2F9C" w:rsidRDefault="00C005CF" w:rsidP="007F2F9C">
      <w:pPr>
        <w:contextualSpacing/>
        <w:jc w:val="both"/>
        <w:rPr>
          <w:color w:val="000000"/>
        </w:rPr>
      </w:pPr>
    </w:p>
    <w:p w:rsidR="00C005CF" w:rsidRPr="007F2F9C" w:rsidRDefault="00C005CF" w:rsidP="007F2F9C">
      <w:pPr>
        <w:contextualSpacing/>
        <w:jc w:val="both"/>
        <w:rPr>
          <w:color w:val="000000"/>
        </w:rPr>
      </w:pPr>
    </w:p>
    <w:p w:rsidR="00C005CF" w:rsidRPr="007F2F9C" w:rsidRDefault="00C005CF" w:rsidP="007F2F9C">
      <w:pPr>
        <w:tabs>
          <w:tab w:val="left" w:pos="1680"/>
        </w:tabs>
        <w:contextualSpacing/>
        <w:jc w:val="both"/>
        <w:rPr>
          <w:color w:val="000000"/>
        </w:rPr>
      </w:pPr>
      <w:r w:rsidRPr="007F2F9C">
        <w:rPr>
          <w:color w:val="000000"/>
        </w:rPr>
        <w:tab/>
      </w:r>
    </w:p>
    <w:p w:rsidR="00C005CF" w:rsidRPr="007F2F9C" w:rsidRDefault="00C005CF" w:rsidP="007F2F9C">
      <w:pPr>
        <w:contextualSpacing/>
        <w:jc w:val="both"/>
        <w:rPr>
          <w:color w:val="000000"/>
        </w:rPr>
      </w:pPr>
    </w:p>
    <w:p w:rsidR="00C005CF" w:rsidRPr="007F2F9C" w:rsidRDefault="00C005CF" w:rsidP="007F2F9C">
      <w:pPr>
        <w:contextualSpacing/>
        <w:jc w:val="both"/>
        <w:rPr>
          <w:color w:val="000000"/>
        </w:rPr>
      </w:pPr>
    </w:p>
    <w:p w:rsidR="00C005CF" w:rsidRPr="007F2F9C" w:rsidRDefault="00C005CF" w:rsidP="007F2F9C">
      <w:pPr>
        <w:contextualSpacing/>
        <w:jc w:val="both"/>
        <w:rPr>
          <w:color w:val="000000"/>
        </w:rPr>
      </w:pPr>
    </w:p>
    <w:p w:rsidR="0015581C" w:rsidRPr="007F2F9C" w:rsidRDefault="0015581C" w:rsidP="007F2F9C">
      <w:pPr>
        <w:contextualSpacing/>
        <w:jc w:val="both"/>
        <w:rPr>
          <w:color w:val="000000"/>
        </w:rPr>
      </w:pPr>
    </w:p>
    <w:p w:rsidR="00053E21" w:rsidRPr="007F2F9C" w:rsidRDefault="00053E21" w:rsidP="007F2F9C">
      <w:pPr>
        <w:pStyle w:val="Odsekzoznamu"/>
        <w:numPr>
          <w:ilvl w:val="0"/>
          <w:numId w:val="11"/>
        </w:numPr>
        <w:jc w:val="both"/>
        <w:rPr>
          <w:color w:val="000000"/>
        </w:rPr>
      </w:pPr>
      <w:r w:rsidRPr="007F2F9C">
        <w:rPr>
          <w:color w:val="000000"/>
        </w:rPr>
        <w:t>Ďalšie činnosti v roku</w:t>
      </w:r>
      <w:r w:rsidR="00A35054" w:rsidRPr="007F2F9C">
        <w:rPr>
          <w:color w:val="000000"/>
        </w:rPr>
        <w:t xml:space="preserve"> 2016</w:t>
      </w:r>
    </w:p>
    <w:p w:rsidR="00C141EE" w:rsidRPr="007F2F9C" w:rsidRDefault="00C141EE" w:rsidP="007F2F9C">
      <w:pPr>
        <w:pStyle w:val="Odsekzoznamu"/>
        <w:jc w:val="both"/>
        <w:rPr>
          <w:color w:val="000000"/>
        </w:rPr>
      </w:pPr>
    </w:p>
    <w:p w:rsidR="005E52F6" w:rsidRPr="007F2F9C" w:rsidRDefault="00C141EE" w:rsidP="007F2F9C">
      <w:pPr>
        <w:pStyle w:val="Odsekzoznamu"/>
        <w:numPr>
          <w:ilvl w:val="0"/>
          <w:numId w:val="12"/>
        </w:numPr>
        <w:jc w:val="both"/>
        <w:rPr>
          <w:color w:val="000000"/>
        </w:rPr>
      </w:pPr>
      <w:r w:rsidRPr="007F2F9C">
        <w:rPr>
          <w:color w:val="000000"/>
        </w:rPr>
        <w:t>S</w:t>
      </w:r>
      <w:r w:rsidR="00053E21" w:rsidRPr="007F2F9C">
        <w:rPr>
          <w:color w:val="000000"/>
        </w:rPr>
        <w:t xml:space="preserve">o Zariadeniami pre seniorov v Hurbanove, Komárne, Dunajskej Strede, </w:t>
      </w:r>
      <w:proofErr w:type="spellStart"/>
      <w:r w:rsidR="00053E21" w:rsidRPr="007F2F9C">
        <w:rPr>
          <w:color w:val="000000"/>
        </w:rPr>
        <w:t>Hodruša</w:t>
      </w:r>
      <w:proofErr w:type="spellEnd"/>
      <w:r w:rsidR="00053E21" w:rsidRPr="007F2F9C">
        <w:rPr>
          <w:color w:val="000000"/>
        </w:rPr>
        <w:t xml:space="preserve"> – Hámre, s Domovom sociálnych služieb Hrabiny sa naďalej formou prednášok, diskusii, verejných zbierok  podieľame na skvalitňovaní starostlivosti o seniorov v</w:t>
      </w:r>
      <w:r w:rsidRPr="007F2F9C">
        <w:rPr>
          <w:color w:val="000000"/>
        </w:rPr>
        <w:t> </w:t>
      </w:r>
      <w:r w:rsidR="00053E21" w:rsidRPr="007F2F9C">
        <w:rPr>
          <w:color w:val="000000"/>
        </w:rPr>
        <w:t>zari</w:t>
      </w:r>
      <w:r w:rsidRPr="007F2F9C">
        <w:rPr>
          <w:color w:val="000000"/>
        </w:rPr>
        <w:t xml:space="preserve">adení. </w:t>
      </w:r>
    </w:p>
    <w:p w:rsidR="002457BE" w:rsidRPr="007F2F9C" w:rsidRDefault="002457BE" w:rsidP="007F2F9C">
      <w:pPr>
        <w:contextualSpacing/>
        <w:jc w:val="both"/>
        <w:rPr>
          <w:color w:val="000000"/>
        </w:rPr>
      </w:pPr>
    </w:p>
    <w:p w:rsidR="002457BE" w:rsidRPr="007F2F9C" w:rsidRDefault="002457BE" w:rsidP="007F2F9C">
      <w:pPr>
        <w:contextualSpacing/>
        <w:jc w:val="both"/>
        <w:rPr>
          <w:color w:val="000000"/>
        </w:rPr>
      </w:pPr>
    </w:p>
    <w:p w:rsidR="002457BE" w:rsidRPr="007F2F9C" w:rsidRDefault="002457BE" w:rsidP="007F2F9C">
      <w:pPr>
        <w:contextualSpacing/>
        <w:jc w:val="both"/>
        <w:rPr>
          <w:color w:val="000000"/>
        </w:rPr>
      </w:pPr>
    </w:p>
    <w:p w:rsidR="002457BE" w:rsidRPr="007F2F9C" w:rsidRDefault="002457BE" w:rsidP="007F2F9C">
      <w:pPr>
        <w:contextualSpacing/>
        <w:jc w:val="both"/>
        <w:rPr>
          <w:color w:val="000000"/>
        </w:rPr>
      </w:pPr>
    </w:p>
    <w:p w:rsidR="002457BE" w:rsidRPr="007F2F9C" w:rsidRDefault="002457BE" w:rsidP="007F2F9C">
      <w:pPr>
        <w:contextualSpacing/>
        <w:jc w:val="both"/>
        <w:rPr>
          <w:color w:val="000000"/>
        </w:rPr>
      </w:pPr>
    </w:p>
    <w:p w:rsidR="002457BE" w:rsidRPr="007F2F9C" w:rsidRDefault="002457BE" w:rsidP="007F2F9C">
      <w:pPr>
        <w:contextualSpacing/>
        <w:jc w:val="both"/>
        <w:rPr>
          <w:color w:val="000000"/>
        </w:rPr>
      </w:pPr>
    </w:p>
    <w:p w:rsidR="002457BE" w:rsidRPr="007F2F9C" w:rsidRDefault="002457BE" w:rsidP="007F2F9C">
      <w:pPr>
        <w:contextualSpacing/>
        <w:jc w:val="both"/>
        <w:rPr>
          <w:color w:val="000000"/>
        </w:rPr>
      </w:pPr>
    </w:p>
    <w:p w:rsidR="0015581C" w:rsidRPr="007F2F9C" w:rsidRDefault="002457BE" w:rsidP="007F2F9C">
      <w:pPr>
        <w:pStyle w:val="Odsekzoznamu"/>
        <w:numPr>
          <w:ilvl w:val="0"/>
          <w:numId w:val="12"/>
        </w:numPr>
        <w:jc w:val="both"/>
        <w:rPr>
          <w:color w:val="000000"/>
        </w:rPr>
      </w:pPr>
      <w:r w:rsidRPr="007F2F9C">
        <w:rPr>
          <w:noProof/>
          <w:color w:val="000000"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4055745</wp:posOffset>
            </wp:positionH>
            <wp:positionV relativeFrom="margin">
              <wp:posOffset>1247775</wp:posOffset>
            </wp:positionV>
            <wp:extent cx="1922400" cy="1440000"/>
            <wp:effectExtent l="0" t="0" r="1905" b="8255"/>
            <wp:wrapSquare wrapText="bothSides"/>
            <wp:docPr id="8" name="Obrázo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335822_982599135169055_2739361818181226663_n.jp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81C" w:rsidRPr="007F2F9C">
        <w:rPr>
          <w:color w:val="000000"/>
        </w:rPr>
        <w:t>V období od apríla 2016 do konca školského roku 2016 (každé piatkové dopoludnie)  sme z prostriedkov vyzbieraných prostredníctvom 2 percent a vlastných zdrojov financovali a organizovali školu korčuľovania pre deti z Materskej školy v Hurbanove. Pre deti bola zabezpečená doprava, prenájom ľadovej plochy v </w:t>
      </w:r>
      <w:r w:rsidR="00833740" w:rsidRPr="007F2F9C">
        <w:rPr>
          <w:color w:val="000000"/>
        </w:rPr>
        <w:t>novootvorenej</w:t>
      </w:r>
      <w:r w:rsidR="0015581C" w:rsidRPr="007F2F9C">
        <w:rPr>
          <w:color w:val="000000"/>
        </w:rPr>
        <w:t xml:space="preserve"> „</w:t>
      </w:r>
      <w:proofErr w:type="spellStart"/>
      <w:r w:rsidR="00833740" w:rsidRPr="007F2F9C">
        <w:rPr>
          <w:color w:val="000000"/>
        </w:rPr>
        <w:t>Bago</w:t>
      </w:r>
      <w:proofErr w:type="spellEnd"/>
      <w:r w:rsidR="00833740" w:rsidRPr="007F2F9C">
        <w:rPr>
          <w:color w:val="000000"/>
        </w:rPr>
        <w:t xml:space="preserve"> aréne</w:t>
      </w:r>
      <w:r w:rsidR="0015581C" w:rsidRPr="007F2F9C">
        <w:rPr>
          <w:color w:val="000000"/>
        </w:rPr>
        <w:t xml:space="preserve">“ v Nových Zámkoch  a skúsený tréner. </w:t>
      </w:r>
      <w:r w:rsidR="00833740" w:rsidRPr="007F2F9C">
        <w:rPr>
          <w:color w:val="000000"/>
        </w:rPr>
        <w:t xml:space="preserve">Po skončení projektu dostalo každé dieťa diplom o úspešnom absolvovaní školy korčuľovania. </w:t>
      </w:r>
    </w:p>
    <w:p w:rsidR="00C005CF" w:rsidRPr="007F2F9C" w:rsidRDefault="002457BE" w:rsidP="007F2F9C">
      <w:pPr>
        <w:contextualSpacing/>
        <w:jc w:val="both"/>
        <w:rPr>
          <w:color w:val="000000"/>
        </w:rPr>
      </w:pPr>
      <w:r w:rsidRPr="007F2F9C">
        <w:rPr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2023110</wp:posOffset>
            </wp:positionH>
            <wp:positionV relativeFrom="margin">
              <wp:posOffset>1257300</wp:posOffset>
            </wp:positionV>
            <wp:extent cx="1922400" cy="1440000"/>
            <wp:effectExtent l="0" t="0" r="1905" b="8255"/>
            <wp:wrapSquare wrapText="bothSides"/>
            <wp:docPr id="7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165893_970392689723033_2969714810181761654_n.jp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9C">
        <w:rPr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1238250</wp:posOffset>
            </wp:positionV>
            <wp:extent cx="1922145" cy="1439545"/>
            <wp:effectExtent l="0" t="0" r="1905" b="8255"/>
            <wp:wrapSquare wrapText="bothSides"/>
            <wp:docPr id="6" name="Obrázo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151653_970450959717206_9128899851061420085_n.jp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1EE" w:rsidRPr="007F2F9C" w:rsidRDefault="00C141EE" w:rsidP="007F2F9C">
      <w:pPr>
        <w:contextualSpacing/>
        <w:jc w:val="both"/>
      </w:pPr>
    </w:p>
    <w:p w:rsidR="00C71387" w:rsidRPr="007F2F9C" w:rsidRDefault="00C71387" w:rsidP="007F2F9C">
      <w:pPr>
        <w:pStyle w:val="Nadpis1"/>
        <w:contextualSpacing/>
        <w:rPr>
          <w:b/>
          <w:bCs/>
          <w:caps/>
          <w:szCs w:val="24"/>
        </w:rPr>
      </w:pPr>
      <w:bookmarkStart w:id="6" w:name="_Toc276040638"/>
      <w:r w:rsidRPr="007F2F9C">
        <w:rPr>
          <w:b/>
          <w:bCs/>
          <w:caps/>
          <w:szCs w:val="24"/>
        </w:rPr>
        <w:t>3. RoČná účtovná závierka a zhodnotenie základných údajov v nej obsiahnutých</w:t>
      </w:r>
      <w:bookmarkEnd w:id="6"/>
    </w:p>
    <w:p w:rsidR="00C71387" w:rsidRPr="007F2F9C" w:rsidRDefault="00C71387" w:rsidP="007F2F9C">
      <w:pPr>
        <w:contextualSpacing/>
        <w:jc w:val="both"/>
        <w:rPr>
          <w:caps/>
        </w:rPr>
      </w:pPr>
    </w:p>
    <w:p w:rsidR="00886A6D" w:rsidRPr="00886A6D" w:rsidRDefault="00886A6D" w:rsidP="00886A6D">
      <w:pPr>
        <w:pStyle w:val="Nadpis1"/>
        <w:contextualSpacing/>
        <w:rPr>
          <w:szCs w:val="24"/>
          <w:u w:val="none"/>
        </w:rPr>
      </w:pPr>
    </w:p>
    <w:p w:rsidR="001F3710" w:rsidRDefault="001F3710" w:rsidP="001F3710">
      <w:pPr>
        <w:pStyle w:val="Nadpis1"/>
        <w:contextualSpacing/>
        <w:rPr>
          <w:szCs w:val="24"/>
          <w:u w:val="none"/>
        </w:rPr>
      </w:pPr>
      <w:r>
        <w:rPr>
          <w:szCs w:val="24"/>
          <w:u w:val="none"/>
        </w:rPr>
        <w:t xml:space="preserve">V súlade s § 4 ods. 2 zákona č. 431/2002 </w:t>
      </w:r>
      <w:proofErr w:type="spellStart"/>
      <w:r>
        <w:rPr>
          <w:szCs w:val="24"/>
          <w:u w:val="none"/>
        </w:rPr>
        <w:t>Z.z</w:t>
      </w:r>
      <w:proofErr w:type="spellEnd"/>
      <w:r>
        <w:rPr>
          <w:szCs w:val="24"/>
          <w:u w:val="none"/>
        </w:rPr>
        <w:t>. o účtovníctve v platnom znení, občianske združenie Prosocia účtuje v sústave podvojného účtovníctva.</w:t>
      </w:r>
    </w:p>
    <w:p w:rsidR="001F3710" w:rsidRPr="001F3710" w:rsidRDefault="001F3710" w:rsidP="001F3710">
      <w:pPr>
        <w:jc w:val="both"/>
      </w:pPr>
      <w:r>
        <w:t xml:space="preserve">Účtovná závierka predstavuje sústavu výstupných informácií z účtovníctva. Na základe účtovnej závierky občianske združenie Prosocia zostavuje Súvahu, Výkaz ziskov a strát a Poznámky. Tieto výkazy tvoria účtovnú závierku v podvojnom účtovníctve. </w:t>
      </w:r>
    </w:p>
    <w:p w:rsidR="001F3710" w:rsidRDefault="001F3710" w:rsidP="007F2F9C">
      <w:pPr>
        <w:pStyle w:val="Nadpis1"/>
        <w:contextualSpacing/>
        <w:rPr>
          <w:szCs w:val="24"/>
          <w:u w:val="none"/>
        </w:rPr>
      </w:pPr>
    </w:p>
    <w:p w:rsidR="001F3710" w:rsidRDefault="00C141EE" w:rsidP="001F3710">
      <w:pPr>
        <w:pStyle w:val="Nadpis1"/>
        <w:contextualSpacing/>
      </w:pPr>
      <w:r w:rsidRPr="007F2F9C">
        <w:rPr>
          <w:szCs w:val="24"/>
          <w:u w:val="none"/>
        </w:rPr>
        <w:t>Občianske združenie Prosocia</w:t>
      </w:r>
      <w:r w:rsidR="00C71387" w:rsidRPr="007F2F9C">
        <w:rPr>
          <w:szCs w:val="24"/>
          <w:u w:val="none"/>
        </w:rPr>
        <w:t xml:space="preserve"> vedie vo svojom účtovníctve oddelene výnosy a náklady spojené </w:t>
      </w:r>
      <w:r w:rsidR="001F3710">
        <w:rPr>
          <w:szCs w:val="24"/>
          <w:u w:val="none"/>
        </w:rPr>
        <w:t xml:space="preserve"> s poskytovaním sociálnych služieb a výnosy a náklady spojené s inou činnosťou.</w:t>
      </w:r>
    </w:p>
    <w:p w:rsidR="001F3710" w:rsidRDefault="001F3710" w:rsidP="001F3710"/>
    <w:p w:rsidR="00C71387" w:rsidRPr="007F2F9C" w:rsidRDefault="00C71387" w:rsidP="007F2F9C">
      <w:pPr>
        <w:pStyle w:val="Hlavika"/>
        <w:contextualSpacing/>
        <w:jc w:val="both"/>
      </w:pPr>
      <w:r w:rsidRPr="007F2F9C">
        <w:t>Ročná účtovná uzávierka je prílohou č. 1 a pozostáva z nasledovných dokumentov:</w:t>
      </w:r>
    </w:p>
    <w:p w:rsidR="00C71387" w:rsidRPr="007F2F9C" w:rsidRDefault="00C71387" w:rsidP="007F2F9C">
      <w:pPr>
        <w:contextualSpacing/>
        <w:jc w:val="both"/>
      </w:pPr>
      <w:r w:rsidRPr="007F2F9C">
        <w:t>- Súv</w:t>
      </w:r>
      <w:r w:rsidR="000A6BA2" w:rsidRPr="007F2F9C">
        <w:t>aha v pl</w:t>
      </w:r>
      <w:r w:rsidR="00A97181" w:rsidRPr="007F2F9C">
        <w:t>nom rozsahu k 31.12.2016</w:t>
      </w:r>
    </w:p>
    <w:p w:rsidR="00C71387" w:rsidRPr="007F2F9C" w:rsidRDefault="00C71387" w:rsidP="007F2F9C">
      <w:pPr>
        <w:contextualSpacing/>
        <w:jc w:val="both"/>
      </w:pPr>
      <w:r w:rsidRPr="007F2F9C">
        <w:t>- Výkaz ziskov a st</w:t>
      </w:r>
      <w:r w:rsidR="00A97181" w:rsidRPr="007F2F9C">
        <w:t>rát v plnom rozsahu k 31.12.2016</w:t>
      </w:r>
    </w:p>
    <w:p w:rsidR="00C71387" w:rsidRPr="007F2F9C" w:rsidRDefault="00C71387" w:rsidP="007F2F9C">
      <w:pPr>
        <w:contextualSpacing/>
        <w:jc w:val="both"/>
      </w:pPr>
      <w:r w:rsidRPr="007F2F9C">
        <w:t>- Poznámky individuálne</w:t>
      </w:r>
      <w:r w:rsidR="00A32851" w:rsidRPr="007F2F9C">
        <w:t>j účto</w:t>
      </w:r>
      <w:r w:rsidR="00A97181" w:rsidRPr="007F2F9C">
        <w:t>vnej závierky k 31.12.2016</w:t>
      </w:r>
    </w:p>
    <w:p w:rsidR="00C71387" w:rsidRPr="007F2F9C" w:rsidRDefault="00C71387" w:rsidP="007F2F9C">
      <w:pPr>
        <w:contextualSpacing/>
        <w:jc w:val="both"/>
      </w:pPr>
    </w:p>
    <w:p w:rsidR="00C71387" w:rsidRPr="007F2F9C" w:rsidRDefault="00C71387" w:rsidP="007F2F9C">
      <w:pPr>
        <w:contextualSpacing/>
        <w:jc w:val="both"/>
      </w:pPr>
      <w:r w:rsidRPr="007F2F9C">
        <w:t>Zhodnotenie základných údajov obsiahnutých v účtovnej závierke je uvedené v poznámkach účtovnej závierky.</w:t>
      </w:r>
    </w:p>
    <w:p w:rsidR="00B87AB8" w:rsidRPr="007F2F9C" w:rsidRDefault="00B87AB8" w:rsidP="007F2F9C">
      <w:pPr>
        <w:contextualSpacing/>
        <w:jc w:val="both"/>
        <w:rPr>
          <w:highlight w:val="green"/>
        </w:rPr>
      </w:pPr>
    </w:p>
    <w:p w:rsidR="00B87AB8" w:rsidRPr="007F2F9C" w:rsidRDefault="00B87AB8" w:rsidP="007F2F9C">
      <w:pPr>
        <w:contextualSpacing/>
        <w:jc w:val="both"/>
      </w:pPr>
      <w:r w:rsidRPr="007F2F9C">
        <w:t>Účtovná závierka za pr</w:t>
      </w:r>
      <w:r w:rsidR="00DE0CC7" w:rsidRPr="007F2F9C">
        <w:t>edchádzajúce obdobie za rok 201</w:t>
      </w:r>
      <w:r w:rsidR="00886A6D">
        <w:t>5</w:t>
      </w:r>
      <w:r w:rsidRPr="007F2F9C">
        <w:t xml:space="preserve"> bola schválená správnou radou dňa </w:t>
      </w:r>
      <w:r w:rsidR="00886A6D">
        <w:t>25.04.2016</w:t>
      </w:r>
      <w:r w:rsidR="00DE0CC7" w:rsidRPr="007F2F9C">
        <w:t xml:space="preserve">. </w:t>
      </w:r>
    </w:p>
    <w:p w:rsidR="00C71387" w:rsidRDefault="00C71387" w:rsidP="007F2F9C">
      <w:pPr>
        <w:contextualSpacing/>
        <w:jc w:val="both"/>
      </w:pPr>
    </w:p>
    <w:p w:rsidR="00454666" w:rsidRPr="007F2F9C" w:rsidRDefault="00454666" w:rsidP="007F2F9C">
      <w:pPr>
        <w:contextualSpacing/>
        <w:jc w:val="both"/>
      </w:pPr>
    </w:p>
    <w:p w:rsidR="00C71387" w:rsidRPr="007F2F9C" w:rsidRDefault="00C71387" w:rsidP="007F2F9C">
      <w:pPr>
        <w:pStyle w:val="Nadpis1"/>
        <w:contextualSpacing/>
        <w:rPr>
          <w:b/>
          <w:bCs/>
          <w:caps/>
          <w:szCs w:val="24"/>
        </w:rPr>
      </w:pPr>
      <w:r w:rsidRPr="007F2F9C">
        <w:rPr>
          <w:b/>
          <w:bCs/>
          <w:caps/>
          <w:szCs w:val="24"/>
        </w:rPr>
        <w:t>4. Výrok audítora k ročnej účtovnej závierke</w:t>
      </w:r>
    </w:p>
    <w:p w:rsidR="00C71387" w:rsidRPr="007F2F9C" w:rsidRDefault="00C71387" w:rsidP="007F2F9C">
      <w:pPr>
        <w:contextualSpacing/>
        <w:jc w:val="both"/>
      </w:pPr>
    </w:p>
    <w:p w:rsidR="00E66162" w:rsidRDefault="00E66162" w:rsidP="007F2F9C">
      <w:pPr>
        <w:contextualSpacing/>
        <w:jc w:val="both"/>
      </w:pPr>
      <w:r>
        <w:t xml:space="preserve">Občianske združenie podlieha povinnosti overenia účtovnej závierky audítorom podľa § 19 ods.1 písm. c) zákona č. 431/2002 </w:t>
      </w:r>
      <w:proofErr w:type="spellStart"/>
      <w:r>
        <w:t>Z.z</w:t>
      </w:r>
      <w:proofErr w:type="spellEnd"/>
      <w:r>
        <w:t xml:space="preserve">. o účtovníctve v aktuálnom znení. Osobitným predpisom je zákon č. 448/2008 </w:t>
      </w:r>
      <w:proofErr w:type="spellStart"/>
      <w:r>
        <w:t>Z.z</w:t>
      </w:r>
      <w:proofErr w:type="spellEnd"/>
      <w:r>
        <w:t xml:space="preserve">. o sociálnych službách v aktuálnom znení. </w:t>
      </w:r>
    </w:p>
    <w:p w:rsidR="00E66162" w:rsidRDefault="00E66162" w:rsidP="007F2F9C">
      <w:pPr>
        <w:contextualSpacing/>
        <w:jc w:val="both"/>
      </w:pPr>
    </w:p>
    <w:p w:rsidR="00C71387" w:rsidRPr="007F2F9C" w:rsidRDefault="00F86182" w:rsidP="007F2F9C">
      <w:pPr>
        <w:contextualSpacing/>
        <w:jc w:val="both"/>
      </w:pPr>
      <w:r w:rsidRPr="007F2F9C">
        <w:lastRenderedPageBreak/>
        <w:t xml:space="preserve">Výročná správa </w:t>
      </w:r>
      <w:r w:rsidR="00C71387" w:rsidRPr="007F2F9C">
        <w:t>obsahuje vý</w:t>
      </w:r>
      <w:r w:rsidR="009E005E" w:rsidRPr="007F2F9C">
        <w:t>rok audítora k ročnej uzávierke (vid v prílohe).</w:t>
      </w:r>
      <w:r w:rsidR="00C71387" w:rsidRPr="007F2F9C">
        <w:t xml:space="preserve"> </w:t>
      </w:r>
    </w:p>
    <w:p w:rsidR="00C71387" w:rsidRPr="007F2F9C" w:rsidRDefault="00C71387" w:rsidP="007F2F9C">
      <w:pPr>
        <w:pStyle w:val="Nadpis1"/>
        <w:contextualSpacing/>
        <w:rPr>
          <w:b/>
          <w:bCs/>
          <w:caps/>
          <w:szCs w:val="24"/>
        </w:rPr>
      </w:pPr>
      <w:bookmarkStart w:id="7" w:name="_Toc276040640"/>
    </w:p>
    <w:bookmarkEnd w:id="7"/>
    <w:p w:rsidR="003F4104" w:rsidRDefault="003F4104" w:rsidP="007F2F9C">
      <w:pPr>
        <w:contextualSpacing/>
      </w:pPr>
    </w:p>
    <w:p w:rsidR="00B147E5" w:rsidRPr="00B147E5" w:rsidRDefault="00B147E5" w:rsidP="00B147E5">
      <w:pPr>
        <w:contextualSpacing/>
        <w:rPr>
          <w:b/>
          <w:bCs/>
          <w:color w:val="FF0000"/>
          <w:highlight w:val="yellow"/>
          <w:u w:val="single"/>
        </w:rPr>
      </w:pPr>
      <w:r w:rsidRPr="002614D2">
        <w:rPr>
          <w:b/>
          <w:bCs/>
          <w:u w:val="single"/>
        </w:rPr>
        <w:t>5. PREHĽAD O PEŇAŽNÝCH PRÍJMOCH A VÝDAVKOCH</w:t>
      </w:r>
      <w:r w:rsidR="006704FD" w:rsidRPr="002614D2">
        <w:rPr>
          <w:b/>
          <w:bCs/>
          <w:u w:val="single"/>
        </w:rPr>
        <w:t xml:space="preserve"> </w:t>
      </w:r>
    </w:p>
    <w:p w:rsidR="00B147E5" w:rsidRPr="00B147E5" w:rsidRDefault="00B147E5" w:rsidP="00B147E5">
      <w:pPr>
        <w:contextualSpacing/>
        <w:rPr>
          <w:highlight w:val="yellow"/>
        </w:rPr>
      </w:pPr>
    </w:p>
    <w:p w:rsidR="00B147E5" w:rsidRPr="00B147E5" w:rsidRDefault="00B147E5" w:rsidP="002614D2">
      <w:pPr>
        <w:contextualSpacing/>
        <w:jc w:val="both"/>
        <w:rPr>
          <w:color w:val="FF0000"/>
        </w:rPr>
      </w:pPr>
      <w:r w:rsidRPr="002614D2">
        <w:t>Financovanie prevádzky je zabezpečené z viacerých zdrojov. Jednou zo zložiek príjmov sú d</w:t>
      </w:r>
      <w:r w:rsidR="005B65C6" w:rsidRPr="002614D2">
        <w:t xml:space="preserve">otácie z rozpočtu </w:t>
      </w:r>
      <w:r w:rsidRPr="002614D2">
        <w:t>Európskeho sociálneho fondu a Európskeho fondu regionálneho rozvoja a z</w:t>
      </w:r>
      <w:r w:rsidR="006704FD" w:rsidRPr="002614D2">
        <w:t> rozpočtu</w:t>
      </w:r>
      <w:r w:rsidRPr="002614D2">
        <w:t xml:space="preserve"> Ministerstva práce, sociálnych vecí a</w:t>
      </w:r>
      <w:r w:rsidR="00A549D9" w:rsidRPr="002614D2">
        <w:t> </w:t>
      </w:r>
      <w:r w:rsidRPr="002614D2">
        <w:t>rodiny</w:t>
      </w:r>
      <w:r w:rsidR="00A549D9" w:rsidRPr="002614D2">
        <w:t xml:space="preserve"> Slovenskej republiky </w:t>
      </w:r>
      <w:r w:rsidRPr="002614D2">
        <w:t xml:space="preserve">v rámci Operačného programu ľudské zdroje, </w:t>
      </w:r>
      <w:r w:rsidR="005B65C6" w:rsidRPr="002614D2">
        <w:t>názov projektu Aktivačná činnosť formou dobrovoľníckej služby a to na základe Dohody č. 17/§52a</w:t>
      </w:r>
      <w:r w:rsidRPr="002614D2">
        <w:t>/201</w:t>
      </w:r>
      <w:r w:rsidR="003059DD" w:rsidRPr="002614D2">
        <w:t>6 zo dňa 20.04</w:t>
      </w:r>
      <w:r w:rsidRPr="002614D2">
        <w:t>.</w:t>
      </w:r>
      <w:r w:rsidR="003059DD" w:rsidRPr="002614D2">
        <w:t>2016,</w:t>
      </w:r>
      <w:r w:rsidR="003E5736">
        <w:t xml:space="preserve"> </w:t>
      </w:r>
      <w:r w:rsidR="003059DD" w:rsidRPr="002614D2">
        <w:t>Národný proj</w:t>
      </w:r>
      <w:r w:rsidR="00A549D9" w:rsidRPr="002614D2">
        <w:t xml:space="preserve">ekt </w:t>
      </w:r>
      <w:r w:rsidR="003059DD" w:rsidRPr="002614D2">
        <w:t>Podpora opatrovate</w:t>
      </w:r>
      <w:r w:rsidR="00A549D9" w:rsidRPr="002614D2">
        <w:t xml:space="preserve">ľskej služby na základe zmluvy </w:t>
      </w:r>
      <w:r w:rsidR="003059DD" w:rsidRPr="002614D2">
        <w:t>N20160115018</w:t>
      </w:r>
      <w:r w:rsidR="006704FD" w:rsidRPr="002614D2">
        <w:t>,</w:t>
      </w:r>
      <w:r w:rsidR="002614D2" w:rsidRPr="002614D2">
        <w:t xml:space="preserve"> </w:t>
      </w:r>
      <w:r w:rsidR="006704FD" w:rsidRPr="002614D2">
        <w:t>ITMS2014+kod:312041A137.</w:t>
      </w:r>
      <w:r w:rsidRPr="002614D2">
        <w:t xml:space="preserve">Tieto finančné prostriedky boli použité v priebehu roka 2016 na zabezpečenie prevádzky </w:t>
      </w:r>
      <w:r w:rsidR="00104C81" w:rsidRPr="002614D2">
        <w:t>občianskeho združenia</w:t>
      </w:r>
      <w:r w:rsidRPr="002614D2">
        <w:t>, a to na dotovanie úh</w:t>
      </w:r>
      <w:r w:rsidR="00104C81" w:rsidRPr="002614D2">
        <w:t xml:space="preserve">rad miezd, </w:t>
      </w:r>
      <w:r w:rsidRPr="002614D2">
        <w:t> nákladových odvodov</w:t>
      </w:r>
      <w:r w:rsidR="00104C81" w:rsidRPr="002614D2">
        <w:t xml:space="preserve"> a celkového chodu prevádzky</w:t>
      </w:r>
      <w:r w:rsidRPr="002614D2">
        <w:t>.</w:t>
      </w:r>
    </w:p>
    <w:p w:rsidR="00B147E5" w:rsidRDefault="00B147E5" w:rsidP="007F2F9C">
      <w:pPr>
        <w:contextualSpacing/>
      </w:pPr>
    </w:p>
    <w:p w:rsidR="00B147E5" w:rsidRDefault="00BF5974" w:rsidP="007F2F9C">
      <w:pPr>
        <w:contextualSpacing/>
      </w:pPr>
      <w:r>
        <w:t>Prehľad peňažných príjmov a výdavkov je uvedený v nasledovnej tabuľke: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BF5974" w:rsidRPr="00BF5974" w:rsidTr="002614D2">
        <w:trPr>
          <w:trHeight w:val="315"/>
        </w:trPr>
        <w:tc>
          <w:tcPr>
            <w:tcW w:w="6804" w:type="dxa"/>
            <w:shd w:val="clear" w:color="auto" w:fill="BFBFBF" w:themeFill="background1" w:themeFillShade="BF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 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hideMark/>
          </w:tcPr>
          <w:p w:rsidR="00BF5974" w:rsidRPr="00BF5974" w:rsidRDefault="00BF5974" w:rsidP="002614D2">
            <w:pPr>
              <w:ind w:left="1229"/>
              <w:contextualSpacing/>
              <w:jc w:val="right"/>
              <w:rPr>
                <w:b/>
                <w:bCs/>
              </w:rPr>
            </w:pPr>
            <w:r w:rsidRPr="00BF5974">
              <w:rPr>
                <w:b/>
                <w:bCs/>
              </w:rPr>
              <w:t>EUR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  <w:rPr>
                <w:b/>
                <w:bCs/>
              </w:rPr>
            </w:pPr>
            <w:r w:rsidRPr="00BF5974">
              <w:rPr>
                <w:b/>
                <w:bCs/>
              </w:rPr>
              <w:t>zostatok 2015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  <w:rPr>
                <w:b/>
                <w:bCs/>
              </w:rPr>
            </w:pPr>
            <w:r w:rsidRPr="00BF5974">
              <w:rPr>
                <w:b/>
                <w:bCs/>
              </w:rPr>
              <w:t>13</w:t>
            </w:r>
            <w:r w:rsidR="003E5736">
              <w:rPr>
                <w:b/>
                <w:bCs/>
              </w:rPr>
              <w:t xml:space="preserve"> </w:t>
            </w:r>
            <w:r w:rsidRPr="00BF5974">
              <w:rPr>
                <w:b/>
                <w:bCs/>
              </w:rPr>
              <w:t>115,14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  <w:rPr>
                <w:b/>
                <w:bCs/>
              </w:rPr>
            </w:pPr>
            <w:r w:rsidRPr="00BF5974">
              <w:rPr>
                <w:b/>
                <w:bCs/>
              </w:rPr>
              <w:t>Príjmy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 xml:space="preserve"> 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Ostatné služby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1 932,37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Opatrovateľská služba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96 373,81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Organizovanie kurzov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57 485,17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>
              <w:t>Dob</w:t>
            </w:r>
            <w:r w:rsidRPr="00BF5974">
              <w:t>ropisy k službám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-300,24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Vrátenie DB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363,97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Vystavenie CE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278,00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Bankové úroky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0,20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Príspevok z podielu zaplatenej dane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230,04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Prijaté pôžičky od zakladateľa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44 700,00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shd w:val="clear" w:color="auto" w:fill="auto"/>
            <w:noWrap/>
            <w:hideMark/>
          </w:tcPr>
          <w:p w:rsidR="00BF5974" w:rsidRPr="002614D2" w:rsidRDefault="000B5D7F">
            <w:pPr>
              <w:contextualSpacing/>
            </w:pPr>
            <w:r w:rsidRPr="002614D2">
              <w:t>Národný projekt Podpora opatrovateľskej služby</w:t>
            </w:r>
            <w:r w:rsidR="002614D2" w:rsidRPr="002614D2">
              <w:t xml:space="preserve"> </w:t>
            </w:r>
            <w:r w:rsidRPr="002614D2">
              <w:t>-</w:t>
            </w:r>
            <w:r w:rsidR="002614D2" w:rsidRPr="002614D2">
              <w:t xml:space="preserve"> </w:t>
            </w:r>
            <w:r w:rsidRPr="002614D2">
              <w:t>Implementačná agentúra Ministerstva práce,</w:t>
            </w:r>
            <w:r w:rsidR="002614D2" w:rsidRPr="002614D2">
              <w:t xml:space="preserve"> </w:t>
            </w:r>
            <w:r w:rsidRPr="002614D2">
              <w:t>soc.</w:t>
            </w:r>
            <w:r w:rsidR="002614D2" w:rsidRPr="002614D2">
              <w:t xml:space="preserve"> </w:t>
            </w:r>
            <w:r w:rsidRPr="002614D2">
              <w:t>vecí.</w:t>
            </w:r>
          </w:p>
        </w:tc>
        <w:tc>
          <w:tcPr>
            <w:tcW w:w="2268" w:type="dxa"/>
            <w:noWrap/>
            <w:hideMark/>
          </w:tcPr>
          <w:p w:rsidR="00BF5974" w:rsidRPr="002614D2" w:rsidRDefault="00BF5974" w:rsidP="002614D2">
            <w:pPr>
              <w:ind w:left="601"/>
              <w:contextualSpacing/>
              <w:jc w:val="right"/>
              <w:rPr>
                <w:highlight w:val="yellow"/>
              </w:rPr>
            </w:pPr>
            <w:r w:rsidRPr="002614D2">
              <w:t>124 195,00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shd w:val="clear" w:color="auto" w:fill="auto"/>
            <w:noWrap/>
            <w:hideMark/>
          </w:tcPr>
          <w:p w:rsidR="00BF5974" w:rsidRPr="002614D2" w:rsidRDefault="00BF5974" w:rsidP="002614D2">
            <w:pPr>
              <w:contextualSpacing/>
            </w:pPr>
            <w:r w:rsidRPr="002614D2">
              <w:t xml:space="preserve">ESF a SR </w:t>
            </w:r>
            <w:proofErr w:type="spellStart"/>
            <w:r w:rsidR="000B5D7F" w:rsidRPr="002614D2">
              <w:t>dobrovol</w:t>
            </w:r>
            <w:proofErr w:type="spellEnd"/>
            <w:r w:rsidR="000B5D7F" w:rsidRPr="002614D2">
              <w:t>. – príspevok na akt</w:t>
            </w:r>
            <w:r w:rsidR="002614D2" w:rsidRPr="002614D2">
              <w:t>ivačnú činnosť formou dobrovoľní</w:t>
            </w:r>
            <w:r w:rsidR="000B5D7F" w:rsidRPr="002614D2">
              <w:t>ckej služby právnickej osoby.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F5974" w:rsidRPr="002614D2" w:rsidRDefault="00BF5974" w:rsidP="002614D2">
            <w:pPr>
              <w:ind w:left="601"/>
              <w:contextualSpacing/>
              <w:jc w:val="right"/>
            </w:pPr>
            <w:r w:rsidRPr="002614D2">
              <w:t>939,70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NP šanca na zamestnanie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11 615,40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RZ ZP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7 724,47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  <w:rPr>
                <w:b/>
                <w:bCs/>
              </w:rPr>
            </w:pPr>
            <w:r w:rsidRPr="00BF5974">
              <w:rPr>
                <w:b/>
                <w:bCs/>
              </w:rPr>
              <w:t>Celkom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  <w:rPr>
                <w:b/>
                <w:bCs/>
              </w:rPr>
            </w:pPr>
            <w:r w:rsidRPr="00BF5974">
              <w:rPr>
                <w:b/>
                <w:bCs/>
              </w:rPr>
              <w:t>345 537,89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  <w:rPr>
                <w:b/>
                <w:bCs/>
              </w:rPr>
            </w:pPr>
            <w:r w:rsidRPr="00BF5974">
              <w:rPr>
                <w:b/>
                <w:bCs/>
              </w:rPr>
              <w:t>Výdavky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 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Vrátenie pôžičky od zakladateľa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30 311,38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Mzdy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132 112,46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Cestovné náhrady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16 558,41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Poistené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74 613,86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Daň zo ZČ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6 649,85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Exekúcie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3 177,92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>
              <w:t>Administratí</w:t>
            </w:r>
            <w:r w:rsidRPr="00BF5974">
              <w:t>vne prace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24 397,00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>
              <w:lastRenderedPageBreak/>
              <w:t>Audítorské služ</w:t>
            </w:r>
            <w:r w:rsidRPr="00BF5974">
              <w:t>by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960,00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>
              <w:t>Bankové poplatky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232,73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>
              <w:t>Daň z úrokov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0,01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DHIM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1 452,96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Inzercia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1 901,26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>
              <w:t>Kancelárske potreby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1 483,45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>
              <w:t>Kolky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46,50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>
              <w:t>Lekárska</w:t>
            </w:r>
            <w:r w:rsidRPr="00BF5974">
              <w:t xml:space="preserve"> prehliadka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30,00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PC služby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2 738,91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>
              <w:t>Notárske služby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>
              <w:t>190,41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 w:rsidP="00BF5974">
            <w:pPr>
              <w:contextualSpacing/>
            </w:pPr>
            <w:r w:rsidRPr="00BF5974">
              <w:t>Organ</w:t>
            </w:r>
            <w:r>
              <w:t>izovanie kurzov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27 519,00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 w:rsidP="00BF5974">
            <w:pPr>
              <w:contextualSpacing/>
            </w:pPr>
            <w:r w:rsidRPr="00BF5974">
              <w:t xml:space="preserve">Osobné </w:t>
            </w:r>
            <w:r>
              <w:t>ochranné prostriedky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890,61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 w:rsidP="00BF5974">
            <w:pPr>
              <w:contextualSpacing/>
            </w:pPr>
            <w:r>
              <w:t>Ostatné služby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846,62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>
              <w:t>Poš</w:t>
            </w:r>
            <w:r w:rsidRPr="00BF5974">
              <w:t>tovné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647,18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>
              <w:t>Pravne služby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200,00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Prenájom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716,66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 w:rsidP="00BF5974">
            <w:pPr>
              <w:contextualSpacing/>
            </w:pPr>
            <w:r w:rsidRPr="00BF5974">
              <w:t>Preprava os</w:t>
            </w:r>
            <w:r>
              <w:t>ô</w:t>
            </w:r>
            <w:r w:rsidRPr="00BF5974">
              <w:t>b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559,75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>
              <w:t>Reklamne služby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1 165,00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Rozhlas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313,06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SBS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396,00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 w:rsidRPr="00BF5974">
              <w:t>Spotreba ostatná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378,24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>
              <w:t>Stravné zamestnanci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18 950,07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  <w:r>
              <w:t>Telefónne poplatky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  <w:r w:rsidRPr="00BF5974">
              <w:t>2 809,67</w:t>
            </w:r>
          </w:p>
        </w:tc>
      </w:tr>
      <w:tr w:rsidR="00BF5974" w:rsidRPr="00BF5974" w:rsidTr="002614D2">
        <w:trPr>
          <w:trHeight w:val="315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  <w:rPr>
                <w:b/>
                <w:bCs/>
              </w:rPr>
            </w:pPr>
            <w:r w:rsidRPr="00BF5974">
              <w:rPr>
                <w:b/>
                <w:bCs/>
              </w:rPr>
              <w:t>Celkom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  <w:rPr>
                <w:b/>
                <w:bCs/>
              </w:rPr>
            </w:pPr>
            <w:r w:rsidRPr="00BF5974">
              <w:rPr>
                <w:b/>
                <w:bCs/>
              </w:rPr>
              <w:t>352 248,97</w:t>
            </w:r>
          </w:p>
        </w:tc>
      </w:tr>
      <w:tr w:rsidR="00BF5974" w:rsidRPr="00BF5974" w:rsidTr="002614D2">
        <w:trPr>
          <w:trHeight w:val="300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</w:pP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</w:pPr>
          </w:p>
        </w:tc>
      </w:tr>
      <w:tr w:rsidR="00BF5974" w:rsidRPr="00BF5974" w:rsidTr="002614D2">
        <w:trPr>
          <w:trHeight w:val="300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  <w:rPr>
                <w:b/>
                <w:bCs/>
              </w:rPr>
            </w:pPr>
            <w:r w:rsidRPr="00BF5974">
              <w:rPr>
                <w:b/>
                <w:bCs/>
              </w:rPr>
              <w:t>rozdiel príjmov a výdavkov 2016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  <w:rPr>
                <w:b/>
                <w:bCs/>
              </w:rPr>
            </w:pPr>
            <w:r w:rsidRPr="00BF5974">
              <w:rPr>
                <w:b/>
                <w:bCs/>
              </w:rPr>
              <w:t>-6</w:t>
            </w:r>
            <w:r w:rsidR="003E5736">
              <w:rPr>
                <w:b/>
                <w:bCs/>
              </w:rPr>
              <w:t xml:space="preserve"> </w:t>
            </w:r>
            <w:r w:rsidRPr="00BF5974">
              <w:rPr>
                <w:b/>
                <w:bCs/>
              </w:rPr>
              <w:t>711,08</w:t>
            </w:r>
          </w:p>
        </w:tc>
      </w:tr>
      <w:tr w:rsidR="00BF5974" w:rsidRPr="00BF5974" w:rsidTr="002614D2">
        <w:trPr>
          <w:trHeight w:val="300"/>
        </w:trPr>
        <w:tc>
          <w:tcPr>
            <w:tcW w:w="6804" w:type="dxa"/>
            <w:noWrap/>
            <w:hideMark/>
          </w:tcPr>
          <w:p w:rsidR="00BF5974" w:rsidRPr="00BF5974" w:rsidRDefault="00BF5974">
            <w:pPr>
              <w:contextualSpacing/>
              <w:rPr>
                <w:b/>
                <w:bCs/>
              </w:rPr>
            </w:pPr>
            <w:r w:rsidRPr="00BF5974">
              <w:rPr>
                <w:b/>
                <w:bCs/>
              </w:rPr>
              <w:t>zostatok 31.12.2016</w:t>
            </w:r>
          </w:p>
        </w:tc>
        <w:tc>
          <w:tcPr>
            <w:tcW w:w="2268" w:type="dxa"/>
            <w:noWrap/>
            <w:hideMark/>
          </w:tcPr>
          <w:p w:rsidR="00BF5974" w:rsidRPr="00BF5974" w:rsidRDefault="00BF5974" w:rsidP="002614D2">
            <w:pPr>
              <w:ind w:left="601"/>
              <w:contextualSpacing/>
              <w:jc w:val="right"/>
              <w:rPr>
                <w:b/>
                <w:bCs/>
              </w:rPr>
            </w:pPr>
            <w:r w:rsidRPr="00BF5974">
              <w:rPr>
                <w:b/>
                <w:bCs/>
              </w:rPr>
              <w:t>6</w:t>
            </w:r>
            <w:r w:rsidR="003E5736">
              <w:rPr>
                <w:b/>
                <w:bCs/>
              </w:rPr>
              <w:t xml:space="preserve"> </w:t>
            </w:r>
            <w:r w:rsidRPr="00BF5974">
              <w:rPr>
                <w:b/>
                <w:bCs/>
              </w:rPr>
              <w:t>404,06</w:t>
            </w:r>
          </w:p>
        </w:tc>
      </w:tr>
    </w:tbl>
    <w:p w:rsidR="00BF5974" w:rsidRDefault="00BF5974" w:rsidP="007F2F9C">
      <w:pPr>
        <w:contextualSpacing/>
      </w:pPr>
    </w:p>
    <w:p w:rsidR="00BF5974" w:rsidRDefault="00BF5974" w:rsidP="007F2F9C">
      <w:pPr>
        <w:contextualSpacing/>
      </w:pPr>
    </w:p>
    <w:p w:rsidR="00BF5974" w:rsidRDefault="00BF5974" w:rsidP="007F2F9C">
      <w:pPr>
        <w:contextualSpacing/>
      </w:pPr>
    </w:p>
    <w:p w:rsidR="003E5736" w:rsidRDefault="003E5736" w:rsidP="007F2F9C">
      <w:pPr>
        <w:contextualSpacing/>
      </w:pPr>
    </w:p>
    <w:p w:rsidR="00BF5974" w:rsidRDefault="00BF5974" w:rsidP="007F2F9C">
      <w:pPr>
        <w:contextualSpacing/>
      </w:pPr>
    </w:p>
    <w:p w:rsidR="00BF5974" w:rsidRDefault="00BF5974" w:rsidP="007F2F9C">
      <w:pPr>
        <w:contextualSpacing/>
      </w:pPr>
    </w:p>
    <w:p w:rsidR="00BF5974" w:rsidRDefault="00BF5974" w:rsidP="007F2F9C">
      <w:pPr>
        <w:contextualSpacing/>
      </w:pPr>
    </w:p>
    <w:p w:rsidR="002614D2" w:rsidRDefault="002614D2" w:rsidP="007F2F9C">
      <w:pPr>
        <w:contextualSpacing/>
      </w:pPr>
    </w:p>
    <w:p w:rsidR="002614D2" w:rsidRDefault="002614D2" w:rsidP="007F2F9C">
      <w:pPr>
        <w:contextualSpacing/>
      </w:pPr>
    </w:p>
    <w:p w:rsidR="002614D2" w:rsidRDefault="002614D2" w:rsidP="007F2F9C">
      <w:pPr>
        <w:contextualSpacing/>
      </w:pPr>
    </w:p>
    <w:p w:rsidR="002614D2" w:rsidRDefault="002614D2" w:rsidP="007F2F9C">
      <w:pPr>
        <w:contextualSpacing/>
      </w:pPr>
    </w:p>
    <w:p w:rsidR="002614D2" w:rsidRDefault="002614D2" w:rsidP="007F2F9C">
      <w:pPr>
        <w:contextualSpacing/>
      </w:pPr>
    </w:p>
    <w:p w:rsidR="00BF5974" w:rsidRDefault="00BF5974" w:rsidP="007F2F9C">
      <w:pPr>
        <w:contextualSpacing/>
      </w:pPr>
    </w:p>
    <w:p w:rsidR="00BF5974" w:rsidRDefault="00BF5974" w:rsidP="007F2F9C">
      <w:pPr>
        <w:contextualSpacing/>
      </w:pPr>
    </w:p>
    <w:p w:rsidR="00BF5974" w:rsidRDefault="00BF5974" w:rsidP="007F2F9C">
      <w:pPr>
        <w:contextualSpacing/>
      </w:pPr>
    </w:p>
    <w:p w:rsidR="00C71387" w:rsidRDefault="00C71387" w:rsidP="007F2F9C">
      <w:pPr>
        <w:pStyle w:val="Nadpis1"/>
        <w:contextualSpacing/>
        <w:rPr>
          <w:b/>
          <w:bCs/>
          <w:caps/>
          <w:szCs w:val="24"/>
        </w:rPr>
      </w:pPr>
      <w:bookmarkStart w:id="8" w:name="_Toc276040641"/>
      <w:r w:rsidRPr="007F2F9C">
        <w:rPr>
          <w:b/>
          <w:bCs/>
          <w:caps/>
          <w:szCs w:val="24"/>
        </w:rPr>
        <w:lastRenderedPageBreak/>
        <w:t>6. prehľad rozsahu výnosov v delení podľa zdrojov</w:t>
      </w:r>
    </w:p>
    <w:p w:rsidR="00B147E5" w:rsidRDefault="00B147E5" w:rsidP="00B147E5"/>
    <w:tbl>
      <w:tblPr>
        <w:tblpPr w:leftFromText="141" w:rightFromText="141" w:vertAnchor="text" w:horzAnchor="margin" w:tblpX="108" w:tblpY="-51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2823"/>
        <w:gridCol w:w="2958"/>
      </w:tblGrid>
      <w:tr w:rsidR="00B147E5" w:rsidRPr="00271F46" w:rsidTr="00B43753">
        <w:trPr>
          <w:trHeight w:val="268"/>
        </w:trPr>
        <w:tc>
          <w:tcPr>
            <w:tcW w:w="3591" w:type="dxa"/>
            <w:shd w:val="clear" w:color="auto" w:fill="D9D9D9" w:themeFill="background1" w:themeFillShade="D9"/>
          </w:tcPr>
          <w:p w:rsidR="00B147E5" w:rsidRPr="002614D2" w:rsidRDefault="00B147E5" w:rsidP="00B43753">
            <w:pPr>
              <w:rPr>
                <w:b/>
              </w:rPr>
            </w:pPr>
            <w:r w:rsidRPr="002614D2">
              <w:rPr>
                <w:b/>
              </w:rPr>
              <w:t>Výnosy  za rok 2016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B147E5" w:rsidRPr="002614D2" w:rsidRDefault="00B147E5" w:rsidP="00B43753">
            <w:pPr>
              <w:jc w:val="center"/>
              <w:rPr>
                <w:b/>
              </w:rPr>
            </w:pPr>
            <w:r w:rsidRPr="002614D2">
              <w:rPr>
                <w:b/>
              </w:rPr>
              <w:t>Hlavná nezdaňovaná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B147E5" w:rsidRPr="002614D2" w:rsidRDefault="00B147E5" w:rsidP="00B43753">
            <w:pPr>
              <w:jc w:val="center"/>
              <w:rPr>
                <w:b/>
              </w:rPr>
            </w:pPr>
            <w:r w:rsidRPr="002614D2">
              <w:rPr>
                <w:b/>
              </w:rPr>
              <w:t>Zdaňovaná</w:t>
            </w:r>
          </w:p>
        </w:tc>
      </w:tr>
      <w:tr w:rsidR="00B147E5" w:rsidRPr="00271F46" w:rsidTr="00B43753">
        <w:trPr>
          <w:trHeight w:val="251"/>
        </w:trPr>
        <w:tc>
          <w:tcPr>
            <w:tcW w:w="3591" w:type="dxa"/>
            <w:shd w:val="clear" w:color="auto" w:fill="auto"/>
          </w:tcPr>
          <w:p w:rsidR="00B147E5" w:rsidRPr="002614D2" w:rsidRDefault="00B147E5" w:rsidP="00B43753">
            <w:r w:rsidRPr="002614D2">
              <w:t>Tržby z organizovania kurzov</w:t>
            </w:r>
          </w:p>
        </w:tc>
        <w:tc>
          <w:tcPr>
            <w:tcW w:w="2823" w:type="dxa"/>
          </w:tcPr>
          <w:p w:rsidR="00B147E5" w:rsidRPr="002614D2" w:rsidRDefault="00B147E5" w:rsidP="00B43753">
            <w:pPr>
              <w:jc w:val="right"/>
            </w:pPr>
            <w:r w:rsidRPr="002614D2">
              <w:t>58 177,37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147E5" w:rsidRPr="002614D2" w:rsidRDefault="00B147E5" w:rsidP="00B43753">
            <w:pPr>
              <w:jc w:val="right"/>
            </w:pPr>
          </w:p>
        </w:tc>
      </w:tr>
      <w:tr w:rsidR="00B147E5" w:rsidRPr="00271F46" w:rsidTr="00B43753">
        <w:trPr>
          <w:trHeight w:val="536"/>
        </w:trPr>
        <w:tc>
          <w:tcPr>
            <w:tcW w:w="3591" w:type="dxa"/>
            <w:shd w:val="clear" w:color="auto" w:fill="auto"/>
          </w:tcPr>
          <w:p w:rsidR="00B147E5" w:rsidRPr="002614D2" w:rsidRDefault="00B147E5" w:rsidP="00B43753">
            <w:r w:rsidRPr="002614D2">
              <w:t>Tržby za opatrovateľskú službu</w:t>
            </w:r>
          </w:p>
        </w:tc>
        <w:tc>
          <w:tcPr>
            <w:tcW w:w="2823" w:type="dxa"/>
          </w:tcPr>
          <w:p w:rsidR="00B147E5" w:rsidRPr="002614D2" w:rsidRDefault="00B147E5" w:rsidP="00B43753">
            <w:pPr>
              <w:jc w:val="right"/>
            </w:pPr>
            <w:r w:rsidRPr="002614D2">
              <w:t>95 760,41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147E5" w:rsidRPr="002614D2" w:rsidRDefault="00B147E5" w:rsidP="00B43753">
            <w:pPr>
              <w:jc w:val="right"/>
            </w:pPr>
          </w:p>
        </w:tc>
      </w:tr>
      <w:tr w:rsidR="00B147E5" w:rsidRPr="00271F46" w:rsidTr="00B43753">
        <w:trPr>
          <w:trHeight w:val="268"/>
        </w:trPr>
        <w:tc>
          <w:tcPr>
            <w:tcW w:w="3591" w:type="dxa"/>
            <w:shd w:val="clear" w:color="auto" w:fill="auto"/>
          </w:tcPr>
          <w:p w:rsidR="00B147E5" w:rsidRPr="002614D2" w:rsidRDefault="00B147E5" w:rsidP="00B43753">
            <w:r w:rsidRPr="002614D2">
              <w:t>Tržby ostatné</w:t>
            </w:r>
          </w:p>
        </w:tc>
        <w:tc>
          <w:tcPr>
            <w:tcW w:w="2823" w:type="dxa"/>
          </w:tcPr>
          <w:p w:rsidR="00B147E5" w:rsidRPr="002614D2" w:rsidRDefault="00B147E5" w:rsidP="00B43753">
            <w:pPr>
              <w:jc w:val="right"/>
            </w:pPr>
            <w:r w:rsidRPr="002614D2">
              <w:t>1 584,00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147E5" w:rsidRPr="002614D2" w:rsidRDefault="00B147E5" w:rsidP="00B43753">
            <w:pPr>
              <w:jc w:val="right"/>
            </w:pPr>
          </w:p>
        </w:tc>
      </w:tr>
      <w:tr w:rsidR="00B147E5" w:rsidRPr="00271F46" w:rsidTr="00B43753">
        <w:trPr>
          <w:trHeight w:val="251"/>
        </w:trPr>
        <w:tc>
          <w:tcPr>
            <w:tcW w:w="3591" w:type="dxa"/>
            <w:shd w:val="clear" w:color="auto" w:fill="auto"/>
          </w:tcPr>
          <w:p w:rsidR="00B147E5" w:rsidRPr="002614D2" w:rsidRDefault="00B147E5" w:rsidP="00B43753">
            <w:r w:rsidRPr="002614D2">
              <w:t>Preplatok RZZP 2015</w:t>
            </w:r>
          </w:p>
        </w:tc>
        <w:tc>
          <w:tcPr>
            <w:tcW w:w="2823" w:type="dxa"/>
            <w:shd w:val="clear" w:color="auto" w:fill="auto"/>
          </w:tcPr>
          <w:p w:rsidR="00B147E5" w:rsidRPr="002614D2" w:rsidRDefault="00B147E5" w:rsidP="00B43753">
            <w:pPr>
              <w:jc w:val="right"/>
            </w:pPr>
            <w:r w:rsidRPr="002614D2">
              <w:t>8 672,56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147E5" w:rsidRPr="002614D2" w:rsidRDefault="00B147E5" w:rsidP="00B43753">
            <w:pPr>
              <w:jc w:val="right"/>
            </w:pPr>
          </w:p>
        </w:tc>
      </w:tr>
      <w:tr w:rsidR="00187BFE" w:rsidRPr="00271F46" w:rsidTr="00B43753">
        <w:trPr>
          <w:trHeight w:val="268"/>
        </w:trPr>
        <w:tc>
          <w:tcPr>
            <w:tcW w:w="3591" w:type="dxa"/>
            <w:shd w:val="clear" w:color="auto" w:fill="auto"/>
          </w:tcPr>
          <w:p w:rsidR="00187BFE" w:rsidRPr="002614D2" w:rsidRDefault="00187BFE" w:rsidP="00B43753">
            <w:r w:rsidRPr="002614D2">
              <w:t>Iné ostatné náklady</w:t>
            </w:r>
          </w:p>
        </w:tc>
        <w:tc>
          <w:tcPr>
            <w:tcW w:w="2823" w:type="dxa"/>
            <w:shd w:val="clear" w:color="auto" w:fill="auto"/>
          </w:tcPr>
          <w:p w:rsidR="00187BFE" w:rsidRPr="002614D2" w:rsidRDefault="00187BFE" w:rsidP="00B43753">
            <w:pPr>
              <w:jc w:val="right"/>
            </w:pPr>
            <w:r w:rsidRPr="002614D2">
              <w:t>1,02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187BFE" w:rsidRPr="002614D2" w:rsidRDefault="00187BFE" w:rsidP="00B43753">
            <w:pPr>
              <w:jc w:val="right"/>
            </w:pPr>
          </w:p>
        </w:tc>
      </w:tr>
      <w:tr w:rsidR="00B147E5" w:rsidRPr="00271F46" w:rsidTr="00B43753">
        <w:trPr>
          <w:trHeight w:val="268"/>
        </w:trPr>
        <w:tc>
          <w:tcPr>
            <w:tcW w:w="3591" w:type="dxa"/>
            <w:shd w:val="clear" w:color="auto" w:fill="auto"/>
          </w:tcPr>
          <w:p w:rsidR="00B147E5" w:rsidRPr="002614D2" w:rsidRDefault="00B147E5" w:rsidP="00B43753">
            <w:r w:rsidRPr="002614D2">
              <w:t>Úroky z bežných účtov</w:t>
            </w:r>
          </w:p>
        </w:tc>
        <w:tc>
          <w:tcPr>
            <w:tcW w:w="2823" w:type="dxa"/>
            <w:shd w:val="clear" w:color="auto" w:fill="auto"/>
          </w:tcPr>
          <w:p w:rsidR="00B147E5" w:rsidRPr="002614D2" w:rsidRDefault="00B147E5" w:rsidP="00B43753">
            <w:pPr>
              <w:jc w:val="right"/>
            </w:pPr>
            <w:r w:rsidRPr="002614D2">
              <w:t>0,20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147E5" w:rsidRPr="002614D2" w:rsidRDefault="00B147E5" w:rsidP="00B43753">
            <w:pPr>
              <w:jc w:val="right"/>
            </w:pPr>
          </w:p>
        </w:tc>
      </w:tr>
      <w:tr w:rsidR="00187BFE" w:rsidRPr="00271F46" w:rsidTr="00B43753">
        <w:trPr>
          <w:trHeight w:val="268"/>
        </w:trPr>
        <w:tc>
          <w:tcPr>
            <w:tcW w:w="3591" w:type="dxa"/>
            <w:shd w:val="clear" w:color="auto" w:fill="auto"/>
          </w:tcPr>
          <w:p w:rsidR="00187BFE" w:rsidRPr="002614D2" w:rsidRDefault="00187BFE" w:rsidP="00B43753">
            <w:r w:rsidRPr="002614D2">
              <w:t xml:space="preserve">Príspevky z podielu </w:t>
            </w:r>
            <w:proofErr w:type="spellStart"/>
            <w:r w:rsidRPr="002614D2">
              <w:t>zapl.dane</w:t>
            </w:r>
            <w:proofErr w:type="spellEnd"/>
          </w:p>
        </w:tc>
        <w:tc>
          <w:tcPr>
            <w:tcW w:w="2823" w:type="dxa"/>
            <w:shd w:val="clear" w:color="auto" w:fill="auto"/>
          </w:tcPr>
          <w:p w:rsidR="00187BFE" w:rsidRPr="002614D2" w:rsidRDefault="00187BFE" w:rsidP="00B43753">
            <w:pPr>
              <w:jc w:val="right"/>
            </w:pPr>
            <w:r w:rsidRPr="002614D2">
              <w:t>230,04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187BFE" w:rsidRPr="002614D2" w:rsidRDefault="00187BFE" w:rsidP="00B43753">
            <w:pPr>
              <w:jc w:val="right"/>
            </w:pPr>
          </w:p>
        </w:tc>
      </w:tr>
      <w:tr w:rsidR="00B147E5" w:rsidRPr="00271F46" w:rsidTr="00B43753">
        <w:trPr>
          <w:trHeight w:val="268"/>
        </w:trPr>
        <w:tc>
          <w:tcPr>
            <w:tcW w:w="3591" w:type="dxa"/>
            <w:shd w:val="clear" w:color="auto" w:fill="auto"/>
          </w:tcPr>
          <w:p w:rsidR="00B147E5" w:rsidRPr="002614D2" w:rsidRDefault="00187BFE" w:rsidP="00B43753">
            <w:r w:rsidRPr="002614D2">
              <w:t xml:space="preserve">Dotácia ESF – Podpora </w:t>
            </w:r>
            <w:proofErr w:type="spellStart"/>
            <w:r w:rsidRPr="002614D2">
              <w:t>opatr.služby</w:t>
            </w:r>
            <w:proofErr w:type="spellEnd"/>
          </w:p>
        </w:tc>
        <w:tc>
          <w:tcPr>
            <w:tcW w:w="2823" w:type="dxa"/>
            <w:shd w:val="clear" w:color="auto" w:fill="auto"/>
          </w:tcPr>
          <w:p w:rsidR="00B147E5" w:rsidRPr="002614D2" w:rsidRDefault="00187BFE" w:rsidP="00B43753">
            <w:pPr>
              <w:jc w:val="right"/>
            </w:pPr>
            <w:r w:rsidRPr="002614D2">
              <w:t>166 269,00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147E5" w:rsidRPr="002614D2" w:rsidRDefault="00B147E5" w:rsidP="00B43753">
            <w:pPr>
              <w:jc w:val="right"/>
              <w:rPr>
                <w:b/>
              </w:rPr>
            </w:pPr>
          </w:p>
        </w:tc>
      </w:tr>
      <w:tr w:rsidR="00B147E5" w:rsidRPr="00271F46" w:rsidTr="00B43753">
        <w:trPr>
          <w:trHeight w:val="268"/>
        </w:trPr>
        <w:tc>
          <w:tcPr>
            <w:tcW w:w="3591" w:type="dxa"/>
            <w:shd w:val="clear" w:color="auto" w:fill="auto"/>
          </w:tcPr>
          <w:p w:rsidR="00B147E5" w:rsidRPr="002614D2" w:rsidRDefault="00187BFE" w:rsidP="00B43753">
            <w:r w:rsidRPr="002614D2">
              <w:t>Dotácia ESF a SR – dobrovoľná služby</w:t>
            </w:r>
          </w:p>
        </w:tc>
        <w:tc>
          <w:tcPr>
            <w:tcW w:w="2823" w:type="dxa"/>
            <w:shd w:val="clear" w:color="auto" w:fill="auto"/>
          </w:tcPr>
          <w:p w:rsidR="00B147E5" w:rsidRPr="002614D2" w:rsidRDefault="00187BFE" w:rsidP="00B43753">
            <w:pPr>
              <w:jc w:val="right"/>
            </w:pPr>
            <w:r w:rsidRPr="002614D2">
              <w:t>968,32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147E5" w:rsidRPr="002614D2" w:rsidRDefault="00B147E5" w:rsidP="00B43753">
            <w:pPr>
              <w:jc w:val="right"/>
              <w:rPr>
                <w:b/>
              </w:rPr>
            </w:pPr>
          </w:p>
        </w:tc>
      </w:tr>
      <w:tr w:rsidR="00B147E5" w:rsidRPr="00271F46" w:rsidTr="00B43753">
        <w:trPr>
          <w:trHeight w:val="268"/>
        </w:trPr>
        <w:tc>
          <w:tcPr>
            <w:tcW w:w="3591" w:type="dxa"/>
            <w:shd w:val="clear" w:color="auto" w:fill="auto"/>
          </w:tcPr>
          <w:p w:rsidR="00B147E5" w:rsidRPr="002614D2" w:rsidRDefault="00187BFE" w:rsidP="00B43753">
            <w:r w:rsidRPr="002614D2">
              <w:t>Dotácia NP – Šanca na zamestnanie</w:t>
            </w:r>
          </w:p>
        </w:tc>
        <w:tc>
          <w:tcPr>
            <w:tcW w:w="2823" w:type="dxa"/>
            <w:shd w:val="clear" w:color="auto" w:fill="auto"/>
          </w:tcPr>
          <w:p w:rsidR="00B147E5" w:rsidRPr="002614D2" w:rsidRDefault="00187BFE" w:rsidP="00B43753">
            <w:pPr>
              <w:jc w:val="right"/>
            </w:pPr>
            <w:r w:rsidRPr="002614D2">
              <w:t>9 247,68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147E5" w:rsidRPr="002614D2" w:rsidRDefault="00B147E5" w:rsidP="00B43753">
            <w:pPr>
              <w:jc w:val="right"/>
              <w:rPr>
                <w:b/>
              </w:rPr>
            </w:pPr>
          </w:p>
        </w:tc>
      </w:tr>
      <w:tr w:rsidR="00B147E5" w:rsidRPr="00271F46" w:rsidTr="00B43753">
        <w:trPr>
          <w:trHeight w:val="268"/>
        </w:trPr>
        <w:tc>
          <w:tcPr>
            <w:tcW w:w="3591" w:type="dxa"/>
            <w:shd w:val="clear" w:color="auto" w:fill="auto"/>
          </w:tcPr>
          <w:p w:rsidR="00B147E5" w:rsidRPr="002614D2" w:rsidRDefault="00B147E5" w:rsidP="00B43753">
            <w:pPr>
              <w:rPr>
                <w:b/>
              </w:rPr>
            </w:pPr>
            <w:r w:rsidRPr="002614D2">
              <w:rPr>
                <w:b/>
              </w:rPr>
              <w:t>spolu</w:t>
            </w:r>
          </w:p>
        </w:tc>
        <w:tc>
          <w:tcPr>
            <w:tcW w:w="2823" w:type="dxa"/>
            <w:shd w:val="clear" w:color="auto" w:fill="auto"/>
          </w:tcPr>
          <w:p w:rsidR="00B147E5" w:rsidRPr="002614D2" w:rsidRDefault="00187BFE" w:rsidP="00B43753">
            <w:pPr>
              <w:jc w:val="right"/>
              <w:rPr>
                <w:b/>
                <w:color w:val="FF0000"/>
              </w:rPr>
            </w:pPr>
            <w:r w:rsidRPr="002614D2">
              <w:rPr>
                <w:b/>
              </w:rPr>
              <w:t>340 910,60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147E5" w:rsidRPr="002614D2" w:rsidRDefault="00B147E5" w:rsidP="00B43753">
            <w:pPr>
              <w:jc w:val="right"/>
              <w:rPr>
                <w:b/>
              </w:rPr>
            </w:pPr>
          </w:p>
        </w:tc>
      </w:tr>
    </w:tbl>
    <w:p w:rsidR="00E66162" w:rsidRPr="00454666" w:rsidRDefault="00E66162" w:rsidP="00454666"/>
    <w:p w:rsidR="00C71387" w:rsidRPr="007F2F9C" w:rsidRDefault="00C71387" w:rsidP="007F2F9C">
      <w:pPr>
        <w:pStyle w:val="Nadpis1"/>
        <w:contextualSpacing/>
        <w:rPr>
          <w:b/>
          <w:bCs/>
          <w:caps/>
          <w:szCs w:val="24"/>
        </w:rPr>
      </w:pPr>
      <w:r w:rsidRPr="007F2F9C">
        <w:rPr>
          <w:b/>
          <w:bCs/>
          <w:caps/>
          <w:szCs w:val="24"/>
        </w:rPr>
        <w:t>7. Stav a pohyb majetku a záväzkov organizácie</w:t>
      </w:r>
    </w:p>
    <w:p w:rsidR="00C71387" w:rsidRPr="007F2F9C" w:rsidRDefault="00C71387" w:rsidP="007F2F9C">
      <w:pPr>
        <w:ind w:left="360"/>
        <w:contextualSpacing/>
        <w:jc w:val="both"/>
        <w:rPr>
          <w:caps/>
        </w:rPr>
      </w:pPr>
    </w:p>
    <w:p w:rsidR="003F4104" w:rsidRDefault="00187BFE" w:rsidP="007F2F9C">
      <w:pPr>
        <w:contextualSpacing/>
        <w:jc w:val="both"/>
      </w:pPr>
      <w:r w:rsidRPr="00187BFE">
        <w:t xml:space="preserve">Stav aktív a pasív k 31.12.2016 predstavuje sumu </w:t>
      </w:r>
      <w:r>
        <w:t>51 682,98</w:t>
      </w:r>
      <w:r w:rsidRPr="00187BFE">
        <w:t xml:space="preserve"> EUR. Pohyb majetku a záväzkov je uvedený v poznámkach účtovnej závierky, ktoré sú súčasťou prílohy.</w:t>
      </w:r>
    </w:p>
    <w:p w:rsidR="00187BFE" w:rsidRDefault="00187BFE" w:rsidP="007F2F9C">
      <w:pPr>
        <w:contextualSpacing/>
        <w:jc w:val="both"/>
      </w:pPr>
    </w:p>
    <w:p w:rsidR="00C71387" w:rsidRPr="007F2F9C" w:rsidRDefault="00C71387" w:rsidP="007F2F9C">
      <w:pPr>
        <w:contextualSpacing/>
        <w:jc w:val="both"/>
        <w:rPr>
          <w:b/>
        </w:rPr>
      </w:pPr>
      <w:r w:rsidRPr="007F2F9C">
        <w:rPr>
          <w:b/>
        </w:rPr>
        <w:t>Aktíva</w:t>
      </w:r>
      <w:r w:rsidRPr="007F2F9C">
        <w:rPr>
          <w:b/>
        </w:rPr>
        <w:tab/>
      </w:r>
      <w:r w:rsidRPr="007F2F9C">
        <w:rPr>
          <w:b/>
        </w:rPr>
        <w:tab/>
      </w:r>
    </w:p>
    <w:p w:rsidR="00C71387" w:rsidRPr="007F2F9C" w:rsidRDefault="00C71387" w:rsidP="007F2F9C">
      <w:pPr>
        <w:contextualSpacing/>
        <w:jc w:val="both"/>
        <w:rPr>
          <w:bCs/>
        </w:rPr>
      </w:pPr>
      <w:r w:rsidRPr="007F2F9C">
        <w:t xml:space="preserve">a) </w:t>
      </w:r>
      <w:r w:rsidRPr="007F2F9C">
        <w:rPr>
          <w:bCs/>
        </w:rPr>
        <w:t>Neobe</w:t>
      </w:r>
      <w:r w:rsidR="000E7A44" w:rsidRPr="007F2F9C">
        <w:rPr>
          <w:bCs/>
        </w:rPr>
        <w:t>žn</w:t>
      </w:r>
      <w:r w:rsidR="001A5DC8" w:rsidRPr="007F2F9C">
        <w:rPr>
          <w:bCs/>
        </w:rPr>
        <w:t>ý majetok spolu</w:t>
      </w:r>
      <w:r w:rsidR="00D06269" w:rsidRPr="007F2F9C">
        <w:rPr>
          <w:bCs/>
        </w:rPr>
        <w:t>:</w:t>
      </w:r>
      <w:r w:rsidR="00454666">
        <w:rPr>
          <w:bCs/>
        </w:rPr>
        <w:t xml:space="preserve">                                                  </w:t>
      </w:r>
      <w:r w:rsidR="002614D2">
        <w:rPr>
          <w:bCs/>
        </w:rPr>
        <w:t xml:space="preserve"> </w:t>
      </w:r>
      <w:r w:rsidR="00454666">
        <w:rPr>
          <w:bCs/>
        </w:rPr>
        <w:t xml:space="preserve"> 0,00 EUR </w:t>
      </w:r>
      <w:r w:rsidRPr="007F2F9C">
        <w:rPr>
          <w:bCs/>
        </w:rPr>
        <w:t xml:space="preserve">    </w:t>
      </w:r>
      <w:r w:rsidRPr="007F2F9C">
        <w:rPr>
          <w:bCs/>
        </w:rPr>
        <w:tab/>
      </w:r>
      <w:r w:rsidRPr="007F2F9C">
        <w:rPr>
          <w:bCs/>
        </w:rPr>
        <w:tab/>
        <w:t xml:space="preserve"> </w:t>
      </w:r>
      <w:r w:rsidRPr="007F2F9C">
        <w:rPr>
          <w:bCs/>
        </w:rPr>
        <w:tab/>
      </w:r>
    </w:p>
    <w:p w:rsidR="00C71387" w:rsidRPr="00E66162" w:rsidRDefault="00C71387" w:rsidP="007F2F9C">
      <w:pPr>
        <w:contextualSpacing/>
        <w:jc w:val="both"/>
        <w:rPr>
          <w:bCs/>
        </w:rPr>
      </w:pPr>
      <w:r w:rsidRPr="00E66162">
        <w:rPr>
          <w:bCs/>
        </w:rPr>
        <w:t>b) Obežný majetok spolu</w:t>
      </w:r>
      <w:r w:rsidR="003255A3" w:rsidRPr="00E66162">
        <w:rPr>
          <w:bCs/>
        </w:rPr>
        <w:t>:</w:t>
      </w:r>
      <w:r w:rsidR="00454666" w:rsidRPr="00E66162">
        <w:rPr>
          <w:bCs/>
        </w:rPr>
        <w:t xml:space="preserve">       </w:t>
      </w:r>
      <w:r w:rsidR="002614D2">
        <w:rPr>
          <w:bCs/>
        </w:rPr>
        <w:t xml:space="preserve">                                </w:t>
      </w:r>
      <w:r w:rsidR="00454666" w:rsidRPr="00E66162">
        <w:rPr>
          <w:bCs/>
        </w:rPr>
        <w:t xml:space="preserve">        </w:t>
      </w:r>
      <w:r w:rsidR="000A2C25" w:rsidRPr="00E66162">
        <w:rPr>
          <w:bCs/>
        </w:rPr>
        <w:t>51</w:t>
      </w:r>
      <w:r w:rsidR="002614D2">
        <w:rPr>
          <w:bCs/>
        </w:rPr>
        <w:t xml:space="preserve"> </w:t>
      </w:r>
      <w:r w:rsidR="000A2C25" w:rsidRPr="00E66162">
        <w:rPr>
          <w:bCs/>
        </w:rPr>
        <w:t>615,68</w:t>
      </w:r>
      <w:r w:rsidR="00454666" w:rsidRPr="00E66162">
        <w:rPr>
          <w:bCs/>
        </w:rPr>
        <w:t xml:space="preserve"> EUR</w:t>
      </w:r>
      <w:r w:rsidR="006E447A" w:rsidRPr="00E66162">
        <w:rPr>
          <w:bCs/>
        </w:rPr>
        <w:t xml:space="preserve">          </w:t>
      </w:r>
      <w:r w:rsidRPr="00E66162">
        <w:rPr>
          <w:bCs/>
        </w:rPr>
        <w:t xml:space="preserve">  </w:t>
      </w:r>
      <w:r w:rsidRPr="00E66162">
        <w:rPr>
          <w:bCs/>
        </w:rPr>
        <w:tab/>
      </w:r>
      <w:r w:rsidRPr="00E66162">
        <w:rPr>
          <w:bCs/>
        </w:rPr>
        <w:tab/>
      </w:r>
    </w:p>
    <w:p w:rsidR="00C71387" w:rsidRPr="007F2F9C" w:rsidRDefault="00C71387" w:rsidP="007F2F9C">
      <w:pPr>
        <w:contextualSpacing/>
        <w:jc w:val="both"/>
        <w:rPr>
          <w:u w:val="single"/>
        </w:rPr>
      </w:pPr>
      <w:r w:rsidRPr="007F2F9C">
        <w:rPr>
          <w:bCs/>
          <w:u w:val="single"/>
        </w:rPr>
        <w:t>c) Ča</w:t>
      </w:r>
      <w:r w:rsidR="00C141EE" w:rsidRPr="007F2F9C">
        <w:rPr>
          <w:bCs/>
          <w:u w:val="single"/>
        </w:rPr>
        <w:t>sové rozlíšenie spolu</w:t>
      </w:r>
      <w:r w:rsidR="000A2C25" w:rsidRPr="007F2F9C">
        <w:rPr>
          <w:bCs/>
          <w:u w:val="single"/>
        </w:rPr>
        <w:t>:</w:t>
      </w:r>
      <w:r w:rsidR="00454666">
        <w:rPr>
          <w:bCs/>
          <w:u w:val="single"/>
        </w:rPr>
        <w:t xml:space="preserve">                                              </w:t>
      </w:r>
      <w:r w:rsidR="002614D2">
        <w:rPr>
          <w:bCs/>
          <w:u w:val="single"/>
        </w:rPr>
        <w:t xml:space="preserve">   </w:t>
      </w:r>
      <w:r w:rsidR="003E5736">
        <w:rPr>
          <w:bCs/>
          <w:u w:val="single"/>
        </w:rPr>
        <w:t xml:space="preserve"> </w:t>
      </w:r>
      <w:r w:rsidR="00454666">
        <w:rPr>
          <w:bCs/>
          <w:u w:val="single"/>
        </w:rPr>
        <w:t xml:space="preserve">   </w:t>
      </w:r>
      <w:r w:rsidR="002614D2">
        <w:rPr>
          <w:bCs/>
          <w:u w:val="single"/>
        </w:rPr>
        <w:t xml:space="preserve">   </w:t>
      </w:r>
      <w:r w:rsidR="000A2C25" w:rsidRPr="007F2F9C">
        <w:rPr>
          <w:bCs/>
          <w:u w:val="single"/>
        </w:rPr>
        <w:t>67,30</w:t>
      </w:r>
      <w:r w:rsidR="00454666">
        <w:rPr>
          <w:bCs/>
          <w:u w:val="single"/>
        </w:rPr>
        <w:t xml:space="preserve"> EUR</w:t>
      </w:r>
      <w:r w:rsidRPr="007F2F9C">
        <w:rPr>
          <w:bCs/>
          <w:u w:val="single"/>
        </w:rPr>
        <w:tab/>
      </w:r>
    </w:p>
    <w:p w:rsidR="00C71387" w:rsidRPr="007F2F9C" w:rsidRDefault="00C71387" w:rsidP="007F2F9C">
      <w:pPr>
        <w:contextualSpacing/>
        <w:jc w:val="both"/>
      </w:pPr>
      <w:r w:rsidRPr="007F2F9C">
        <w:rPr>
          <w:b/>
        </w:rPr>
        <w:t>Majetok spolu</w:t>
      </w:r>
      <w:r w:rsidR="000A2C25" w:rsidRPr="007F2F9C">
        <w:rPr>
          <w:b/>
        </w:rPr>
        <w:t>:</w:t>
      </w:r>
      <w:r w:rsidR="00454666">
        <w:rPr>
          <w:b/>
        </w:rPr>
        <w:t xml:space="preserve">                                                              </w:t>
      </w:r>
      <w:r w:rsidR="000A2C25" w:rsidRPr="007F2F9C">
        <w:rPr>
          <w:b/>
        </w:rPr>
        <w:t>51</w:t>
      </w:r>
      <w:r w:rsidR="002614D2">
        <w:rPr>
          <w:b/>
        </w:rPr>
        <w:t xml:space="preserve"> </w:t>
      </w:r>
      <w:r w:rsidR="000A2C25" w:rsidRPr="007F2F9C">
        <w:rPr>
          <w:b/>
        </w:rPr>
        <w:t>682,98</w:t>
      </w:r>
      <w:r w:rsidR="00454666">
        <w:rPr>
          <w:b/>
        </w:rPr>
        <w:t xml:space="preserve"> EUR</w:t>
      </w:r>
      <w:r w:rsidRPr="007F2F9C">
        <w:tab/>
      </w:r>
      <w:r w:rsidRPr="007F2F9C">
        <w:tab/>
      </w:r>
      <w:r w:rsidRPr="007F2F9C">
        <w:tab/>
      </w:r>
      <w:r w:rsidR="00454666">
        <w:t xml:space="preserve">        </w:t>
      </w:r>
    </w:p>
    <w:p w:rsidR="00C71387" w:rsidRDefault="00C71387" w:rsidP="007F2F9C">
      <w:pPr>
        <w:contextualSpacing/>
        <w:jc w:val="both"/>
        <w:rPr>
          <w:b/>
        </w:rPr>
      </w:pPr>
    </w:p>
    <w:p w:rsidR="00C71387" w:rsidRPr="007F2F9C" w:rsidRDefault="00C71387" w:rsidP="007F2F9C">
      <w:pPr>
        <w:contextualSpacing/>
        <w:jc w:val="both"/>
        <w:rPr>
          <w:b/>
        </w:rPr>
      </w:pPr>
      <w:r w:rsidRPr="007F2F9C">
        <w:rPr>
          <w:b/>
        </w:rPr>
        <w:t>Pasíva</w:t>
      </w:r>
    </w:p>
    <w:p w:rsidR="00C71387" w:rsidRPr="007F2F9C" w:rsidRDefault="00C71387" w:rsidP="007F2F9C">
      <w:pPr>
        <w:contextualSpacing/>
        <w:jc w:val="both"/>
      </w:pPr>
      <w:r w:rsidRPr="007F2F9C">
        <w:t xml:space="preserve">a) Vlastné zdroje krytia majetku </w:t>
      </w:r>
      <w:r w:rsidR="001A5DC8" w:rsidRPr="007F2F9C">
        <w:t>spolu</w:t>
      </w:r>
      <w:r w:rsidR="000A2C25" w:rsidRPr="007F2F9C">
        <w:t>:</w:t>
      </w:r>
      <w:r w:rsidR="00454666">
        <w:t xml:space="preserve">                    </w:t>
      </w:r>
      <w:r w:rsidR="002614D2">
        <w:t xml:space="preserve">   </w:t>
      </w:r>
      <w:r w:rsidR="00454666">
        <w:t xml:space="preserve">   </w:t>
      </w:r>
      <w:r w:rsidR="002433FF" w:rsidRPr="007F2F9C">
        <w:t xml:space="preserve"> </w:t>
      </w:r>
      <w:r w:rsidR="000A2C25" w:rsidRPr="007F2F9C">
        <w:t>-17</w:t>
      </w:r>
      <w:r w:rsidR="002614D2">
        <w:t xml:space="preserve"> </w:t>
      </w:r>
      <w:r w:rsidR="000A2C25" w:rsidRPr="007F2F9C">
        <w:t>521,98</w:t>
      </w:r>
      <w:r w:rsidR="00454666">
        <w:t xml:space="preserve"> EUR</w:t>
      </w:r>
    </w:p>
    <w:p w:rsidR="00C71387" w:rsidRPr="00E66162" w:rsidRDefault="00C71387" w:rsidP="007F2F9C">
      <w:pPr>
        <w:contextualSpacing/>
        <w:jc w:val="both"/>
      </w:pPr>
      <w:r w:rsidRPr="00E66162">
        <w:t>b) Cudzie zdroje spolu</w:t>
      </w:r>
      <w:r w:rsidR="000A2C25" w:rsidRPr="00E66162">
        <w:t>:</w:t>
      </w:r>
      <w:r w:rsidR="00454666" w:rsidRPr="00E66162">
        <w:t xml:space="preserve">                                            </w:t>
      </w:r>
      <w:r w:rsidR="002614D2">
        <w:t xml:space="preserve">   </w:t>
      </w:r>
      <w:r w:rsidR="00454666" w:rsidRPr="00E66162">
        <w:t xml:space="preserve">   </w:t>
      </w:r>
      <w:r w:rsidR="000A2C25" w:rsidRPr="00E66162">
        <w:t>69</w:t>
      </w:r>
      <w:r w:rsidR="002614D2">
        <w:t xml:space="preserve"> </w:t>
      </w:r>
      <w:r w:rsidR="000A2C25" w:rsidRPr="00E66162">
        <w:t>204,96</w:t>
      </w:r>
      <w:r w:rsidR="00454666" w:rsidRPr="00E66162">
        <w:t xml:space="preserve"> EUR        </w:t>
      </w:r>
      <w:r w:rsidRPr="00E66162">
        <w:tab/>
      </w:r>
      <w:r w:rsidRPr="00E66162">
        <w:tab/>
        <w:t xml:space="preserve"> </w:t>
      </w:r>
    </w:p>
    <w:p w:rsidR="00C71387" w:rsidRPr="007F2F9C" w:rsidRDefault="00C71387" w:rsidP="007F2F9C">
      <w:pPr>
        <w:contextualSpacing/>
        <w:jc w:val="both"/>
      </w:pPr>
      <w:r w:rsidRPr="007F2F9C">
        <w:rPr>
          <w:bCs/>
          <w:u w:val="single"/>
        </w:rPr>
        <w:t>c) Časové rozlíšenie spolu</w:t>
      </w:r>
      <w:r w:rsidR="000A2C25" w:rsidRPr="007F2F9C">
        <w:rPr>
          <w:bCs/>
          <w:u w:val="single"/>
        </w:rPr>
        <w:t>:</w:t>
      </w:r>
      <w:r w:rsidR="00454666">
        <w:rPr>
          <w:bCs/>
          <w:u w:val="single"/>
        </w:rPr>
        <w:t xml:space="preserve">                                       </w:t>
      </w:r>
      <w:r w:rsidR="002614D2">
        <w:rPr>
          <w:bCs/>
          <w:u w:val="single"/>
        </w:rPr>
        <w:t xml:space="preserve"> </w:t>
      </w:r>
      <w:r w:rsidR="00454666">
        <w:rPr>
          <w:bCs/>
          <w:u w:val="single"/>
        </w:rPr>
        <w:t xml:space="preserve">   </w:t>
      </w:r>
      <w:r w:rsidR="002614D2">
        <w:rPr>
          <w:bCs/>
          <w:u w:val="single"/>
        </w:rPr>
        <w:t xml:space="preserve">   </w:t>
      </w:r>
      <w:r w:rsidR="00454666">
        <w:rPr>
          <w:bCs/>
          <w:u w:val="single"/>
        </w:rPr>
        <w:t xml:space="preserve">  </w:t>
      </w:r>
      <w:r w:rsidR="00104C81">
        <w:rPr>
          <w:bCs/>
          <w:u w:val="single"/>
        </w:rPr>
        <w:t xml:space="preserve"> </w:t>
      </w:r>
      <w:r w:rsidR="00454666">
        <w:rPr>
          <w:bCs/>
          <w:u w:val="single"/>
        </w:rPr>
        <w:t xml:space="preserve"> </w:t>
      </w:r>
      <w:r w:rsidR="002614D2">
        <w:rPr>
          <w:bCs/>
          <w:u w:val="single"/>
        </w:rPr>
        <w:t xml:space="preserve"> </w:t>
      </w:r>
      <w:r w:rsidR="00454666">
        <w:rPr>
          <w:bCs/>
          <w:u w:val="single"/>
        </w:rPr>
        <w:t xml:space="preserve">  </w:t>
      </w:r>
      <w:r w:rsidR="000A2C25" w:rsidRPr="007F2F9C">
        <w:rPr>
          <w:bCs/>
          <w:u w:val="single"/>
        </w:rPr>
        <w:t>0</w:t>
      </w:r>
      <w:r w:rsidR="00454666">
        <w:rPr>
          <w:bCs/>
          <w:u w:val="single"/>
        </w:rPr>
        <w:t>,00 EUR___</w:t>
      </w:r>
      <w:r w:rsidR="00C141EE" w:rsidRPr="007F2F9C">
        <w:rPr>
          <w:bCs/>
          <w:u w:val="single"/>
        </w:rPr>
        <w:t xml:space="preserve">       </w:t>
      </w:r>
      <w:r w:rsidR="000A2C25" w:rsidRPr="007F2F9C">
        <w:rPr>
          <w:bCs/>
          <w:u w:val="single"/>
        </w:rPr>
        <w:t xml:space="preserve">                  </w:t>
      </w:r>
      <w:r w:rsidR="00C141EE" w:rsidRPr="007F2F9C">
        <w:rPr>
          <w:bCs/>
          <w:u w:val="single"/>
        </w:rPr>
        <w:t xml:space="preserve"> </w:t>
      </w:r>
    </w:p>
    <w:p w:rsidR="00C71387" w:rsidRPr="007F2F9C" w:rsidRDefault="00C71387" w:rsidP="007F2F9C">
      <w:pPr>
        <w:contextualSpacing/>
        <w:jc w:val="both"/>
      </w:pPr>
      <w:r w:rsidRPr="007F2F9C">
        <w:rPr>
          <w:b/>
        </w:rPr>
        <w:t>Vlastné a cudzie zdroje spolu</w:t>
      </w:r>
      <w:r w:rsidR="00454666">
        <w:rPr>
          <w:b/>
        </w:rPr>
        <w:t xml:space="preserve">:                                </w:t>
      </w:r>
      <w:r w:rsidR="002614D2">
        <w:rPr>
          <w:b/>
        </w:rPr>
        <w:t xml:space="preserve">   </w:t>
      </w:r>
      <w:r w:rsidR="00454666">
        <w:rPr>
          <w:b/>
        </w:rPr>
        <w:t xml:space="preserve">   51</w:t>
      </w:r>
      <w:r w:rsidR="002614D2">
        <w:rPr>
          <w:b/>
        </w:rPr>
        <w:t xml:space="preserve"> </w:t>
      </w:r>
      <w:r w:rsidR="00454666">
        <w:rPr>
          <w:b/>
        </w:rPr>
        <w:t>682,98 EUR</w:t>
      </w:r>
    </w:p>
    <w:p w:rsidR="00C71387" w:rsidRPr="007F2F9C" w:rsidRDefault="00C71387" w:rsidP="007F2F9C">
      <w:pPr>
        <w:contextualSpacing/>
        <w:jc w:val="both"/>
      </w:pPr>
      <w:r w:rsidRPr="007F2F9C">
        <w:t xml:space="preserve"> </w:t>
      </w:r>
      <w:r w:rsidR="00454666">
        <w:t xml:space="preserve"> </w:t>
      </w:r>
    </w:p>
    <w:p w:rsidR="00886A6D" w:rsidRPr="007F2F9C" w:rsidRDefault="00886A6D" w:rsidP="007F2F9C">
      <w:pPr>
        <w:autoSpaceDE w:val="0"/>
        <w:autoSpaceDN w:val="0"/>
        <w:adjustRightInd w:val="0"/>
        <w:contextualSpacing/>
        <w:jc w:val="both"/>
      </w:pPr>
      <w:r w:rsidRPr="00886A6D">
        <w:t xml:space="preserve">Účtovná jednotka ku koncu účtovného obdobia, ktorý sa skončil 31. decembra 2016 vykázala čistú stratu vo výške </w:t>
      </w:r>
      <w:r>
        <w:t>24 102,98</w:t>
      </w:r>
      <w:r w:rsidRPr="00886A6D">
        <w:t xml:space="preserve"> EUR.  Organizácia má dohodnuté financovanie od zakladateľov najmenej do 31.decembra 2017. Účtovná jednotka ani zakladatelia neplánujú kroky, ktoré by mohli ohroziť nepretržitosť trvania účtovnej jednotky.</w:t>
      </w:r>
    </w:p>
    <w:p w:rsidR="003F4104" w:rsidRDefault="003F4104" w:rsidP="007F2F9C">
      <w:pPr>
        <w:autoSpaceDE w:val="0"/>
        <w:autoSpaceDN w:val="0"/>
        <w:adjustRightInd w:val="0"/>
        <w:contextualSpacing/>
        <w:jc w:val="both"/>
      </w:pPr>
    </w:p>
    <w:p w:rsidR="00BF5974" w:rsidRDefault="00BF5974" w:rsidP="007F2F9C">
      <w:pPr>
        <w:autoSpaceDE w:val="0"/>
        <w:autoSpaceDN w:val="0"/>
        <w:adjustRightInd w:val="0"/>
        <w:contextualSpacing/>
        <w:jc w:val="both"/>
        <w:rPr>
          <w:b/>
          <w:bCs/>
          <w:caps/>
          <w:color w:val="FF0000"/>
          <w:highlight w:val="yellow"/>
          <w:u w:val="single"/>
        </w:rPr>
      </w:pPr>
    </w:p>
    <w:p w:rsidR="00BF5974" w:rsidRDefault="00BF5974" w:rsidP="007F2F9C">
      <w:pPr>
        <w:autoSpaceDE w:val="0"/>
        <w:autoSpaceDN w:val="0"/>
        <w:adjustRightInd w:val="0"/>
        <w:contextualSpacing/>
        <w:jc w:val="both"/>
        <w:rPr>
          <w:b/>
          <w:bCs/>
          <w:caps/>
          <w:color w:val="FF0000"/>
          <w:highlight w:val="yellow"/>
          <w:u w:val="single"/>
        </w:rPr>
      </w:pPr>
    </w:p>
    <w:p w:rsidR="00BF5974" w:rsidRDefault="00BF5974" w:rsidP="007F2F9C">
      <w:pPr>
        <w:autoSpaceDE w:val="0"/>
        <w:autoSpaceDN w:val="0"/>
        <w:adjustRightInd w:val="0"/>
        <w:contextualSpacing/>
        <w:jc w:val="both"/>
        <w:rPr>
          <w:b/>
          <w:bCs/>
          <w:caps/>
          <w:color w:val="FF0000"/>
          <w:highlight w:val="yellow"/>
          <w:u w:val="single"/>
        </w:rPr>
      </w:pPr>
    </w:p>
    <w:p w:rsidR="00BF5974" w:rsidRDefault="00BF5974" w:rsidP="007F2F9C">
      <w:pPr>
        <w:autoSpaceDE w:val="0"/>
        <w:autoSpaceDN w:val="0"/>
        <w:adjustRightInd w:val="0"/>
        <w:contextualSpacing/>
        <w:jc w:val="both"/>
        <w:rPr>
          <w:b/>
          <w:bCs/>
          <w:caps/>
          <w:color w:val="FF0000"/>
          <w:highlight w:val="yellow"/>
          <w:u w:val="single"/>
        </w:rPr>
      </w:pPr>
    </w:p>
    <w:p w:rsidR="00BF5974" w:rsidRDefault="00BF5974" w:rsidP="007F2F9C">
      <w:pPr>
        <w:autoSpaceDE w:val="0"/>
        <w:autoSpaceDN w:val="0"/>
        <w:adjustRightInd w:val="0"/>
        <w:contextualSpacing/>
        <w:jc w:val="both"/>
        <w:rPr>
          <w:b/>
          <w:bCs/>
          <w:caps/>
          <w:color w:val="FF0000"/>
          <w:highlight w:val="yellow"/>
          <w:u w:val="single"/>
        </w:rPr>
      </w:pPr>
    </w:p>
    <w:p w:rsidR="00454666" w:rsidRPr="002614D2" w:rsidRDefault="00187BFE" w:rsidP="007F2F9C">
      <w:pPr>
        <w:autoSpaceDE w:val="0"/>
        <w:autoSpaceDN w:val="0"/>
        <w:adjustRightInd w:val="0"/>
        <w:contextualSpacing/>
        <w:jc w:val="both"/>
        <w:rPr>
          <w:b/>
          <w:u w:val="single"/>
        </w:rPr>
      </w:pPr>
      <w:r w:rsidRPr="002614D2">
        <w:rPr>
          <w:b/>
          <w:bCs/>
          <w:caps/>
          <w:u w:val="single"/>
        </w:rPr>
        <w:lastRenderedPageBreak/>
        <w:t>8.  ekonomicky oprávnené náklady za kalendárny rok</w:t>
      </w:r>
    </w:p>
    <w:p w:rsidR="00187BFE" w:rsidRDefault="00187BFE" w:rsidP="007F2F9C">
      <w:pPr>
        <w:autoSpaceDE w:val="0"/>
        <w:autoSpaceDN w:val="0"/>
        <w:adjustRightInd w:val="0"/>
        <w:contextualSpacing/>
        <w:jc w:val="both"/>
      </w:pPr>
    </w:p>
    <w:p w:rsidR="00187BFE" w:rsidRPr="007F2F9C" w:rsidRDefault="00104C81" w:rsidP="007F2F9C">
      <w:pPr>
        <w:autoSpaceDE w:val="0"/>
        <w:autoSpaceDN w:val="0"/>
        <w:adjustRightInd w:val="0"/>
        <w:contextualSpacing/>
        <w:jc w:val="both"/>
      </w:pPr>
      <w:r w:rsidRPr="00104C81">
        <w:t xml:space="preserve">Ekonomicky oprávnené náklady  na jedného prijímateľa sociálnej služby podľa druhu poskytovanej sociálnej služby za kalendárny rok sú vo výške  </w:t>
      </w:r>
      <w:r w:rsidR="009747E2">
        <w:rPr>
          <w:color w:val="FF0000"/>
          <w:shd w:val="clear" w:color="auto" w:fill="FFFF00"/>
        </w:rPr>
        <w:t>902,15 EUR.</w:t>
      </w:r>
    </w:p>
    <w:p w:rsidR="00BF5974" w:rsidRDefault="00BF5974" w:rsidP="007F2F9C">
      <w:pPr>
        <w:pStyle w:val="Nadpis1"/>
        <w:contextualSpacing/>
        <w:rPr>
          <w:b/>
          <w:bCs/>
          <w:caps/>
          <w:szCs w:val="24"/>
        </w:rPr>
      </w:pPr>
    </w:p>
    <w:p w:rsidR="00C71387" w:rsidRPr="007F2F9C" w:rsidRDefault="00187BFE" w:rsidP="007F2F9C">
      <w:pPr>
        <w:pStyle w:val="Nadpis1"/>
        <w:contextualSpacing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9</w:t>
      </w:r>
      <w:r w:rsidR="00C71387" w:rsidRPr="007F2F9C">
        <w:rPr>
          <w:b/>
          <w:bCs/>
          <w:caps/>
          <w:szCs w:val="24"/>
        </w:rPr>
        <w:t>. Zmeny a nové zloženie organizácie, ku ktorým došlo v priebehu roka</w:t>
      </w:r>
    </w:p>
    <w:p w:rsidR="00C71387" w:rsidRPr="007F2F9C" w:rsidRDefault="00861038" w:rsidP="007F2F9C">
      <w:pPr>
        <w:shd w:val="clear" w:color="auto" w:fill="FFFFFF"/>
        <w:spacing w:before="225" w:after="225"/>
        <w:contextualSpacing/>
        <w:jc w:val="both"/>
        <w:rPr>
          <w:lang w:eastAsia="cs-CZ"/>
        </w:rPr>
      </w:pPr>
      <w:r w:rsidRPr="007F2F9C">
        <w:t xml:space="preserve">Správna rada </w:t>
      </w:r>
      <w:r w:rsidR="002B1E55">
        <w:t xml:space="preserve">občianskeho združenia </w:t>
      </w:r>
      <w:r w:rsidR="00C141EE" w:rsidRPr="007F2F9C">
        <w:rPr>
          <w:bCs/>
        </w:rPr>
        <w:t>Prosoci</w:t>
      </w:r>
      <w:r w:rsidR="002B1E55">
        <w:rPr>
          <w:bCs/>
        </w:rPr>
        <w:t>a</w:t>
      </w:r>
      <w:r w:rsidR="00C141EE" w:rsidRPr="007F2F9C">
        <w:rPr>
          <w:bCs/>
        </w:rPr>
        <w:t xml:space="preserve"> </w:t>
      </w:r>
      <w:r w:rsidRPr="007F2F9C">
        <w:t xml:space="preserve">sa neuzniesla na žiadnych zmenách </w:t>
      </w:r>
      <w:r w:rsidR="00C71387" w:rsidRPr="007F2F9C">
        <w:t xml:space="preserve">v zložení orgánov </w:t>
      </w:r>
      <w:r w:rsidR="002B1E55">
        <w:t>občianskeho združenia</w:t>
      </w:r>
      <w:r w:rsidRPr="007F2F9C">
        <w:t>.</w:t>
      </w:r>
    </w:p>
    <w:p w:rsidR="00C71387" w:rsidRDefault="00C71387" w:rsidP="007F2F9C">
      <w:pPr>
        <w:contextualSpacing/>
        <w:jc w:val="both"/>
      </w:pPr>
    </w:p>
    <w:p w:rsidR="00454666" w:rsidRPr="007F2F9C" w:rsidRDefault="00454666" w:rsidP="007F2F9C">
      <w:pPr>
        <w:contextualSpacing/>
        <w:jc w:val="both"/>
      </w:pPr>
    </w:p>
    <w:p w:rsidR="00BF5974" w:rsidRDefault="00BF5974" w:rsidP="007F2F9C">
      <w:pPr>
        <w:pStyle w:val="Nadpis1"/>
        <w:contextualSpacing/>
        <w:rPr>
          <w:b/>
          <w:bCs/>
          <w:caps/>
          <w:szCs w:val="24"/>
        </w:rPr>
      </w:pPr>
    </w:p>
    <w:p w:rsidR="00C71387" w:rsidRPr="007F2F9C" w:rsidRDefault="00187BFE" w:rsidP="007F2F9C">
      <w:pPr>
        <w:pStyle w:val="Nadpis1"/>
        <w:contextualSpacing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10</w:t>
      </w:r>
      <w:r w:rsidR="00C71387" w:rsidRPr="007F2F9C">
        <w:rPr>
          <w:b/>
          <w:bCs/>
          <w:caps/>
          <w:szCs w:val="24"/>
        </w:rPr>
        <w:t>. Zmeny štatútu, ku ktorým došlo v priebehu roka</w:t>
      </w:r>
    </w:p>
    <w:p w:rsidR="00C71387" w:rsidRPr="007F2F9C" w:rsidRDefault="00861038" w:rsidP="007F2F9C">
      <w:pPr>
        <w:shd w:val="clear" w:color="auto" w:fill="FFFFFF"/>
        <w:spacing w:before="225" w:after="225"/>
        <w:contextualSpacing/>
        <w:jc w:val="both"/>
        <w:rPr>
          <w:lang w:eastAsia="cs-CZ"/>
        </w:rPr>
      </w:pPr>
      <w:r w:rsidRPr="007F2F9C">
        <w:t xml:space="preserve">Správna rada </w:t>
      </w:r>
      <w:r w:rsidR="002B1E55">
        <w:t xml:space="preserve">občianskeho združenia </w:t>
      </w:r>
      <w:r w:rsidR="00C141EE" w:rsidRPr="007F2F9C">
        <w:rPr>
          <w:bCs/>
        </w:rPr>
        <w:t>Prosoci</w:t>
      </w:r>
      <w:r w:rsidR="002B1E55">
        <w:rPr>
          <w:bCs/>
        </w:rPr>
        <w:t>a</w:t>
      </w:r>
      <w:r w:rsidR="00C141EE" w:rsidRPr="007F2F9C">
        <w:rPr>
          <w:bCs/>
        </w:rPr>
        <w:t xml:space="preserve"> </w:t>
      </w:r>
      <w:r w:rsidRPr="007F2F9C">
        <w:t xml:space="preserve">sa neuzniesla na žiadnych zmenách </w:t>
      </w:r>
      <w:r w:rsidR="00C71387" w:rsidRPr="007F2F9C">
        <w:t xml:space="preserve">v štatúte </w:t>
      </w:r>
      <w:r w:rsidR="002B1E55">
        <w:t>občianskeho združenia</w:t>
      </w:r>
      <w:r w:rsidRPr="007F2F9C">
        <w:t>.</w:t>
      </w:r>
    </w:p>
    <w:p w:rsidR="00454666" w:rsidRDefault="00454666" w:rsidP="007F2F9C">
      <w:pPr>
        <w:pStyle w:val="Hlavika"/>
        <w:contextualSpacing/>
        <w:jc w:val="both"/>
        <w:rPr>
          <w:lang w:eastAsia="cs-CZ"/>
        </w:rPr>
      </w:pPr>
    </w:p>
    <w:p w:rsidR="00454666" w:rsidRPr="007F2F9C" w:rsidRDefault="00454666" w:rsidP="007F2F9C">
      <w:pPr>
        <w:pStyle w:val="Hlavika"/>
        <w:contextualSpacing/>
        <w:jc w:val="both"/>
        <w:rPr>
          <w:lang w:eastAsia="cs-CZ"/>
        </w:rPr>
      </w:pPr>
    </w:p>
    <w:p w:rsidR="00BF5974" w:rsidRDefault="00BF5974" w:rsidP="007F2F9C">
      <w:pPr>
        <w:pStyle w:val="Hlavika"/>
        <w:contextualSpacing/>
        <w:jc w:val="both"/>
        <w:rPr>
          <w:b/>
          <w:bCs/>
          <w:caps/>
          <w:u w:val="single"/>
        </w:rPr>
      </w:pPr>
    </w:p>
    <w:p w:rsidR="00C71387" w:rsidRPr="007F2F9C" w:rsidRDefault="00C71387" w:rsidP="007F2F9C">
      <w:pPr>
        <w:pStyle w:val="Hlavika"/>
        <w:contextualSpacing/>
        <w:jc w:val="both"/>
        <w:rPr>
          <w:b/>
          <w:bCs/>
          <w:caps/>
          <w:u w:val="single"/>
        </w:rPr>
      </w:pPr>
      <w:r w:rsidRPr="007F2F9C">
        <w:rPr>
          <w:b/>
          <w:bCs/>
          <w:caps/>
          <w:u w:val="single"/>
        </w:rPr>
        <w:t>1</w:t>
      </w:r>
      <w:r w:rsidR="00187BFE">
        <w:rPr>
          <w:b/>
          <w:bCs/>
          <w:caps/>
          <w:u w:val="single"/>
        </w:rPr>
        <w:t>1</w:t>
      </w:r>
      <w:r w:rsidRPr="007F2F9C">
        <w:rPr>
          <w:b/>
          <w:bCs/>
          <w:caps/>
          <w:u w:val="single"/>
        </w:rPr>
        <w:t>. Ďalšie údaje určené správnou radou</w:t>
      </w:r>
    </w:p>
    <w:p w:rsidR="009E005E" w:rsidRPr="007F2F9C" w:rsidRDefault="009E005E" w:rsidP="007F2F9C">
      <w:pPr>
        <w:pStyle w:val="Hlavika"/>
        <w:contextualSpacing/>
        <w:jc w:val="both"/>
        <w:rPr>
          <w:b/>
          <w:bCs/>
          <w:caps/>
        </w:rPr>
      </w:pPr>
    </w:p>
    <w:p w:rsidR="00C71387" w:rsidRPr="007F2F9C" w:rsidRDefault="00C71387" w:rsidP="007F2F9C">
      <w:pPr>
        <w:pStyle w:val="Hlavika"/>
        <w:contextualSpacing/>
        <w:jc w:val="both"/>
      </w:pPr>
      <w:r w:rsidRPr="007F2F9C">
        <w:t xml:space="preserve">Správna rada </w:t>
      </w:r>
      <w:r w:rsidR="00E66162">
        <w:t xml:space="preserve">občianskeho združenia </w:t>
      </w:r>
      <w:r w:rsidR="00E66162">
        <w:rPr>
          <w:bCs/>
        </w:rPr>
        <w:t>Prosocia</w:t>
      </w:r>
      <w:r w:rsidRPr="007F2F9C">
        <w:t xml:space="preserve"> neurčila žiadne ďalšie údaje.  </w:t>
      </w:r>
    </w:p>
    <w:p w:rsidR="00C71387" w:rsidRPr="007F2F9C" w:rsidRDefault="00C71387" w:rsidP="007F2F9C">
      <w:pPr>
        <w:pStyle w:val="Nadpis1"/>
        <w:contextualSpacing/>
        <w:rPr>
          <w:szCs w:val="24"/>
        </w:rPr>
      </w:pPr>
    </w:p>
    <w:p w:rsidR="00C71387" w:rsidRPr="007F2F9C" w:rsidRDefault="00C71387" w:rsidP="007F2F9C">
      <w:pPr>
        <w:pStyle w:val="Nadpis1"/>
        <w:contextualSpacing/>
        <w:rPr>
          <w:szCs w:val="24"/>
          <w:u w:val="none"/>
        </w:rPr>
      </w:pPr>
      <w:r w:rsidRPr="007F2F9C">
        <w:rPr>
          <w:szCs w:val="24"/>
        </w:rPr>
        <w:t>Prílohy:</w:t>
      </w:r>
      <w:r w:rsidRPr="007F2F9C">
        <w:rPr>
          <w:szCs w:val="24"/>
          <w:u w:val="none"/>
        </w:rPr>
        <w:t xml:space="preserve"> </w:t>
      </w:r>
      <w:r w:rsidRPr="007F2F9C">
        <w:rPr>
          <w:szCs w:val="24"/>
          <w:u w:val="none"/>
        </w:rPr>
        <w:tab/>
        <w:t xml:space="preserve">Výkaz ziskov a strát </w:t>
      </w:r>
    </w:p>
    <w:p w:rsidR="00C71387" w:rsidRPr="007F2F9C" w:rsidRDefault="00C71387" w:rsidP="007F2F9C">
      <w:pPr>
        <w:contextualSpacing/>
        <w:jc w:val="both"/>
      </w:pPr>
      <w:r w:rsidRPr="007F2F9C">
        <w:tab/>
      </w:r>
      <w:r w:rsidRPr="007F2F9C">
        <w:tab/>
        <w:t>Súvaha pre neziskovú účtovnú jednotku</w:t>
      </w:r>
    </w:p>
    <w:p w:rsidR="00C71387" w:rsidRPr="007F2F9C" w:rsidRDefault="00C71387" w:rsidP="007F2F9C">
      <w:pPr>
        <w:contextualSpacing/>
        <w:jc w:val="both"/>
      </w:pPr>
      <w:r w:rsidRPr="007F2F9C">
        <w:tab/>
      </w:r>
      <w:r w:rsidRPr="007F2F9C">
        <w:tab/>
        <w:t>Poznámky k účtovnej závierke</w:t>
      </w:r>
    </w:p>
    <w:p w:rsidR="009E005E" w:rsidRPr="007F2F9C" w:rsidRDefault="009E005E" w:rsidP="007F2F9C">
      <w:pPr>
        <w:contextualSpacing/>
        <w:jc w:val="both"/>
      </w:pPr>
      <w:r w:rsidRPr="007F2F9C">
        <w:tab/>
      </w:r>
      <w:r w:rsidRPr="007F2F9C">
        <w:tab/>
        <w:t>Výrok audítora k ročnej účtovnej závierke</w:t>
      </w:r>
    </w:p>
    <w:p w:rsidR="00C71387" w:rsidRPr="007F2F9C" w:rsidRDefault="00C71387" w:rsidP="007F2F9C">
      <w:pPr>
        <w:pStyle w:val="Nadpis1"/>
        <w:contextualSpacing/>
        <w:rPr>
          <w:szCs w:val="24"/>
          <w:u w:val="none"/>
        </w:rPr>
      </w:pPr>
    </w:p>
    <w:p w:rsidR="00C71387" w:rsidRPr="007F2F9C" w:rsidRDefault="00C71387" w:rsidP="007F2F9C">
      <w:pPr>
        <w:pStyle w:val="Nadpis1"/>
        <w:contextualSpacing/>
        <w:rPr>
          <w:b/>
          <w:bCs/>
          <w:caps/>
          <w:szCs w:val="24"/>
        </w:rPr>
      </w:pPr>
    </w:p>
    <w:bookmarkEnd w:id="8"/>
    <w:p w:rsidR="00C71387" w:rsidRPr="007F2F9C" w:rsidRDefault="00C71387" w:rsidP="007F2F9C">
      <w:pPr>
        <w:ind w:left="360"/>
        <w:contextualSpacing/>
        <w:jc w:val="both"/>
      </w:pPr>
    </w:p>
    <w:p w:rsidR="00A728D2" w:rsidRDefault="00A728D2" w:rsidP="007F2F9C">
      <w:pPr>
        <w:contextualSpacing/>
        <w:rPr>
          <w:noProof/>
        </w:rPr>
      </w:pPr>
    </w:p>
    <w:p w:rsidR="00E66162" w:rsidRDefault="00E66162" w:rsidP="007F2F9C">
      <w:pPr>
        <w:contextualSpacing/>
        <w:rPr>
          <w:noProof/>
        </w:rPr>
      </w:pPr>
    </w:p>
    <w:p w:rsidR="00E66162" w:rsidRPr="007F2F9C" w:rsidRDefault="003E5736" w:rsidP="007F2F9C">
      <w:pPr>
        <w:contextualSpacing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444A342" wp14:editId="68380932">
            <wp:simplePos x="0" y="0"/>
            <wp:positionH relativeFrom="margin">
              <wp:posOffset>4356174</wp:posOffset>
            </wp:positionH>
            <wp:positionV relativeFrom="margin">
              <wp:posOffset>6156901</wp:posOffset>
            </wp:positionV>
            <wp:extent cx="1617227" cy="1352145"/>
            <wp:effectExtent l="0" t="0" r="254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dpís + pečiatka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227" cy="13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6162" w:rsidRPr="007F2F9C" w:rsidSect="00755FCE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F6" w:rsidRDefault="00BA71F6" w:rsidP="00C71387">
      <w:r>
        <w:separator/>
      </w:r>
    </w:p>
  </w:endnote>
  <w:endnote w:type="continuationSeparator" w:id="0">
    <w:p w:rsidR="00BA71F6" w:rsidRDefault="00BA71F6" w:rsidP="00C7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058092"/>
      <w:docPartObj>
        <w:docPartGallery w:val="Page Numbers (Bottom of Page)"/>
        <w:docPartUnique/>
      </w:docPartObj>
    </w:sdtPr>
    <w:sdtEndPr/>
    <w:sdtContent>
      <w:p w:rsidR="00326AA1" w:rsidRDefault="00FF5141">
        <w:pPr>
          <w:pStyle w:val="Pta"/>
          <w:jc w:val="center"/>
        </w:pPr>
        <w:r>
          <w:fldChar w:fldCharType="begin"/>
        </w:r>
        <w:r w:rsidR="00326AA1">
          <w:instrText>PAGE   \* MERGEFORMAT</w:instrText>
        </w:r>
        <w:r>
          <w:fldChar w:fldCharType="separate"/>
        </w:r>
        <w:r w:rsidR="006A55EE">
          <w:rPr>
            <w:noProof/>
          </w:rPr>
          <w:t>10</w:t>
        </w:r>
        <w:r>
          <w:fldChar w:fldCharType="end"/>
        </w:r>
      </w:p>
    </w:sdtContent>
  </w:sdt>
  <w:p w:rsidR="00755FCE" w:rsidRDefault="00755F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F6" w:rsidRDefault="00BA71F6" w:rsidP="00C71387">
      <w:r>
        <w:separator/>
      </w:r>
    </w:p>
  </w:footnote>
  <w:footnote w:type="continuationSeparator" w:id="0">
    <w:p w:rsidR="00BA71F6" w:rsidRDefault="00BA71F6" w:rsidP="00C71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7" w:rsidRPr="00326AA1" w:rsidRDefault="00053E21" w:rsidP="00C71387">
    <w:pPr>
      <w:pStyle w:val="Nadpis1"/>
      <w:pBdr>
        <w:between w:val="single" w:sz="4" w:space="1" w:color="auto"/>
      </w:pBdr>
      <w:jc w:val="center"/>
      <w:rPr>
        <w:rFonts w:ascii="Arial" w:hAnsi="Arial" w:cs="Arial"/>
        <w:b/>
        <w:bCs/>
        <w:sz w:val="32"/>
        <w:szCs w:val="32"/>
        <w:u w:val="none"/>
      </w:rPr>
    </w:pPr>
    <w:r>
      <w:rPr>
        <w:rFonts w:ascii="Arial" w:hAnsi="Arial" w:cs="Arial"/>
        <w:b/>
        <w:bCs/>
        <w:sz w:val="32"/>
        <w:szCs w:val="32"/>
        <w:u w:val="none"/>
      </w:rPr>
      <w:t>Prosocia</w:t>
    </w:r>
  </w:p>
  <w:p w:rsidR="00C71387" w:rsidRPr="00333481" w:rsidRDefault="00C71387" w:rsidP="00C71387">
    <w:pPr>
      <w:pStyle w:val="Nadpis1"/>
      <w:pBdr>
        <w:between w:val="single" w:sz="4" w:space="1" w:color="auto"/>
      </w:pBdr>
      <w:jc w:val="center"/>
      <w:rPr>
        <w:rFonts w:ascii="Arial" w:hAnsi="Arial" w:cs="Arial"/>
        <w:b/>
        <w:sz w:val="22"/>
        <w:szCs w:val="22"/>
        <w:u w:val="none"/>
      </w:rPr>
    </w:pPr>
    <w:r w:rsidRPr="00333481">
      <w:rPr>
        <w:rFonts w:ascii="Arial" w:hAnsi="Arial" w:cs="Arial"/>
        <w:b/>
        <w:sz w:val="22"/>
        <w:szCs w:val="22"/>
        <w:u w:val="none"/>
      </w:rPr>
      <w:t xml:space="preserve">so sídlom: </w:t>
    </w:r>
    <w:r w:rsidR="00053E21">
      <w:rPr>
        <w:rFonts w:ascii="Arial" w:hAnsi="Arial" w:cs="Arial"/>
        <w:b/>
        <w:bCs/>
        <w:sz w:val="22"/>
        <w:szCs w:val="22"/>
        <w:u w:val="none"/>
      </w:rPr>
      <w:t>A. Fesztyho 23, 947 01 Hurbanovo</w:t>
    </w:r>
  </w:p>
  <w:p w:rsidR="00C71387" w:rsidRPr="00333481" w:rsidRDefault="00C71387" w:rsidP="00C71387">
    <w:pPr>
      <w:jc w:val="center"/>
      <w:rPr>
        <w:rFonts w:ascii="Arial" w:hAnsi="Arial" w:cs="Arial"/>
        <w:b/>
        <w:sz w:val="22"/>
        <w:szCs w:val="22"/>
      </w:rPr>
    </w:pPr>
    <w:r w:rsidRPr="00333481">
      <w:rPr>
        <w:rFonts w:ascii="Arial" w:hAnsi="Arial" w:cs="Arial"/>
        <w:b/>
        <w:sz w:val="22"/>
        <w:szCs w:val="22"/>
      </w:rPr>
      <w:t xml:space="preserve">IČO: </w:t>
    </w:r>
    <w:r w:rsidR="00053E21">
      <w:rPr>
        <w:rFonts w:ascii="Arial" w:hAnsi="Arial" w:cs="Arial"/>
        <w:b/>
        <w:sz w:val="22"/>
        <w:szCs w:val="22"/>
      </w:rPr>
      <w:t>42049229</w:t>
    </w:r>
    <w:r w:rsidRPr="00333481">
      <w:rPr>
        <w:rFonts w:ascii="Arial" w:hAnsi="Arial" w:cs="Arial"/>
        <w:b/>
        <w:sz w:val="22"/>
        <w:szCs w:val="22"/>
      </w:rPr>
      <w:t xml:space="preserve">, DIČ: </w:t>
    </w:r>
    <w:r w:rsidR="00053E21">
      <w:rPr>
        <w:rFonts w:ascii="Arial" w:hAnsi="Arial" w:cs="Arial"/>
        <w:b/>
        <w:sz w:val="22"/>
        <w:szCs w:val="22"/>
      </w:rPr>
      <w:t>2023122035</w:t>
    </w:r>
    <w:r w:rsidRPr="00333481">
      <w:rPr>
        <w:rFonts w:ascii="Arial" w:hAnsi="Arial" w:cs="Arial"/>
        <w:b/>
        <w:sz w:val="22"/>
        <w:szCs w:val="22"/>
      </w:rPr>
      <w:t xml:space="preserve">, </w:t>
    </w:r>
  </w:p>
  <w:p w:rsidR="00C71387" w:rsidRPr="00333481" w:rsidRDefault="00C71387" w:rsidP="00C71387">
    <w:pPr>
      <w:pStyle w:val="Hlavika"/>
      <w:rPr>
        <w:sz w:val="22"/>
        <w:szCs w:val="22"/>
      </w:rPr>
    </w:pPr>
  </w:p>
  <w:p w:rsidR="00C71387" w:rsidRDefault="00C7138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4E"/>
    <w:multiLevelType w:val="hybridMultilevel"/>
    <w:tmpl w:val="EF949626"/>
    <w:lvl w:ilvl="0" w:tplc="11B476EE">
      <w:start w:val="3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581E"/>
    <w:multiLevelType w:val="multilevel"/>
    <w:tmpl w:val="7E40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DA7CD4"/>
    <w:multiLevelType w:val="hybridMultilevel"/>
    <w:tmpl w:val="6CE06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1518"/>
    <w:multiLevelType w:val="hybridMultilevel"/>
    <w:tmpl w:val="D836075C"/>
    <w:lvl w:ilvl="0" w:tplc="2E62F1EE">
      <w:numFmt w:val="bullet"/>
      <w:lvlText w:val="-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47C90"/>
    <w:multiLevelType w:val="hybridMultilevel"/>
    <w:tmpl w:val="95C2A49E"/>
    <w:lvl w:ilvl="0" w:tplc="94D432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485579"/>
    <w:multiLevelType w:val="hybridMultilevel"/>
    <w:tmpl w:val="9CECA918"/>
    <w:lvl w:ilvl="0" w:tplc="F42496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32098"/>
    <w:multiLevelType w:val="hybridMultilevel"/>
    <w:tmpl w:val="22EE75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866B04"/>
    <w:multiLevelType w:val="hybridMultilevel"/>
    <w:tmpl w:val="8C507A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A5674"/>
    <w:multiLevelType w:val="hybridMultilevel"/>
    <w:tmpl w:val="EE38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94CD6"/>
    <w:multiLevelType w:val="hybridMultilevel"/>
    <w:tmpl w:val="D3C48F9A"/>
    <w:lvl w:ilvl="0" w:tplc="2E62F1EE">
      <w:numFmt w:val="bullet"/>
      <w:lvlText w:val="-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606D0"/>
    <w:multiLevelType w:val="hybridMultilevel"/>
    <w:tmpl w:val="758CDE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A112A"/>
    <w:multiLevelType w:val="hybridMultilevel"/>
    <w:tmpl w:val="9A206AB6"/>
    <w:lvl w:ilvl="0" w:tplc="8800F7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10FD"/>
    <w:multiLevelType w:val="hybridMultilevel"/>
    <w:tmpl w:val="EEBEA5F4"/>
    <w:lvl w:ilvl="0" w:tplc="39D624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31E35"/>
    <w:multiLevelType w:val="hybridMultilevel"/>
    <w:tmpl w:val="57EA2D8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E332F6"/>
    <w:multiLevelType w:val="hybridMultilevel"/>
    <w:tmpl w:val="C88419A0"/>
    <w:lvl w:ilvl="0" w:tplc="2E62F1EE">
      <w:numFmt w:val="bullet"/>
      <w:lvlText w:val="-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04780"/>
    <w:multiLevelType w:val="hybridMultilevel"/>
    <w:tmpl w:val="611E2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5"/>
  </w:num>
  <w:num w:numId="13">
    <w:abstractNumId w:val="8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87"/>
    <w:rsid w:val="00053E21"/>
    <w:rsid w:val="000A2C25"/>
    <w:rsid w:val="000A592B"/>
    <w:rsid w:val="000A6462"/>
    <w:rsid w:val="000A6BA2"/>
    <w:rsid w:val="000B5D7F"/>
    <w:rsid w:val="000C1140"/>
    <w:rsid w:val="000E7A44"/>
    <w:rsid w:val="00104C81"/>
    <w:rsid w:val="001062FD"/>
    <w:rsid w:val="0013179F"/>
    <w:rsid w:val="0015581C"/>
    <w:rsid w:val="00156E65"/>
    <w:rsid w:val="00170AE5"/>
    <w:rsid w:val="00173ED4"/>
    <w:rsid w:val="00187BFE"/>
    <w:rsid w:val="001A5DC8"/>
    <w:rsid w:val="001A60F6"/>
    <w:rsid w:val="001B5EC8"/>
    <w:rsid w:val="001F3710"/>
    <w:rsid w:val="002177B0"/>
    <w:rsid w:val="0022736F"/>
    <w:rsid w:val="002433FF"/>
    <w:rsid w:val="002457BE"/>
    <w:rsid w:val="00253185"/>
    <w:rsid w:val="002614D2"/>
    <w:rsid w:val="00265AE1"/>
    <w:rsid w:val="002B1E55"/>
    <w:rsid w:val="002C35B0"/>
    <w:rsid w:val="002E720B"/>
    <w:rsid w:val="00304768"/>
    <w:rsid w:val="003059DD"/>
    <w:rsid w:val="0031560D"/>
    <w:rsid w:val="003255A3"/>
    <w:rsid w:val="00326352"/>
    <w:rsid w:val="00326AA1"/>
    <w:rsid w:val="00327B83"/>
    <w:rsid w:val="00343FE4"/>
    <w:rsid w:val="00373301"/>
    <w:rsid w:val="003931CD"/>
    <w:rsid w:val="003A751C"/>
    <w:rsid w:val="003B5876"/>
    <w:rsid w:val="003C1252"/>
    <w:rsid w:val="003D3FED"/>
    <w:rsid w:val="003E5736"/>
    <w:rsid w:val="003F4104"/>
    <w:rsid w:val="003F41BC"/>
    <w:rsid w:val="00403463"/>
    <w:rsid w:val="00407EF1"/>
    <w:rsid w:val="004238D2"/>
    <w:rsid w:val="00454666"/>
    <w:rsid w:val="00473FDE"/>
    <w:rsid w:val="00477194"/>
    <w:rsid w:val="00477C13"/>
    <w:rsid w:val="0049212B"/>
    <w:rsid w:val="004A4516"/>
    <w:rsid w:val="004E5F57"/>
    <w:rsid w:val="00526541"/>
    <w:rsid w:val="005323C3"/>
    <w:rsid w:val="00534080"/>
    <w:rsid w:val="005636B9"/>
    <w:rsid w:val="005660D6"/>
    <w:rsid w:val="00586636"/>
    <w:rsid w:val="005B65C6"/>
    <w:rsid w:val="005E52F6"/>
    <w:rsid w:val="00615C40"/>
    <w:rsid w:val="0062308B"/>
    <w:rsid w:val="006233BE"/>
    <w:rsid w:val="00627887"/>
    <w:rsid w:val="00667F2B"/>
    <w:rsid w:val="006704FD"/>
    <w:rsid w:val="0067279B"/>
    <w:rsid w:val="006A55EE"/>
    <w:rsid w:val="006B675E"/>
    <w:rsid w:val="006D7310"/>
    <w:rsid w:val="006E447A"/>
    <w:rsid w:val="007517B8"/>
    <w:rsid w:val="00755FCE"/>
    <w:rsid w:val="00756698"/>
    <w:rsid w:val="00785718"/>
    <w:rsid w:val="007A7166"/>
    <w:rsid w:val="007C3FB8"/>
    <w:rsid w:val="007E190C"/>
    <w:rsid w:val="007F2F9C"/>
    <w:rsid w:val="00832E5F"/>
    <w:rsid w:val="00833740"/>
    <w:rsid w:val="00854CBF"/>
    <w:rsid w:val="00860FDE"/>
    <w:rsid w:val="00861038"/>
    <w:rsid w:val="00875681"/>
    <w:rsid w:val="00886A6D"/>
    <w:rsid w:val="008E4715"/>
    <w:rsid w:val="008F2F0B"/>
    <w:rsid w:val="008F3D93"/>
    <w:rsid w:val="008F3F57"/>
    <w:rsid w:val="00964F3F"/>
    <w:rsid w:val="009747E2"/>
    <w:rsid w:val="00986406"/>
    <w:rsid w:val="00997804"/>
    <w:rsid w:val="009E005E"/>
    <w:rsid w:val="009E5401"/>
    <w:rsid w:val="009E7F0E"/>
    <w:rsid w:val="00A32851"/>
    <w:rsid w:val="00A35054"/>
    <w:rsid w:val="00A3636B"/>
    <w:rsid w:val="00A549D9"/>
    <w:rsid w:val="00A728D2"/>
    <w:rsid w:val="00A74F0E"/>
    <w:rsid w:val="00A97181"/>
    <w:rsid w:val="00AC340B"/>
    <w:rsid w:val="00AC3F13"/>
    <w:rsid w:val="00AE63AE"/>
    <w:rsid w:val="00AE64AC"/>
    <w:rsid w:val="00B03316"/>
    <w:rsid w:val="00B147E5"/>
    <w:rsid w:val="00B25A98"/>
    <w:rsid w:val="00B613FA"/>
    <w:rsid w:val="00B747A0"/>
    <w:rsid w:val="00B81600"/>
    <w:rsid w:val="00B856C3"/>
    <w:rsid w:val="00B87AB8"/>
    <w:rsid w:val="00BA71F6"/>
    <w:rsid w:val="00BB3DB3"/>
    <w:rsid w:val="00BF1529"/>
    <w:rsid w:val="00BF5974"/>
    <w:rsid w:val="00C005CF"/>
    <w:rsid w:val="00C141EE"/>
    <w:rsid w:val="00C30F69"/>
    <w:rsid w:val="00C71387"/>
    <w:rsid w:val="00C7681F"/>
    <w:rsid w:val="00C83A6A"/>
    <w:rsid w:val="00C91407"/>
    <w:rsid w:val="00C94D31"/>
    <w:rsid w:val="00CC664C"/>
    <w:rsid w:val="00CE4E95"/>
    <w:rsid w:val="00CF0EDB"/>
    <w:rsid w:val="00CF4700"/>
    <w:rsid w:val="00CF547A"/>
    <w:rsid w:val="00D06269"/>
    <w:rsid w:val="00D105AF"/>
    <w:rsid w:val="00D45B6A"/>
    <w:rsid w:val="00D85232"/>
    <w:rsid w:val="00DC3BC4"/>
    <w:rsid w:val="00DD4FF6"/>
    <w:rsid w:val="00DE0CC7"/>
    <w:rsid w:val="00E2736E"/>
    <w:rsid w:val="00E56C79"/>
    <w:rsid w:val="00E66162"/>
    <w:rsid w:val="00ED0631"/>
    <w:rsid w:val="00ED146A"/>
    <w:rsid w:val="00F04971"/>
    <w:rsid w:val="00F53A18"/>
    <w:rsid w:val="00F86182"/>
    <w:rsid w:val="00F97185"/>
    <w:rsid w:val="00FC1043"/>
    <w:rsid w:val="00FF1D1A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71387"/>
    <w:pPr>
      <w:keepNext/>
      <w:jc w:val="both"/>
      <w:outlineLvl w:val="0"/>
    </w:pPr>
    <w:rPr>
      <w:szCs w:val="20"/>
      <w:u w:val="single"/>
    </w:rPr>
  </w:style>
  <w:style w:type="paragraph" w:styleId="Nadpis2">
    <w:name w:val="heading 2"/>
    <w:basedOn w:val="Normlny"/>
    <w:next w:val="Normlny"/>
    <w:link w:val="Nadpis2Char"/>
    <w:qFormat/>
    <w:rsid w:val="00C713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71387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C7138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rsid w:val="00C713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13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C71387"/>
    <w:rPr>
      <w:color w:val="0000FF"/>
      <w:u w:val="single"/>
    </w:rPr>
  </w:style>
  <w:style w:type="paragraph" w:customStyle="1" w:styleId="Default">
    <w:name w:val="Default"/>
    <w:rsid w:val="00C71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C71387"/>
    <w:pPr>
      <w:spacing w:before="100" w:beforeAutospacing="1" w:after="100" w:afterAutospacing="1"/>
    </w:pPr>
  </w:style>
  <w:style w:type="character" w:customStyle="1" w:styleId="cell">
    <w:name w:val="cell"/>
    <w:basedOn w:val="Predvolenpsmoodseku"/>
    <w:rsid w:val="00C71387"/>
  </w:style>
  <w:style w:type="paragraph" w:styleId="Odsekzoznamu">
    <w:name w:val="List Paragraph"/>
    <w:basedOn w:val="Normlny"/>
    <w:uiPriority w:val="34"/>
    <w:qFormat/>
    <w:rsid w:val="00C71387"/>
    <w:pPr>
      <w:ind w:left="720"/>
      <w:contextualSpacing/>
    </w:pPr>
    <w:rPr>
      <w:rFonts w:eastAsiaTheme="minorHAnsi"/>
      <w:lang w:eastAsia="hu-HU"/>
    </w:rPr>
  </w:style>
  <w:style w:type="paragraph" w:styleId="Pta">
    <w:name w:val="footer"/>
    <w:basedOn w:val="Normlny"/>
    <w:link w:val="PtaChar"/>
    <w:uiPriority w:val="99"/>
    <w:unhideWhenUsed/>
    <w:rsid w:val="00C713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13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516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BF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71387"/>
    <w:pPr>
      <w:keepNext/>
      <w:jc w:val="both"/>
      <w:outlineLvl w:val="0"/>
    </w:pPr>
    <w:rPr>
      <w:szCs w:val="20"/>
      <w:u w:val="single"/>
    </w:rPr>
  </w:style>
  <w:style w:type="paragraph" w:styleId="Nadpis2">
    <w:name w:val="heading 2"/>
    <w:basedOn w:val="Normlny"/>
    <w:next w:val="Normlny"/>
    <w:link w:val="Nadpis2Char"/>
    <w:qFormat/>
    <w:rsid w:val="00C713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71387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C7138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rsid w:val="00C713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13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C71387"/>
    <w:rPr>
      <w:color w:val="0000FF"/>
      <w:u w:val="single"/>
    </w:rPr>
  </w:style>
  <w:style w:type="paragraph" w:customStyle="1" w:styleId="Default">
    <w:name w:val="Default"/>
    <w:rsid w:val="00C71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C71387"/>
    <w:pPr>
      <w:spacing w:before="100" w:beforeAutospacing="1" w:after="100" w:afterAutospacing="1"/>
    </w:pPr>
  </w:style>
  <w:style w:type="character" w:customStyle="1" w:styleId="cell">
    <w:name w:val="cell"/>
    <w:basedOn w:val="Predvolenpsmoodseku"/>
    <w:rsid w:val="00C71387"/>
  </w:style>
  <w:style w:type="paragraph" w:styleId="Odsekzoznamu">
    <w:name w:val="List Paragraph"/>
    <w:basedOn w:val="Normlny"/>
    <w:uiPriority w:val="34"/>
    <w:qFormat/>
    <w:rsid w:val="00C71387"/>
    <w:pPr>
      <w:ind w:left="720"/>
      <w:contextualSpacing/>
    </w:pPr>
    <w:rPr>
      <w:rFonts w:eastAsiaTheme="minorHAnsi"/>
      <w:lang w:eastAsia="hu-HU"/>
    </w:rPr>
  </w:style>
  <w:style w:type="paragraph" w:styleId="Pta">
    <w:name w:val="footer"/>
    <w:basedOn w:val="Normlny"/>
    <w:link w:val="PtaChar"/>
    <w:uiPriority w:val="99"/>
    <w:unhideWhenUsed/>
    <w:rsid w:val="00C713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13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516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BF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3729-76BA-4BFD-AB7B-5234E18C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</dc:creator>
  <cp:lastModifiedBy>mata</cp:lastModifiedBy>
  <cp:revision>6</cp:revision>
  <cp:lastPrinted>2016-04-06T11:46:00Z</cp:lastPrinted>
  <dcterms:created xsi:type="dcterms:W3CDTF">2017-04-21T10:56:00Z</dcterms:created>
  <dcterms:modified xsi:type="dcterms:W3CDTF">2017-06-20T09:20:00Z</dcterms:modified>
</cp:coreProperties>
</file>