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55E1E" w:rsidRDefault="002124E2">
      <w:pPr>
        <w:pStyle w:val="normal"/>
        <w:jc w:val="center"/>
        <w:rPr>
          <w:b/>
          <w:sz w:val="20"/>
          <w:szCs w:val="20"/>
        </w:rPr>
      </w:pPr>
      <w:r>
        <w:rPr>
          <w:b/>
          <w:sz w:val="20"/>
          <w:szCs w:val="20"/>
        </w:rPr>
        <w:t>Poznámky  konsolidovanej účtovnej závierky</w:t>
      </w:r>
    </w:p>
    <w:p w:rsidR="00A55E1E" w:rsidRDefault="002124E2">
      <w:pPr>
        <w:pStyle w:val="normal"/>
        <w:jc w:val="center"/>
        <w:rPr>
          <w:b/>
          <w:sz w:val="20"/>
          <w:szCs w:val="20"/>
        </w:rPr>
      </w:pPr>
      <w:r>
        <w:rPr>
          <w:b/>
          <w:sz w:val="20"/>
          <w:szCs w:val="20"/>
        </w:rPr>
        <w:t>zostavenej k 31. decembru 2016</w:t>
      </w:r>
    </w:p>
    <w:p w:rsidR="00A55E1E" w:rsidRDefault="002124E2">
      <w:pPr>
        <w:pStyle w:val="normal"/>
        <w:jc w:val="center"/>
        <w:rPr>
          <w:b/>
          <w:i/>
          <w:color w:val="FF0000"/>
          <w:sz w:val="20"/>
          <w:szCs w:val="20"/>
        </w:rPr>
      </w:pPr>
      <w:r>
        <w:rPr>
          <w:sz w:val="20"/>
          <w:szCs w:val="20"/>
        </w:rPr>
        <w:t>(ďalej len ,,konsolidované poznámky“)</w:t>
      </w: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2124E2">
      <w:pPr>
        <w:pStyle w:val="Nadpis1"/>
        <w:rPr>
          <w:rFonts w:ascii="Times New Roman" w:eastAsia="Times New Roman" w:hAnsi="Times New Roman" w:cs="Times New Roman"/>
        </w:rPr>
      </w:pPr>
      <w:bookmarkStart w:id="0" w:name="30j0zll" w:colFirst="0" w:colLast="0"/>
      <w:bookmarkStart w:id="1" w:name="gjdgxs" w:colFirst="0" w:colLast="0"/>
      <w:bookmarkEnd w:id="0"/>
      <w:bookmarkEnd w:id="1"/>
      <w:r>
        <w:rPr>
          <w:rFonts w:ascii="Times New Roman" w:eastAsia="Times New Roman" w:hAnsi="Times New Roman" w:cs="Times New Roman"/>
        </w:rPr>
        <w:t>I.</w:t>
      </w:r>
      <w:r>
        <w:rPr>
          <w:rFonts w:ascii="Times New Roman" w:eastAsia="Times New Roman" w:hAnsi="Times New Roman" w:cs="Times New Roman"/>
          <w:sz w:val="16"/>
          <w:szCs w:val="16"/>
        </w:rPr>
        <w:t xml:space="preserve">      </w:t>
      </w:r>
      <w:r>
        <w:rPr>
          <w:rFonts w:ascii="Times New Roman" w:eastAsia="Times New Roman" w:hAnsi="Times New Roman" w:cs="Times New Roman"/>
        </w:rPr>
        <w:t>VŠEOBECNÉ ÚDAJE</w:t>
      </w:r>
    </w:p>
    <w:p w:rsidR="00A55E1E" w:rsidRDefault="002124E2">
      <w:pPr>
        <w:pStyle w:val="Nadpis2"/>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Identifikačné údaje konsolidujúcej účtovnej jednotky:</w:t>
      </w:r>
    </w:p>
    <w:p w:rsidR="00A55E1E" w:rsidRDefault="002124E2">
      <w:pPr>
        <w:pStyle w:val="normal"/>
        <w:rPr>
          <w:b/>
        </w:rPr>
      </w:pPr>
      <w:r>
        <w:t xml:space="preserve">Názov konsolidujúcej účtovnej jednotky: </w:t>
      </w:r>
      <w:r>
        <w:tab/>
      </w:r>
      <w:r>
        <w:rPr>
          <w:b/>
        </w:rPr>
        <w:t>Obec Malá Lehota</w:t>
      </w:r>
    </w:p>
    <w:p w:rsidR="00A55E1E" w:rsidRDefault="002124E2">
      <w:pPr>
        <w:pStyle w:val="normal"/>
      </w:pPr>
      <w:r>
        <w:t>Sídlo konsolidujúcej účtovnej jednotky:</w:t>
      </w:r>
      <w:r>
        <w:tab/>
      </w:r>
      <w:r>
        <w:rPr>
          <w:b/>
        </w:rPr>
        <w:t>Obecný úrad č. 383, 966 42  Malá Lehota</w:t>
      </w:r>
    </w:p>
    <w:p w:rsidR="00A55E1E" w:rsidRDefault="002124E2">
      <w:pPr>
        <w:pStyle w:val="normal"/>
      </w:pPr>
      <w:r>
        <w:t>IČO konsolidujúcej účtovnej jednotky:</w:t>
      </w:r>
      <w:r>
        <w:tab/>
      </w:r>
      <w:r>
        <w:rPr>
          <w:b/>
        </w:rPr>
        <w:t>00320862</w:t>
      </w:r>
    </w:p>
    <w:p w:rsidR="00A55E1E" w:rsidRDefault="002124E2">
      <w:pPr>
        <w:pStyle w:val="normal"/>
      </w:pPr>
      <w:r>
        <w:t xml:space="preserve">Dátum založenia/zriadenia konsolidujúcej účtovnej jednotky: </w:t>
      </w:r>
      <w:r>
        <w:rPr>
          <w:b/>
        </w:rPr>
        <w:t>01.07.1973</w:t>
      </w: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2124E2">
      <w:pPr>
        <w:pStyle w:val="normal"/>
        <w:jc w:val="both"/>
        <w:rPr>
          <w:sz w:val="20"/>
          <w:szCs w:val="20"/>
        </w:rPr>
      </w:pPr>
      <w:r>
        <w:rPr>
          <w:sz w:val="20"/>
          <w:szCs w:val="20"/>
        </w:rPr>
        <w:t>Konsolidovaná účtovná závierka konsolidovaného celku Obce Malá Lehota bola zostavená v súlade so zákonom č. 431/2002 Z. z. o účtovníctve v znení neskorších predpisov (ďalej len ,,zákon o účtovníctve“) a v súlade s Opatrením Ministerstva financií Slovenskej republiky zo dňa 17. decembra 2008 č. MF/27526/2008 – 31, ktorým sa ustanovujú podrobnosti metódach a postupoch konsolidácie vo verejnej správe a podrobnosti o usporiadaní a označovaní položiek konsolidovanej účtovnej závierky vo verejnej správe v znení neskorších predpisov.</w:t>
      </w:r>
    </w:p>
    <w:p w:rsidR="00A55E1E" w:rsidRDefault="00A55E1E">
      <w:pPr>
        <w:pStyle w:val="normal"/>
        <w:jc w:val="both"/>
        <w:rPr>
          <w:sz w:val="20"/>
          <w:szCs w:val="20"/>
        </w:rPr>
      </w:pPr>
    </w:p>
    <w:p w:rsidR="00A55E1E" w:rsidRDefault="002124E2">
      <w:pPr>
        <w:pStyle w:val="normal"/>
        <w:jc w:val="both"/>
        <w:rPr>
          <w:sz w:val="20"/>
          <w:szCs w:val="20"/>
        </w:rPr>
      </w:pPr>
      <w:r>
        <w:rPr>
          <w:sz w:val="20"/>
          <w:szCs w:val="20"/>
        </w:rPr>
        <w:t>Konsolidovaná účtovná závierka je sprístupnená k nahliadnutiu v sídle konsolidujúcej účtovnej jednotky Obce Malá Lehota.</w:t>
      </w:r>
    </w:p>
    <w:p w:rsidR="00A55E1E" w:rsidRDefault="00A55E1E">
      <w:pPr>
        <w:pStyle w:val="normal"/>
        <w:ind w:left="448" w:right="-79"/>
        <w:rPr>
          <w:sz w:val="20"/>
          <w:szCs w:val="20"/>
        </w:rPr>
      </w:pPr>
    </w:p>
    <w:p w:rsidR="00A55E1E" w:rsidRDefault="002124E2">
      <w:pPr>
        <w:pStyle w:val="Nadpis2"/>
        <w:rPr>
          <w:rFonts w:ascii="Times New Roman" w:eastAsia="Times New Roman" w:hAnsi="Times New Roman" w:cs="Times New Roman"/>
          <w:sz w:val="16"/>
          <w:szCs w:val="16"/>
        </w:rPr>
      </w:pPr>
      <w:r>
        <w:rPr>
          <w:rFonts w:ascii="Times New Roman" w:eastAsia="Times New Roman" w:hAnsi="Times New Roman" w:cs="Times New Roman"/>
        </w:rPr>
        <w:t>2.</w:t>
      </w:r>
      <w:r>
        <w:rPr>
          <w:rFonts w:ascii="Times New Roman" w:eastAsia="Times New Roman" w:hAnsi="Times New Roman" w:cs="Times New Roman"/>
          <w:sz w:val="16"/>
          <w:szCs w:val="16"/>
        </w:rPr>
        <w:t xml:space="preserve">     </w:t>
      </w:r>
      <w:r>
        <w:rPr>
          <w:rFonts w:ascii="Times New Roman" w:eastAsia="Times New Roman" w:hAnsi="Times New Roman" w:cs="Times New Roman"/>
        </w:rPr>
        <w:t>Informácie o konsolidovanom celku</w:t>
      </w:r>
    </w:p>
    <w:p w:rsidR="00A55E1E" w:rsidRDefault="002124E2">
      <w:pPr>
        <w:pStyle w:val="normal"/>
        <w:ind w:left="284"/>
        <w:rPr>
          <w:sz w:val="16"/>
          <w:szCs w:val="16"/>
        </w:rPr>
      </w:pPr>
      <w:r>
        <w:rPr>
          <w:sz w:val="16"/>
          <w:szCs w:val="16"/>
        </w:rPr>
        <w:t xml:space="preserve">Konsolidovaný celok </w:t>
      </w:r>
      <w:r>
        <w:rPr>
          <w:i/>
          <w:sz w:val="16"/>
          <w:szCs w:val="16"/>
        </w:rPr>
        <w:t>Obec Malá  Lehota</w:t>
      </w:r>
      <w:r>
        <w:rPr>
          <w:i/>
          <w:color w:val="FF0000"/>
          <w:sz w:val="16"/>
          <w:szCs w:val="16"/>
        </w:rPr>
        <w:t xml:space="preserve"> </w:t>
      </w:r>
      <w:r>
        <w:rPr>
          <w:sz w:val="16"/>
          <w:szCs w:val="16"/>
        </w:rPr>
        <w:t xml:space="preserve"> obsahuje tieto účtovné jednotky:</w:t>
      </w:r>
    </w:p>
    <w:tbl>
      <w:tblPr>
        <w:tblStyle w:val="a"/>
        <w:bidiVisual/>
        <w:tblW w:w="8930"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8"/>
        <w:gridCol w:w="1843"/>
        <w:gridCol w:w="1701"/>
        <w:gridCol w:w="2268"/>
      </w:tblGrid>
      <w:tr w:rsidR="00A55E1E">
        <w:tc>
          <w:tcPr>
            <w:tcW w:w="3118" w:type="dxa"/>
            <w:vAlign w:val="center"/>
          </w:tcPr>
          <w:p w:rsidR="00A55E1E" w:rsidRDefault="002124E2">
            <w:pPr>
              <w:pStyle w:val="normal"/>
              <w:jc w:val="center"/>
              <w:rPr>
                <w:b/>
                <w:sz w:val="16"/>
                <w:szCs w:val="16"/>
              </w:rPr>
            </w:pPr>
            <w:r>
              <w:rPr>
                <w:b/>
                <w:sz w:val="16"/>
                <w:szCs w:val="16"/>
              </w:rPr>
              <w:t>Názov  účtovnej jednotky</w:t>
            </w:r>
          </w:p>
        </w:tc>
        <w:tc>
          <w:tcPr>
            <w:tcW w:w="1843" w:type="dxa"/>
            <w:vAlign w:val="center"/>
          </w:tcPr>
          <w:p w:rsidR="00A55E1E" w:rsidRDefault="002124E2">
            <w:pPr>
              <w:pStyle w:val="normal"/>
              <w:jc w:val="center"/>
              <w:rPr>
                <w:b/>
                <w:sz w:val="16"/>
                <w:szCs w:val="16"/>
              </w:rPr>
            </w:pPr>
            <w:r>
              <w:rPr>
                <w:b/>
                <w:sz w:val="16"/>
                <w:szCs w:val="16"/>
              </w:rPr>
              <w:t>Právna forma</w:t>
            </w:r>
          </w:p>
        </w:tc>
        <w:tc>
          <w:tcPr>
            <w:tcW w:w="1701" w:type="dxa"/>
          </w:tcPr>
          <w:p w:rsidR="00A55E1E" w:rsidRDefault="002124E2">
            <w:pPr>
              <w:pStyle w:val="normal"/>
              <w:jc w:val="center"/>
              <w:rPr>
                <w:b/>
                <w:sz w:val="16"/>
                <w:szCs w:val="16"/>
              </w:rPr>
            </w:pPr>
            <w:r>
              <w:rPr>
                <w:b/>
                <w:sz w:val="16"/>
                <w:szCs w:val="16"/>
              </w:rPr>
              <w:t>Podiel konsolidujúcej ÚJ na ZI (%)</w:t>
            </w:r>
          </w:p>
        </w:tc>
        <w:tc>
          <w:tcPr>
            <w:tcW w:w="2268" w:type="dxa"/>
          </w:tcPr>
          <w:p w:rsidR="00A55E1E" w:rsidRDefault="002124E2">
            <w:pPr>
              <w:pStyle w:val="normal"/>
              <w:jc w:val="center"/>
              <w:rPr>
                <w:b/>
                <w:sz w:val="16"/>
                <w:szCs w:val="16"/>
              </w:rPr>
            </w:pPr>
            <w:r>
              <w:rPr>
                <w:b/>
                <w:sz w:val="16"/>
                <w:szCs w:val="16"/>
              </w:rPr>
              <w:t>Podiel konsolidujúcej ÚJ na hlasovacích právach (%)</w:t>
            </w:r>
          </w:p>
        </w:tc>
      </w:tr>
      <w:tr w:rsidR="00A55E1E">
        <w:tc>
          <w:tcPr>
            <w:tcW w:w="3118" w:type="dxa"/>
          </w:tcPr>
          <w:p w:rsidR="00A55E1E" w:rsidRDefault="002124E2">
            <w:pPr>
              <w:pStyle w:val="normal"/>
              <w:rPr>
                <w:b/>
                <w:sz w:val="20"/>
                <w:szCs w:val="20"/>
              </w:rPr>
            </w:pPr>
            <w:r>
              <w:rPr>
                <w:b/>
                <w:sz w:val="20"/>
                <w:szCs w:val="20"/>
              </w:rPr>
              <w:t>Základná škola s materskou školou Malá Lehota</w:t>
            </w:r>
          </w:p>
        </w:tc>
        <w:tc>
          <w:tcPr>
            <w:tcW w:w="1843" w:type="dxa"/>
          </w:tcPr>
          <w:p w:rsidR="00A55E1E" w:rsidRDefault="002124E2">
            <w:pPr>
              <w:pStyle w:val="normal"/>
              <w:rPr>
                <w:b/>
                <w:sz w:val="20"/>
                <w:szCs w:val="20"/>
              </w:rPr>
            </w:pPr>
            <w:r>
              <w:rPr>
                <w:b/>
                <w:sz w:val="20"/>
                <w:szCs w:val="20"/>
              </w:rPr>
              <w:t>Rozpočtová organizácia</w:t>
            </w:r>
          </w:p>
        </w:tc>
        <w:tc>
          <w:tcPr>
            <w:tcW w:w="1701" w:type="dxa"/>
          </w:tcPr>
          <w:p w:rsidR="00A55E1E" w:rsidRDefault="002124E2">
            <w:pPr>
              <w:pStyle w:val="normal"/>
              <w:rPr>
                <w:b/>
                <w:sz w:val="20"/>
                <w:szCs w:val="20"/>
              </w:rPr>
            </w:pPr>
            <w:r>
              <w:rPr>
                <w:b/>
                <w:sz w:val="20"/>
                <w:szCs w:val="20"/>
              </w:rPr>
              <w:t>100</w:t>
            </w:r>
          </w:p>
        </w:tc>
        <w:tc>
          <w:tcPr>
            <w:tcW w:w="2268" w:type="dxa"/>
          </w:tcPr>
          <w:p w:rsidR="00A55E1E" w:rsidRDefault="002124E2">
            <w:pPr>
              <w:pStyle w:val="normal"/>
              <w:rPr>
                <w:b/>
                <w:sz w:val="20"/>
                <w:szCs w:val="20"/>
              </w:rPr>
            </w:pPr>
            <w:r>
              <w:rPr>
                <w:b/>
                <w:sz w:val="20"/>
                <w:szCs w:val="20"/>
              </w:rPr>
              <w:t>100</w:t>
            </w:r>
          </w:p>
        </w:tc>
      </w:tr>
    </w:tbl>
    <w:p w:rsidR="00A55E1E" w:rsidRDefault="002124E2">
      <w:pPr>
        <w:pStyle w:val="normal"/>
        <w:ind w:left="448" w:right="-79"/>
        <w:rPr>
          <w:sz w:val="20"/>
          <w:szCs w:val="20"/>
        </w:rPr>
      </w:pPr>
      <w:r>
        <w:rPr>
          <w:sz w:val="20"/>
          <w:szCs w:val="20"/>
        </w:rPr>
        <w:t xml:space="preserve">Identifikačné údaje všetkých účtovných jednotiek konsolidovaného celku </w:t>
      </w:r>
      <w:r>
        <w:rPr>
          <w:i/>
          <w:sz w:val="20"/>
          <w:szCs w:val="20"/>
        </w:rPr>
        <w:t>Obce Malá  Lehota</w:t>
      </w:r>
      <w:r>
        <w:rPr>
          <w:i/>
          <w:color w:val="FF0000"/>
          <w:sz w:val="20"/>
          <w:szCs w:val="20"/>
        </w:rPr>
        <w:t xml:space="preserve"> </w:t>
      </w:r>
      <w:r>
        <w:rPr>
          <w:sz w:val="20"/>
          <w:szCs w:val="20"/>
        </w:rPr>
        <w:t xml:space="preserve"> sú uvedené v prílohe č. 1 poznámok konsolidovanej účtovnej závierky.</w:t>
      </w:r>
    </w:p>
    <w:p w:rsidR="00A55E1E" w:rsidRDefault="00A55E1E">
      <w:pPr>
        <w:pStyle w:val="normal"/>
        <w:ind w:left="426"/>
        <w:rPr>
          <w:sz w:val="16"/>
          <w:szCs w:val="16"/>
        </w:rPr>
      </w:pPr>
    </w:p>
    <w:p w:rsidR="00A55E1E" w:rsidRDefault="00A55E1E">
      <w:pPr>
        <w:pStyle w:val="normal"/>
        <w:rPr>
          <w:sz w:val="16"/>
          <w:szCs w:val="16"/>
        </w:rPr>
      </w:pPr>
    </w:p>
    <w:p w:rsidR="00A55E1E" w:rsidRDefault="002124E2">
      <w:pPr>
        <w:pStyle w:val="normal"/>
        <w:ind w:left="448" w:right="-79"/>
        <w:rPr>
          <w:sz w:val="20"/>
          <w:szCs w:val="20"/>
        </w:rPr>
      </w:pPr>
      <w:r>
        <w:rPr>
          <w:sz w:val="20"/>
          <w:szCs w:val="20"/>
        </w:rPr>
        <w:t>Nižšie sú uvedené účtovné jednotky, v ktorých má konsolidujúca účtovná jednotka podiel, ale nespĺňajú podmienky zahrnutia do konsolidovaného celku (v súlade s § 22 zákona o účtovníctve)  spolu s uvedením dôvodu nezahrnutia do konsolidovanej účtovnej závierky:</w:t>
      </w:r>
    </w:p>
    <w:tbl>
      <w:tblPr>
        <w:tblStyle w:val="a0"/>
        <w:bidiVisual/>
        <w:tblW w:w="8754" w:type="dxa"/>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94"/>
        <w:gridCol w:w="2716"/>
        <w:gridCol w:w="3044"/>
      </w:tblGrid>
      <w:tr w:rsidR="00A55E1E">
        <w:trPr>
          <w:trHeight w:val="260"/>
        </w:trPr>
        <w:tc>
          <w:tcPr>
            <w:tcW w:w="2994" w:type="dxa"/>
            <w:vAlign w:val="center"/>
          </w:tcPr>
          <w:p w:rsidR="00A55E1E" w:rsidRDefault="002124E2">
            <w:pPr>
              <w:pStyle w:val="normal"/>
              <w:ind w:left="448" w:right="-79"/>
              <w:rPr>
                <w:sz w:val="20"/>
                <w:szCs w:val="20"/>
              </w:rPr>
            </w:pPr>
            <w:r>
              <w:rPr>
                <w:sz w:val="20"/>
                <w:szCs w:val="20"/>
              </w:rPr>
              <w:t>Názov  účtovnej jednotky</w:t>
            </w:r>
          </w:p>
        </w:tc>
        <w:tc>
          <w:tcPr>
            <w:tcW w:w="2716" w:type="dxa"/>
            <w:vAlign w:val="center"/>
          </w:tcPr>
          <w:p w:rsidR="00A55E1E" w:rsidRDefault="002124E2">
            <w:pPr>
              <w:pStyle w:val="normal"/>
              <w:ind w:left="448" w:right="-79"/>
              <w:rPr>
                <w:sz w:val="20"/>
                <w:szCs w:val="20"/>
              </w:rPr>
            </w:pPr>
            <w:r>
              <w:rPr>
                <w:sz w:val="20"/>
                <w:szCs w:val="20"/>
              </w:rPr>
              <w:t>Sídlo</w:t>
            </w:r>
          </w:p>
        </w:tc>
        <w:tc>
          <w:tcPr>
            <w:tcW w:w="3044" w:type="dxa"/>
            <w:vAlign w:val="center"/>
          </w:tcPr>
          <w:p w:rsidR="00A55E1E" w:rsidRDefault="002124E2">
            <w:pPr>
              <w:pStyle w:val="normal"/>
              <w:ind w:left="448" w:right="-79"/>
              <w:rPr>
                <w:sz w:val="20"/>
                <w:szCs w:val="20"/>
              </w:rPr>
            </w:pPr>
            <w:r>
              <w:rPr>
                <w:sz w:val="20"/>
                <w:szCs w:val="20"/>
              </w:rPr>
              <w:t>Dôvod nezahrnutia do KÚZ</w:t>
            </w:r>
          </w:p>
        </w:tc>
      </w:tr>
      <w:tr w:rsidR="00A55E1E">
        <w:tc>
          <w:tcPr>
            <w:tcW w:w="2994" w:type="dxa"/>
          </w:tcPr>
          <w:p w:rsidR="00A55E1E" w:rsidRDefault="002124E2">
            <w:pPr>
              <w:pStyle w:val="normal"/>
              <w:ind w:left="448" w:right="-79"/>
              <w:rPr>
                <w:sz w:val="20"/>
                <w:szCs w:val="20"/>
              </w:rPr>
            </w:pPr>
            <w:r>
              <w:rPr>
                <w:sz w:val="20"/>
                <w:szCs w:val="20"/>
              </w:rPr>
              <w:t>Stredoslovenská vodárenská spoločnosť, a.s.</w:t>
            </w:r>
          </w:p>
        </w:tc>
        <w:tc>
          <w:tcPr>
            <w:tcW w:w="2716" w:type="dxa"/>
          </w:tcPr>
          <w:p w:rsidR="00A55E1E" w:rsidRDefault="002124E2">
            <w:pPr>
              <w:pStyle w:val="normal"/>
              <w:ind w:left="448" w:right="-79"/>
              <w:rPr>
                <w:sz w:val="20"/>
                <w:szCs w:val="20"/>
              </w:rPr>
            </w:pPr>
            <w:r>
              <w:rPr>
                <w:sz w:val="20"/>
                <w:szCs w:val="20"/>
              </w:rPr>
              <w:t>Partizánska cesta 5,       974 01  Banská Bystrica</w:t>
            </w:r>
          </w:p>
        </w:tc>
        <w:tc>
          <w:tcPr>
            <w:tcW w:w="3044" w:type="dxa"/>
          </w:tcPr>
          <w:p w:rsidR="00A55E1E" w:rsidRDefault="002124E2">
            <w:pPr>
              <w:pStyle w:val="normal"/>
              <w:ind w:left="448" w:right="-79"/>
              <w:rPr>
                <w:sz w:val="20"/>
                <w:szCs w:val="20"/>
              </w:rPr>
            </w:pPr>
            <w:r>
              <w:rPr>
                <w:sz w:val="20"/>
                <w:szCs w:val="20"/>
              </w:rPr>
              <w:t>Podiel na ZI a hlasovacích právach 0,139</w:t>
            </w:r>
          </w:p>
        </w:tc>
      </w:tr>
    </w:tbl>
    <w:p w:rsidR="00A55E1E" w:rsidRDefault="00A55E1E">
      <w:pPr>
        <w:pStyle w:val="normal"/>
        <w:ind w:left="448" w:right="-79"/>
        <w:rPr>
          <w:sz w:val="20"/>
          <w:szCs w:val="20"/>
        </w:rPr>
      </w:pPr>
    </w:p>
    <w:p w:rsidR="00A55E1E" w:rsidRDefault="002124E2">
      <w:pPr>
        <w:pStyle w:val="Nadpis2"/>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sz w:val="16"/>
          <w:szCs w:val="16"/>
        </w:rPr>
        <w:tab/>
        <w:t xml:space="preserve"> </w:t>
      </w:r>
      <w:r>
        <w:rPr>
          <w:rFonts w:ascii="Times New Roman" w:eastAsia="Times New Roman" w:hAnsi="Times New Roman" w:cs="Times New Roman"/>
        </w:rPr>
        <w:t>Informácie o organizačnej  štruktúre a hlavných predstaviteľoch konsolidujúcej účtovnej jednotky</w:t>
      </w:r>
    </w:p>
    <w:p w:rsidR="00A55E1E" w:rsidRDefault="002124E2">
      <w:pPr>
        <w:pStyle w:val="normal"/>
        <w:ind w:left="448" w:right="-79"/>
        <w:rPr>
          <w:sz w:val="20"/>
          <w:szCs w:val="20"/>
        </w:rPr>
      </w:pPr>
      <w:r>
        <w:rPr>
          <w:sz w:val="20"/>
          <w:szCs w:val="20"/>
        </w:rPr>
        <w:t>Dušan Pacalaj, starosta obce</w:t>
      </w:r>
    </w:p>
    <w:p w:rsidR="00A55E1E" w:rsidRDefault="002124E2">
      <w:pPr>
        <w:pStyle w:val="normal"/>
        <w:ind w:left="448" w:right="-79"/>
        <w:rPr>
          <w:sz w:val="20"/>
          <w:szCs w:val="20"/>
        </w:rPr>
      </w:pPr>
      <w:r>
        <w:rPr>
          <w:sz w:val="20"/>
          <w:szCs w:val="20"/>
        </w:rPr>
        <w:t>Vladimír Debnár, zástupca starostu obce</w:t>
      </w:r>
    </w:p>
    <w:p w:rsidR="00A55E1E" w:rsidRDefault="002124E2">
      <w:pPr>
        <w:pStyle w:val="normal"/>
        <w:ind w:left="448" w:right="-79"/>
        <w:rPr>
          <w:sz w:val="20"/>
          <w:szCs w:val="20"/>
        </w:rPr>
      </w:pPr>
      <w:r>
        <w:rPr>
          <w:sz w:val="20"/>
          <w:szCs w:val="20"/>
        </w:rPr>
        <w:t xml:space="preserve">Konsolidovaný celok mal v roku 2016  priemerne </w:t>
      </w:r>
      <w:r>
        <w:rPr>
          <w:i/>
          <w:sz w:val="20"/>
          <w:szCs w:val="20"/>
        </w:rPr>
        <w:t xml:space="preserve">28 </w:t>
      </w:r>
      <w:r>
        <w:rPr>
          <w:sz w:val="20"/>
          <w:szCs w:val="20"/>
        </w:rPr>
        <w:t xml:space="preserve">zamestnancov, z toho riadiacich pracovníkov </w:t>
      </w:r>
      <w:r>
        <w:rPr>
          <w:i/>
          <w:sz w:val="20"/>
          <w:szCs w:val="20"/>
        </w:rPr>
        <w:t>4.</w:t>
      </w:r>
    </w:p>
    <w:p w:rsidR="00A55E1E" w:rsidRDefault="00A55E1E">
      <w:pPr>
        <w:pStyle w:val="normal"/>
        <w:ind w:left="448" w:right="-79"/>
        <w:rPr>
          <w:sz w:val="20"/>
          <w:szCs w:val="20"/>
        </w:rPr>
      </w:pPr>
    </w:p>
    <w:p w:rsidR="00A55E1E" w:rsidRDefault="002124E2">
      <w:pPr>
        <w:pStyle w:val="Nadpis2"/>
        <w:rPr>
          <w:rFonts w:ascii="Times New Roman" w:eastAsia="Times New Roman" w:hAnsi="Times New Roman" w:cs="Times New Roman"/>
          <w:sz w:val="16"/>
          <w:szCs w:val="16"/>
        </w:rPr>
      </w:pPr>
      <w:r>
        <w:rPr>
          <w:rFonts w:ascii="Times New Roman" w:eastAsia="Times New Roman" w:hAnsi="Times New Roman" w:cs="Times New Roman"/>
        </w:rPr>
        <w:t>4.     Zmena konsolidovaného celku</w:t>
      </w:r>
    </w:p>
    <w:p w:rsidR="00A55E1E" w:rsidRDefault="002124E2">
      <w:pPr>
        <w:pStyle w:val="normal"/>
        <w:ind w:left="448" w:right="-79"/>
        <w:rPr>
          <w:color w:val="00B050"/>
          <w:sz w:val="20"/>
          <w:szCs w:val="20"/>
        </w:rPr>
      </w:pPr>
      <w:r>
        <w:rPr>
          <w:sz w:val="20"/>
          <w:szCs w:val="20"/>
        </w:rPr>
        <w:t>V priebehu účtovného obdobia od 1. januára 2016 do 31. decembra 2016 nedošlo k zmenám v štruktúre konsolidovaného celku Obec Malá Lehota.</w:t>
      </w:r>
      <w:r>
        <w:rPr>
          <w:color w:val="FF0000"/>
          <w:sz w:val="20"/>
          <w:szCs w:val="20"/>
        </w:rPr>
        <w:t xml:space="preserve"> </w:t>
      </w:r>
      <w:r>
        <w:rPr>
          <w:sz w:val="20"/>
          <w:szCs w:val="20"/>
        </w:rPr>
        <w:t xml:space="preserve"> </w:t>
      </w:r>
    </w:p>
    <w:p w:rsidR="00A55E1E" w:rsidRDefault="002124E2">
      <w:pPr>
        <w:pStyle w:val="Nadpis2"/>
        <w:rPr>
          <w:rFonts w:ascii="Times New Roman" w:eastAsia="Times New Roman" w:hAnsi="Times New Roman" w:cs="Times New Roman"/>
          <w:sz w:val="16"/>
          <w:szCs w:val="16"/>
        </w:rPr>
      </w:pPr>
      <w:r>
        <w:rPr>
          <w:rFonts w:ascii="Times New Roman" w:eastAsia="Times New Roman" w:hAnsi="Times New Roman" w:cs="Times New Roman"/>
        </w:rPr>
        <w:t xml:space="preserve">5.     Informácie o výsledku hospodárenia z dôvodu predaja majetku medzi účtovnými   jednotkami konsolidovaného celku </w:t>
      </w:r>
      <w:r>
        <w:rPr>
          <w:rFonts w:ascii="Times New Roman" w:eastAsia="Times New Roman" w:hAnsi="Times New Roman" w:cs="Times New Roman"/>
          <w:i/>
        </w:rPr>
        <w:t>Obce Malá Lehota.</w:t>
      </w:r>
    </w:p>
    <w:p w:rsidR="00A55E1E" w:rsidRDefault="002124E2">
      <w:pPr>
        <w:pStyle w:val="normal"/>
        <w:spacing w:before="120" w:line="360" w:lineRule="auto"/>
        <w:ind w:left="426"/>
        <w:jc w:val="both"/>
        <w:rPr>
          <w:sz w:val="20"/>
          <w:szCs w:val="20"/>
        </w:rPr>
      </w:pPr>
      <w:r>
        <w:rPr>
          <w:sz w:val="20"/>
          <w:szCs w:val="20"/>
        </w:rPr>
        <w:t xml:space="preserve">V priebehu účtovného obdobia roku 2016 sa medzi účtovnými jednotkami konsolidovaného celku </w:t>
      </w:r>
      <w:r>
        <w:rPr>
          <w:i/>
          <w:sz w:val="20"/>
          <w:szCs w:val="20"/>
        </w:rPr>
        <w:t xml:space="preserve">Obce </w:t>
      </w:r>
      <w:r>
        <w:rPr>
          <w:i/>
          <w:sz w:val="20"/>
          <w:szCs w:val="20"/>
        </w:rPr>
        <w:lastRenderedPageBreak/>
        <w:t xml:space="preserve">Malá Lehota </w:t>
      </w:r>
      <w:r>
        <w:rPr>
          <w:sz w:val="20"/>
          <w:szCs w:val="20"/>
        </w:rPr>
        <w:t>neuskutočnil nákup resp. predaj majetku.</w:t>
      </w:r>
    </w:p>
    <w:p w:rsidR="00A55E1E" w:rsidRDefault="00A55E1E">
      <w:pPr>
        <w:pStyle w:val="normal"/>
        <w:rPr>
          <w:sz w:val="16"/>
          <w:szCs w:val="16"/>
        </w:rPr>
      </w:pPr>
    </w:p>
    <w:p w:rsidR="00A55E1E" w:rsidRDefault="002124E2">
      <w:pPr>
        <w:pStyle w:val="Nadpis2"/>
        <w:rPr>
          <w:rFonts w:ascii="Times New Roman" w:eastAsia="Times New Roman" w:hAnsi="Times New Roman" w:cs="Times New Roman"/>
        </w:rPr>
      </w:pPr>
      <w:r>
        <w:rPr>
          <w:rFonts w:ascii="Times New Roman" w:eastAsia="Times New Roman" w:hAnsi="Times New Roman" w:cs="Times New Roman"/>
        </w:rPr>
        <w:t>6.     Informácie o účtovných zásadách a účtovných metódach</w:t>
      </w:r>
    </w:p>
    <w:p w:rsidR="00A55E1E" w:rsidRDefault="002124E2">
      <w:pPr>
        <w:pStyle w:val="normal"/>
        <w:numPr>
          <w:ilvl w:val="0"/>
          <w:numId w:val="2"/>
        </w:numPr>
        <w:spacing w:before="60" w:after="120"/>
        <w:ind w:hanging="465"/>
        <w:jc w:val="both"/>
        <w:rPr>
          <w:sz w:val="16"/>
          <w:szCs w:val="16"/>
        </w:rPr>
      </w:pPr>
      <w:r>
        <w:rPr>
          <w:b/>
          <w:sz w:val="16"/>
          <w:szCs w:val="16"/>
        </w:rPr>
        <w:t>Dlhodobý nehmotný a dlhodobý hmotný majetok</w:t>
      </w:r>
    </w:p>
    <w:p w:rsidR="00A55E1E" w:rsidRDefault="002124E2">
      <w:pPr>
        <w:pStyle w:val="normal"/>
        <w:ind w:left="448" w:right="-79"/>
        <w:rPr>
          <w:sz w:val="20"/>
          <w:szCs w:val="20"/>
        </w:rPr>
      </w:pPr>
      <w:r>
        <w:rPr>
          <w:sz w:val="20"/>
          <w:szCs w:val="20"/>
        </w:rPr>
        <w:t>Dlhodobý majetok obstaraný kúpou sa oceňuje obstarávacou cenou, ktorá zahrňuje cenu obstarania a náklady súvisiace s obstaraním (clo, prepravu, montáž, poistné a pod.). Súčasťou obstarávacej ceny dlhodobého hmotného a nehmotného majetku  nie sú úroky z úverov. Zľava z ceny, ktorú poskytol dodávateľ k majetku sa účtuje ako zníženie nákladov na predaný alebo spotrebovaný majetok.</w:t>
      </w:r>
    </w:p>
    <w:p w:rsidR="00A55E1E" w:rsidRDefault="00A55E1E">
      <w:pPr>
        <w:pStyle w:val="normal"/>
        <w:ind w:left="540" w:hanging="540"/>
        <w:jc w:val="both"/>
        <w:rPr>
          <w:sz w:val="16"/>
          <w:szCs w:val="16"/>
        </w:rPr>
      </w:pPr>
    </w:p>
    <w:p w:rsidR="00A55E1E" w:rsidRDefault="002124E2">
      <w:pPr>
        <w:pStyle w:val="normal"/>
        <w:ind w:left="448" w:right="-79"/>
        <w:rPr>
          <w:sz w:val="20"/>
          <w:szCs w:val="20"/>
        </w:rPr>
      </w:pPr>
      <w:r>
        <w:rPr>
          <w:sz w:val="20"/>
          <w:szCs w:val="20"/>
        </w:rPr>
        <w:t xml:space="preserve">Hodnota obstarávaného dlhodobého hmotného majetku, ktorý sa používa, sa trvalo zníži o oprávky, ktoré zodpovedajú výške opotrebenia majetku. </w:t>
      </w:r>
    </w:p>
    <w:p w:rsidR="00A55E1E" w:rsidRDefault="00A55E1E">
      <w:pPr>
        <w:pStyle w:val="normal"/>
        <w:ind w:left="448" w:right="-79"/>
        <w:rPr>
          <w:sz w:val="20"/>
          <w:szCs w:val="20"/>
        </w:rPr>
      </w:pPr>
    </w:p>
    <w:p w:rsidR="00A55E1E" w:rsidRDefault="002124E2">
      <w:pPr>
        <w:pStyle w:val="normal"/>
        <w:ind w:left="448" w:right="-79"/>
        <w:rPr>
          <w:sz w:val="20"/>
          <w:szCs w:val="20"/>
        </w:rPr>
      </w:pPr>
      <w:r>
        <w:rPr>
          <w:sz w:val="20"/>
          <w:szCs w:val="20"/>
        </w:rPr>
        <w:t xml:space="preserve">O opravných položkách sa účtuje v prípade prechodného zníženia hodnoty majetku ku dňu, ku ktorému sa zostavuje účtovná závierka. </w:t>
      </w:r>
    </w:p>
    <w:p w:rsidR="00A55E1E" w:rsidRDefault="00A55E1E">
      <w:pPr>
        <w:pStyle w:val="normal"/>
        <w:ind w:left="448" w:right="-79"/>
        <w:rPr>
          <w:sz w:val="20"/>
          <w:szCs w:val="20"/>
        </w:rPr>
      </w:pPr>
    </w:p>
    <w:p w:rsidR="00A55E1E" w:rsidRDefault="002124E2">
      <w:pPr>
        <w:pStyle w:val="normal"/>
        <w:ind w:left="448" w:right="-79"/>
        <w:rPr>
          <w:sz w:val="20"/>
          <w:szCs w:val="20"/>
        </w:rPr>
      </w:pPr>
      <w:r>
        <w:rPr>
          <w:sz w:val="20"/>
          <w:szCs w:val="20"/>
        </w:rPr>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A55E1E" w:rsidRDefault="00A55E1E">
      <w:pPr>
        <w:pStyle w:val="normal"/>
        <w:ind w:left="448" w:right="-79"/>
        <w:rPr>
          <w:sz w:val="20"/>
          <w:szCs w:val="20"/>
        </w:rPr>
      </w:pPr>
    </w:p>
    <w:p w:rsidR="00A55E1E" w:rsidRDefault="002124E2">
      <w:pPr>
        <w:pStyle w:val="normal"/>
        <w:ind w:left="448" w:right="-79"/>
        <w:rPr>
          <w:sz w:val="20"/>
          <w:szCs w:val="20"/>
        </w:rPr>
      </w:pPr>
      <w:r>
        <w:rPr>
          <w:sz w:val="20"/>
          <w:szCs w:val="20"/>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A55E1E" w:rsidRDefault="00A55E1E">
      <w:pPr>
        <w:pStyle w:val="normal"/>
        <w:ind w:left="448" w:right="-79"/>
        <w:rPr>
          <w:sz w:val="20"/>
          <w:szCs w:val="20"/>
        </w:rPr>
      </w:pPr>
    </w:p>
    <w:p w:rsidR="00A55E1E" w:rsidRDefault="002124E2">
      <w:pPr>
        <w:pStyle w:val="normal"/>
        <w:ind w:left="448" w:right="-79"/>
        <w:rPr>
          <w:sz w:val="20"/>
          <w:szCs w:val="20"/>
        </w:rPr>
      </w:pPr>
      <w:r>
        <w:rPr>
          <w:sz w:val="20"/>
          <w:szCs w:val="20"/>
        </w:rPr>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w:t>
      </w:r>
    </w:p>
    <w:p w:rsidR="00A55E1E" w:rsidRDefault="002124E2">
      <w:pPr>
        <w:pStyle w:val="normal"/>
        <w:ind w:left="448" w:right="-79"/>
        <w:rPr>
          <w:sz w:val="20"/>
          <w:szCs w:val="20"/>
        </w:rPr>
      </w:pPr>
      <w:r>
        <w:rPr>
          <w:sz w:val="20"/>
          <w:szCs w:val="20"/>
        </w:rPr>
        <w:tab/>
      </w:r>
      <w:r>
        <w:rPr>
          <w:sz w:val="20"/>
          <w:szCs w:val="20"/>
        </w:rPr>
        <w:tab/>
      </w:r>
    </w:p>
    <w:p w:rsidR="00A55E1E" w:rsidRDefault="002124E2">
      <w:pPr>
        <w:pStyle w:val="normal"/>
        <w:numPr>
          <w:ilvl w:val="0"/>
          <w:numId w:val="2"/>
        </w:numPr>
        <w:spacing w:before="60" w:after="120"/>
        <w:ind w:hanging="465"/>
        <w:jc w:val="both"/>
        <w:rPr>
          <w:sz w:val="16"/>
          <w:szCs w:val="16"/>
        </w:rPr>
      </w:pPr>
      <w:r>
        <w:rPr>
          <w:b/>
          <w:sz w:val="16"/>
          <w:szCs w:val="16"/>
        </w:rPr>
        <w:t>Dlhodobý finančný majetok</w:t>
      </w:r>
    </w:p>
    <w:p w:rsidR="00A55E1E" w:rsidRDefault="002124E2">
      <w:pPr>
        <w:pStyle w:val="normal"/>
        <w:ind w:left="448" w:right="-79"/>
        <w:rPr>
          <w:sz w:val="20"/>
          <w:szCs w:val="20"/>
        </w:rPr>
      </w:pPr>
      <w:r>
        <w:rPr>
          <w:sz w:val="20"/>
          <w:szCs w:val="20"/>
        </w:rPr>
        <w:t xml:space="preserve">Finančné investície, cenné papiere a majetkové účasti sa oceňujú obstarávacou cenou, vrátane nákladov súvisiacich s obstaraním (provízie maklérom, poplatky burze). </w:t>
      </w:r>
    </w:p>
    <w:p w:rsidR="00A55E1E" w:rsidRDefault="00A55E1E">
      <w:pPr>
        <w:pStyle w:val="normal"/>
        <w:ind w:left="448" w:right="-79"/>
        <w:rPr>
          <w:sz w:val="20"/>
          <w:szCs w:val="20"/>
        </w:rPr>
      </w:pPr>
    </w:p>
    <w:p w:rsidR="00A55E1E" w:rsidRDefault="002124E2">
      <w:pPr>
        <w:pStyle w:val="normal"/>
        <w:numPr>
          <w:ilvl w:val="0"/>
          <w:numId w:val="2"/>
        </w:numPr>
        <w:spacing w:before="60" w:after="120"/>
        <w:ind w:hanging="465"/>
        <w:jc w:val="both"/>
        <w:rPr>
          <w:sz w:val="16"/>
          <w:szCs w:val="16"/>
        </w:rPr>
      </w:pPr>
      <w:r>
        <w:rPr>
          <w:b/>
          <w:sz w:val="16"/>
          <w:szCs w:val="16"/>
        </w:rPr>
        <w:t>Zásoby</w:t>
      </w:r>
    </w:p>
    <w:p w:rsidR="00A55E1E" w:rsidRDefault="002124E2">
      <w:pPr>
        <w:pStyle w:val="normal"/>
        <w:spacing w:before="60" w:after="120"/>
        <w:ind w:left="465" w:hanging="465"/>
        <w:jc w:val="both"/>
        <w:rPr>
          <w:sz w:val="20"/>
          <w:szCs w:val="20"/>
        </w:rPr>
      </w:pPr>
      <w:r>
        <w:rPr>
          <w:sz w:val="20"/>
          <w:szCs w:val="20"/>
        </w:rPr>
        <w:t>Zásoby nakupované sa oceňujú obstarávacou cenou, ktorá zahrňuje cenu obstarania a náklady súvisiace s obstaraním (clo, dovoznú prirážku, prepravu, poistné, provízie, skonto a pod.). Úroky z cudzích zdrojov nie sú súčasťou obstarávacej ceny. Nakupované zásoby sú oceňované váženým aritmetickým priemerom z obstarávacích cien.</w:t>
      </w:r>
    </w:p>
    <w:p w:rsidR="00A55E1E" w:rsidRDefault="002124E2">
      <w:pPr>
        <w:pStyle w:val="normal"/>
        <w:spacing w:before="60" w:after="120"/>
        <w:ind w:left="465" w:hanging="465"/>
        <w:jc w:val="both"/>
        <w:rPr>
          <w:sz w:val="20"/>
          <w:szCs w:val="20"/>
        </w:rPr>
      </w:pPr>
      <w:r>
        <w:rPr>
          <w:sz w:val="20"/>
          <w:szCs w:val="20"/>
        </w:rPr>
        <w:t>Zásoby vytvorené vlastnou činnosťou sa oceňujú vlastnými nákladmi. Toto ocenenie sa upravuje o zníženie hodnoty zásob.</w:t>
      </w:r>
    </w:p>
    <w:p w:rsidR="00A55E1E" w:rsidRDefault="00A55E1E">
      <w:pPr>
        <w:pStyle w:val="normal"/>
        <w:ind w:left="448" w:right="-79"/>
        <w:rPr>
          <w:sz w:val="20"/>
          <w:szCs w:val="20"/>
        </w:rPr>
      </w:pPr>
    </w:p>
    <w:p w:rsidR="00A55E1E" w:rsidRDefault="002124E2">
      <w:pPr>
        <w:pStyle w:val="normal"/>
        <w:numPr>
          <w:ilvl w:val="0"/>
          <w:numId w:val="2"/>
        </w:numPr>
        <w:spacing w:before="60" w:after="120"/>
        <w:ind w:hanging="465"/>
        <w:jc w:val="both"/>
        <w:rPr>
          <w:sz w:val="16"/>
          <w:szCs w:val="16"/>
        </w:rPr>
      </w:pPr>
      <w:r>
        <w:rPr>
          <w:b/>
          <w:sz w:val="16"/>
          <w:szCs w:val="16"/>
        </w:rPr>
        <w:t>Pohľadávky</w:t>
      </w:r>
    </w:p>
    <w:p w:rsidR="00A55E1E" w:rsidRDefault="002124E2">
      <w:pPr>
        <w:pStyle w:val="normal"/>
        <w:ind w:left="448" w:right="-79"/>
        <w:rPr>
          <w:sz w:val="20"/>
          <w:szCs w:val="20"/>
        </w:rPr>
      </w:pPr>
      <w:r>
        <w:rPr>
          <w:sz w:val="20"/>
          <w:szCs w:val="20"/>
        </w:rPr>
        <w:t>Pohľadávky pri ich vzniku sa oceňujú menovitou hodnotou. Pohľadávky pri odplatnom nadobudnutí alebo pohľadávky nadobudnuté vkladom do základného imania sa oceňujú obstarávacou cenou, t.j. vrátane nákladov súvisiacich s obstaraním.</w:t>
      </w:r>
    </w:p>
    <w:p w:rsidR="00A55E1E" w:rsidRDefault="002124E2">
      <w:pPr>
        <w:pStyle w:val="normal"/>
        <w:ind w:left="448" w:right="-79"/>
        <w:rPr>
          <w:sz w:val="20"/>
          <w:szCs w:val="20"/>
        </w:rPr>
      </w:pPr>
      <w:r>
        <w:rPr>
          <w:sz w:val="20"/>
          <w:szCs w:val="20"/>
        </w:rPr>
        <w:t xml:space="preserve"> </w:t>
      </w:r>
    </w:p>
    <w:p w:rsidR="00A55E1E" w:rsidRDefault="002124E2">
      <w:pPr>
        <w:pStyle w:val="normal"/>
        <w:ind w:left="448" w:right="-79"/>
        <w:rPr>
          <w:color w:val="00B050"/>
          <w:sz w:val="20"/>
          <w:szCs w:val="20"/>
        </w:rPr>
      </w:pPr>
      <w:r>
        <w:rPr>
          <w:sz w:val="20"/>
          <w:szCs w:val="20"/>
        </w:rPr>
        <w:t xml:space="preserve">Opravná položka sa vytvára napr. k pohľadávkam po splatnosti a nedobytným pohľadávkam, kde existuje riziko nevymožiteľnosti pohľadávok. </w:t>
      </w: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2124E2">
      <w:pPr>
        <w:pStyle w:val="normal"/>
        <w:numPr>
          <w:ilvl w:val="0"/>
          <w:numId w:val="2"/>
        </w:numPr>
        <w:spacing w:before="60" w:after="120"/>
        <w:ind w:hanging="465"/>
        <w:jc w:val="both"/>
        <w:rPr>
          <w:sz w:val="16"/>
          <w:szCs w:val="16"/>
        </w:rPr>
      </w:pPr>
      <w:r>
        <w:rPr>
          <w:b/>
          <w:sz w:val="16"/>
          <w:szCs w:val="16"/>
        </w:rPr>
        <w:t>Finančné účty</w:t>
      </w:r>
    </w:p>
    <w:p w:rsidR="00A55E1E" w:rsidRDefault="002124E2">
      <w:pPr>
        <w:pStyle w:val="normal"/>
        <w:ind w:left="448" w:right="-79"/>
        <w:rPr>
          <w:sz w:val="20"/>
          <w:szCs w:val="20"/>
        </w:rPr>
      </w:pPr>
      <w:r>
        <w:rPr>
          <w:sz w:val="20"/>
          <w:szCs w:val="20"/>
        </w:rPr>
        <w:t>Peňažné prostriedky a ceniny sa oceňujú menovitou hodnotou.</w:t>
      </w:r>
    </w:p>
    <w:p w:rsidR="00A55E1E" w:rsidRDefault="00A55E1E">
      <w:pPr>
        <w:pStyle w:val="normal"/>
        <w:ind w:left="448" w:right="-79"/>
        <w:rPr>
          <w:sz w:val="20"/>
          <w:szCs w:val="20"/>
        </w:rPr>
      </w:pPr>
    </w:p>
    <w:p w:rsidR="00A55E1E" w:rsidRDefault="002124E2">
      <w:pPr>
        <w:pStyle w:val="normal"/>
        <w:numPr>
          <w:ilvl w:val="0"/>
          <w:numId w:val="2"/>
        </w:numPr>
        <w:spacing w:before="60" w:after="120"/>
        <w:ind w:hanging="465"/>
        <w:jc w:val="both"/>
        <w:rPr>
          <w:sz w:val="16"/>
          <w:szCs w:val="16"/>
        </w:rPr>
      </w:pPr>
      <w:r>
        <w:rPr>
          <w:b/>
          <w:sz w:val="16"/>
          <w:szCs w:val="16"/>
        </w:rPr>
        <w:lastRenderedPageBreak/>
        <w:t>Náklady budúcich období a príjmy budúcich období</w:t>
      </w:r>
    </w:p>
    <w:p w:rsidR="00A55E1E" w:rsidRDefault="002124E2">
      <w:pPr>
        <w:pStyle w:val="normal"/>
        <w:ind w:left="448" w:right="-79"/>
        <w:rPr>
          <w:sz w:val="20"/>
          <w:szCs w:val="20"/>
        </w:rPr>
      </w:pPr>
      <w:r>
        <w:rPr>
          <w:sz w:val="20"/>
          <w:szCs w:val="20"/>
        </w:rPr>
        <w:t>Náklady budúcich období a príjmy budúcich období sú vykázané vo výške, ktorá je potrebná na dodržanie zásady vecnej a časovej súvislosti s účtovným obdobím.</w:t>
      </w:r>
    </w:p>
    <w:p w:rsidR="00A55E1E" w:rsidRDefault="00A55E1E">
      <w:pPr>
        <w:pStyle w:val="normal"/>
        <w:ind w:left="448" w:right="-79"/>
        <w:rPr>
          <w:sz w:val="20"/>
          <w:szCs w:val="20"/>
        </w:rPr>
      </w:pPr>
    </w:p>
    <w:p w:rsidR="00A55E1E" w:rsidRDefault="002124E2">
      <w:pPr>
        <w:pStyle w:val="normal"/>
        <w:numPr>
          <w:ilvl w:val="0"/>
          <w:numId w:val="2"/>
        </w:numPr>
        <w:spacing w:before="60" w:after="120"/>
        <w:ind w:hanging="465"/>
        <w:jc w:val="both"/>
        <w:rPr>
          <w:sz w:val="16"/>
          <w:szCs w:val="16"/>
        </w:rPr>
      </w:pPr>
      <w:r>
        <w:rPr>
          <w:b/>
          <w:sz w:val="16"/>
          <w:szCs w:val="16"/>
        </w:rPr>
        <w:t>Rezervy</w:t>
      </w:r>
    </w:p>
    <w:p w:rsidR="00A55E1E" w:rsidRDefault="002124E2">
      <w:pPr>
        <w:pStyle w:val="normal"/>
        <w:ind w:left="448" w:right="-79"/>
        <w:rPr>
          <w:sz w:val="20"/>
          <w:szCs w:val="20"/>
        </w:rPr>
      </w:pPr>
      <w:r>
        <w:rPr>
          <w:sz w:val="20"/>
          <w:szCs w:val="20"/>
        </w:rPr>
        <w:t xml:space="preserve">Rezervy sú záväzky s neurčitým časovým vymedzením alebo výškou a oceňujú sa v očakávanej výške záväzku. V účtovnej závierke sa tvorili rezervy najmä na nevyfakturované dodávky a služby, mzdy za dovolenku zamestnancov vrátane sociálneho a zdravotného poistenia, súdne spory a podobne. </w:t>
      </w:r>
    </w:p>
    <w:p w:rsidR="00A55E1E" w:rsidRDefault="00A55E1E">
      <w:pPr>
        <w:pStyle w:val="normal"/>
        <w:ind w:left="448" w:right="-79"/>
        <w:rPr>
          <w:sz w:val="20"/>
          <w:szCs w:val="20"/>
        </w:rPr>
      </w:pPr>
    </w:p>
    <w:p w:rsidR="00A55E1E" w:rsidRDefault="002124E2">
      <w:pPr>
        <w:pStyle w:val="normal"/>
        <w:numPr>
          <w:ilvl w:val="0"/>
          <w:numId w:val="2"/>
        </w:numPr>
        <w:spacing w:before="60" w:after="120"/>
        <w:ind w:hanging="465"/>
        <w:jc w:val="both"/>
        <w:rPr>
          <w:sz w:val="16"/>
          <w:szCs w:val="16"/>
        </w:rPr>
      </w:pPr>
      <w:r>
        <w:rPr>
          <w:b/>
          <w:sz w:val="16"/>
          <w:szCs w:val="16"/>
        </w:rPr>
        <w:t>Záväzky</w:t>
      </w:r>
    </w:p>
    <w:p w:rsidR="00A55E1E" w:rsidRDefault="002124E2">
      <w:pPr>
        <w:pStyle w:val="normal"/>
        <w:ind w:left="448" w:right="-79"/>
        <w:rPr>
          <w:sz w:val="20"/>
          <w:szCs w:val="20"/>
        </w:rPr>
      </w:pPr>
      <w:r>
        <w:rPr>
          <w:sz w:val="20"/>
          <w:szCs w:val="20"/>
        </w:rPr>
        <w:t xml:space="preserve">Záväzky sa pri ich vzniku oceňujú menovitou hodnotou a pri ich prevzatí sa oceňujú obstarávacou cenou. </w:t>
      </w:r>
    </w:p>
    <w:p w:rsidR="00A55E1E" w:rsidRDefault="002124E2">
      <w:pPr>
        <w:pStyle w:val="normal"/>
        <w:ind w:left="448" w:right="-79"/>
        <w:rPr>
          <w:sz w:val="20"/>
          <w:szCs w:val="20"/>
        </w:rPr>
      </w:pPr>
      <w:r>
        <w:rPr>
          <w:sz w:val="20"/>
          <w:szCs w:val="20"/>
        </w:rPr>
        <w:t>Ak sa pri inventarizácii zistí, že suma záväzkov je iná ako ich výška v účtovníctve, uvedú sa záväzky v účtovníctve a v účtovnej závierke v tomto zistenom ocenení.</w:t>
      </w:r>
    </w:p>
    <w:p w:rsidR="00A55E1E" w:rsidRDefault="00A55E1E">
      <w:pPr>
        <w:pStyle w:val="normal"/>
        <w:ind w:left="448" w:right="-79"/>
        <w:rPr>
          <w:sz w:val="20"/>
          <w:szCs w:val="20"/>
        </w:rPr>
      </w:pPr>
    </w:p>
    <w:p w:rsidR="00A55E1E" w:rsidRDefault="002124E2">
      <w:pPr>
        <w:pStyle w:val="normal"/>
        <w:numPr>
          <w:ilvl w:val="0"/>
          <w:numId w:val="2"/>
        </w:numPr>
        <w:spacing w:before="60" w:after="120"/>
        <w:ind w:hanging="465"/>
        <w:jc w:val="both"/>
        <w:rPr>
          <w:sz w:val="16"/>
          <w:szCs w:val="16"/>
        </w:rPr>
      </w:pPr>
      <w:r>
        <w:rPr>
          <w:b/>
          <w:sz w:val="16"/>
          <w:szCs w:val="16"/>
        </w:rPr>
        <w:t>Výdavky budúcich období a výnosy budúcich období</w:t>
      </w:r>
    </w:p>
    <w:p w:rsidR="00A55E1E" w:rsidRDefault="002124E2">
      <w:pPr>
        <w:pStyle w:val="normal"/>
        <w:ind w:left="448" w:right="-79"/>
        <w:rPr>
          <w:sz w:val="20"/>
          <w:szCs w:val="20"/>
        </w:rPr>
      </w:pPr>
      <w:r>
        <w:rPr>
          <w:sz w:val="20"/>
          <w:szCs w:val="20"/>
        </w:rPr>
        <w:t>Výdavky budúcich období a výnosy budúcich období sú vykázané vo výške, ktorá je potrebná na dodržanie zásady vecnej a časovej súvislosti s účtovným obdobím.</w:t>
      </w:r>
    </w:p>
    <w:p w:rsidR="00A55E1E" w:rsidRDefault="00A55E1E">
      <w:pPr>
        <w:pStyle w:val="normal"/>
        <w:ind w:left="448" w:right="-79"/>
        <w:rPr>
          <w:sz w:val="20"/>
          <w:szCs w:val="20"/>
        </w:rPr>
      </w:pPr>
    </w:p>
    <w:p w:rsidR="00A55E1E" w:rsidRDefault="002124E2">
      <w:pPr>
        <w:pStyle w:val="normal"/>
        <w:numPr>
          <w:ilvl w:val="0"/>
          <w:numId w:val="2"/>
        </w:numPr>
        <w:spacing w:before="60" w:after="120"/>
        <w:ind w:hanging="465"/>
        <w:jc w:val="both"/>
        <w:rPr>
          <w:sz w:val="16"/>
          <w:szCs w:val="16"/>
        </w:rPr>
      </w:pPr>
      <w:r>
        <w:rPr>
          <w:b/>
          <w:sz w:val="16"/>
          <w:szCs w:val="16"/>
        </w:rPr>
        <w:t>Deriváty</w:t>
      </w:r>
    </w:p>
    <w:p w:rsidR="00A55E1E" w:rsidRDefault="002124E2">
      <w:pPr>
        <w:pStyle w:val="normal"/>
        <w:ind w:left="448" w:right="-79"/>
        <w:rPr>
          <w:sz w:val="20"/>
          <w:szCs w:val="20"/>
        </w:rPr>
      </w:pPr>
      <w:r>
        <w:rPr>
          <w:sz w:val="20"/>
          <w:szCs w:val="20"/>
        </w:rPr>
        <w:t>Deriváty sa pri nadobudnutí oceňujú cenou obstarania a ku dňu, ku ktorému sa zostavuje účtovná závierka, reálnou hodnotou.</w:t>
      </w:r>
    </w:p>
    <w:p w:rsidR="00A55E1E" w:rsidRDefault="00A55E1E">
      <w:pPr>
        <w:pStyle w:val="normal"/>
        <w:ind w:left="448" w:right="-79"/>
        <w:rPr>
          <w:sz w:val="20"/>
          <w:szCs w:val="20"/>
        </w:rPr>
      </w:pPr>
    </w:p>
    <w:p w:rsidR="00A55E1E" w:rsidRDefault="002124E2">
      <w:pPr>
        <w:pStyle w:val="normal"/>
        <w:ind w:left="448" w:right="-79"/>
        <w:rPr>
          <w:sz w:val="20"/>
          <w:szCs w:val="20"/>
        </w:rPr>
      </w:pPr>
      <w:r>
        <w:rPr>
          <w:sz w:val="20"/>
          <w:szCs w:val="20"/>
        </w:rPr>
        <w:t>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w:t>
      </w:r>
    </w:p>
    <w:p w:rsidR="00A55E1E" w:rsidRDefault="00A55E1E">
      <w:pPr>
        <w:pStyle w:val="normal"/>
        <w:ind w:left="448" w:right="-79"/>
        <w:rPr>
          <w:sz w:val="20"/>
          <w:szCs w:val="20"/>
        </w:rPr>
      </w:pPr>
    </w:p>
    <w:p w:rsidR="00A55E1E" w:rsidRDefault="002124E2">
      <w:pPr>
        <w:pStyle w:val="normal"/>
        <w:ind w:left="448" w:right="-79"/>
        <w:rPr>
          <w:sz w:val="20"/>
          <w:szCs w:val="20"/>
        </w:rPr>
      </w:pPr>
      <w:r>
        <w:rPr>
          <w:sz w:val="20"/>
          <w:szCs w:val="20"/>
        </w:rPr>
        <w:t>Zmeny reálnych hodnôt derivátov určených na obchodovanie na tuzemskej burze, zahraničnej burze alebo inom verejnom trhu sa účtujú s vplyvom na výsledok hospodárenia na účtoch 567 a 667.</w:t>
      </w:r>
    </w:p>
    <w:p w:rsidR="00A55E1E" w:rsidRDefault="00A55E1E">
      <w:pPr>
        <w:pStyle w:val="normal"/>
        <w:ind w:left="448" w:right="-79"/>
        <w:rPr>
          <w:sz w:val="20"/>
          <w:szCs w:val="20"/>
        </w:rPr>
      </w:pPr>
    </w:p>
    <w:p w:rsidR="00A55E1E" w:rsidRDefault="002124E2">
      <w:pPr>
        <w:pStyle w:val="normal"/>
        <w:ind w:left="448" w:right="-79"/>
        <w:rPr>
          <w:sz w:val="20"/>
          <w:szCs w:val="20"/>
        </w:rPr>
      </w:pPr>
      <w:r>
        <w:rPr>
          <w:sz w:val="20"/>
          <w:szCs w:val="20"/>
        </w:rPr>
        <w:t>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A55E1E" w:rsidRDefault="00A55E1E">
      <w:pPr>
        <w:pStyle w:val="normal"/>
        <w:ind w:left="448" w:right="-79"/>
        <w:rPr>
          <w:sz w:val="20"/>
          <w:szCs w:val="20"/>
        </w:rPr>
      </w:pPr>
    </w:p>
    <w:p w:rsidR="00A55E1E" w:rsidRDefault="002124E2">
      <w:pPr>
        <w:pStyle w:val="normal"/>
        <w:numPr>
          <w:ilvl w:val="0"/>
          <w:numId w:val="2"/>
        </w:numPr>
        <w:spacing w:before="60" w:after="120"/>
        <w:ind w:hanging="465"/>
        <w:jc w:val="both"/>
        <w:rPr>
          <w:sz w:val="16"/>
          <w:szCs w:val="16"/>
        </w:rPr>
      </w:pPr>
      <w:r>
        <w:rPr>
          <w:b/>
          <w:sz w:val="16"/>
          <w:szCs w:val="16"/>
        </w:rPr>
        <w:t>Majetok a záväzky zabezpečené derivátmi</w:t>
      </w:r>
    </w:p>
    <w:p w:rsidR="00A55E1E" w:rsidRDefault="002124E2">
      <w:pPr>
        <w:pStyle w:val="normal"/>
        <w:ind w:left="448" w:right="-79"/>
        <w:rPr>
          <w:sz w:val="20"/>
          <w:szCs w:val="20"/>
        </w:rPr>
      </w:pPr>
      <w:r>
        <w:rPr>
          <w:sz w:val="20"/>
          <w:szCs w:val="20"/>
        </w:rPr>
        <w:t>Majetok a záväzky zabezpečené derivátmi sa oceňujú reálnou hodnotou. Zmeny reálnych hodnôt majetku a záväzkov zabezpečených derivátmi sa účtujú bez vplyvu na výsledok hospodárenia priamo do vlastného imania na účet 414.</w:t>
      </w:r>
    </w:p>
    <w:p w:rsidR="00A55E1E" w:rsidRDefault="00A55E1E">
      <w:pPr>
        <w:pStyle w:val="normal"/>
        <w:ind w:left="448" w:right="-79"/>
        <w:rPr>
          <w:sz w:val="20"/>
          <w:szCs w:val="20"/>
        </w:rPr>
      </w:pPr>
    </w:p>
    <w:p w:rsidR="00A55E1E" w:rsidRDefault="002124E2">
      <w:pPr>
        <w:pStyle w:val="normal"/>
        <w:numPr>
          <w:ilvl w:val="0"/>
          <w:numId w:val="2"/>
        </w:numPr>
        <w:spacing w:before="60" w:after="120"/>
        <w:ind w:hanging="465"/>
        <w:jc w:val="both"/>
        <w:rPr>
          <w:sz w:val="16"/>
          <w:szCs w:val="16"/>
        </w:rPr>
      </w:pPr>
      <w:r>
        <w:rPr>
          <w:b/>
          <w:sz w:val="16"/>
          <w:szCs w:val="16"/>
        </w:rPr>
        <w:t>Cudzia mena</w:t>
      </w:r>
    </w:p>
    <w:p w:rsidR="00A55E1E" w:rsidRDefault="002124E2">
      <w:pPr>
        <w:pStyle w:val="normal"/>
        <w:ind w:left="448" w:right="-79"/>
        <w:rPr>
          <w:sz w:val="20"/>
          <w:szCs w:val="20"/>
        </w:rPr>
      </w:pPr>
      <w:r>
        <w:rPr>
          <w:sz w:val="20"/>
          <w:szCs w:val="20"/>
        </w:rP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A55E1E" w:rsidRDefault="00A55E1E">
      <w:pPr>
        <w:pStyle w:val="normal"/>
        <w:ind w:left="448" w:right="-79"/>
        <w:rPr>
          <w:sz w:val="20"/>
          <w:szCs w:val="20"/>
        </w:rPr>
      </w:pPr>
    </w:p>
    <w:p w:rsidR="00A55E1E" w:rsidRDefault="002124E2">
      <w:pPr>
        <w:pStyle w:val="normal"/>
        <w:numPr>
          <w:ilvl w:val="0"/>
          <w:numId w:val="2"/>
        </w:numPr>
        <w:spacing w:before="60" w:after="120"/>
        <w:ind w:hanging="465"/>
        <w:jc w:val="both"/>
        <w:rPr>
          <w:sz w:val="16"/>
          <w:szCs w:val="16"/>
        </w:rPr>
      </w:pPr>
      <w:r>
        <w:rPr>
          <w:b/>
          <w:sz w:val="16"/>
          <w:szCs w:val="16"/>
        </w:rPr>
        <w:t xml:space="preserve">Výnosy </w:t>
      </w:r>
    </w:p>
    <w:p w:rsidR="00A55E1E" w:rsidRDefault="002124E2">
      <w:pPr>
        <w:pStyle w:val="normal"/>
        <w:ind w:left="448" w:right="-79"/>
        <w:rPr>
          <w:sz w:val="20"/>
          <w:szCs w:val="20"/>
        </w:rPr>
      </w:pPr>
      <w:r>
        <w:rPr>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zľavu. Tržby sú účtované ku dňu splnenia dodávky alebo služby.</w:t>
      </w:r>
    </w:p>
    <w:p w:rsidR="00A55E1E" w:rsidRDefault="00A55E1E">
      <w:pPr>
        <w:pStyle w:val="normal"/>
        <w:ind w:left="448" w:right="-79"/>
        <w:rPr>
          <w:sz w:val="20"/>
          <w:szCs w:val="20"/>
        </w:rPr>
      </w:pPr>
    </w:p>
    <w:p w:rsidR="00A55E1E" w:rsidRDefault="002124E2">
      <w:pPr>
        <w:pStyle w:val="normal"/>
        <w:ind w:left="448" w:right="-79"/>
        <w:rPr>
          <w:sz w:val="20"/>
          <w:szCs w:val="20"/>
        </w:rPr>
      </w:pPr>
      <w:r>
        <w:rPr>
          <w:sz w:val="20"/>
          <w:szCs w:val="20"/>
        </w:rPr>
        <w:t>O výnosoch z  poplatkov sa účtuje v časovej a vecnej súvislosti s vyrubením poplatkov (ak je účtovná jednotka výbercom poplatkov).</w:t>
      </w:r>
    </w:p>
    <w:p w:rsidR="00A55E1E" w:rsidRDefault="002124E2">
      <w:pPr>
        <w:pStyle w:val="Nadpis1"/>
        <w:rPr>
          <w:rFonts w:ascii="Times New Roman" w:eastAsia="Times New Roman" w:hAnsi="Times New Roman" w:cs="Times New Roman"/>
        </w:rPr>
      </w:pPr>
      <w:r>
        <w:rPr>
          <w:rFonts w:ascii="Times New Roman" w:eastAsia="Times New Roman" w:hAnsi="Times New Roman" w:cs="Times New Roman"/>
        </w:rPr>
        <w:t>II.    INFORMÁCIE O METÓDACH A POSTUPOCH KONSOLIDÁCIE</w:t>
      </w:r>
    </w:p>
    <w:p w:rsidR="00A55E1E" w:rsidRDefault="002124E2">
      <w:pPr>
        <w:pStyle w:val="normal"/>
        <w:numPr>
          <w:ilvl w:val="0"/>
          <w:numId w:val="1"/>
        </w:numPr>
        <w:spacing w:line="360" w:lineRule="auto"/>
        <w:ind w:left="426" w:hanging="426"/>
        <w:jc w:val="both"/>
        <w:rPr>
          <w:b/>
          <w:sz w:val="20"/>
          <w:szCs w:val="20"/>
        </w:rPr>
      </w:pPr>
      <w:r>
        <w:rPr>
          <w:b/>
          <w:sz w:val="20"/>
          <w:szCs w:val="20"/>
        </w:rPr>
        <w:t>Informácie o použitých metódach konsolidácie</w:t>
      </w:r>
    </w:p>
    <w:p w:rsidR="00A55E1E" w:rsidRDefault="002124E2">
      <w:pPr>
        <w:pStyle w:val="normal"/>
        <w:ind w:left="425"/>
        <w:jc w:val="both"/>
        <w:rPr>
          <w:sz w:val="16"/>
          <w:szCs w:val="16"/>
        </w:rPr>
      </w:pPr>
      <w:r>
        <w:rPr>
          <w:sz w:val="16"/>
          <w:szCs w:val="16"/>
        </w:rPr>
        <w:lastRenderedPageBreak/>
        <w:t xml:space="preserve">Konsolidované účtovné jednotky (obchodné spoločnosti) boli zahrnuté do konsolidovanej účtovnej závierky konsolidovaného celku </w:t>
      </w:r>
      <w:r>
        <w:rPr>
          <w:i/>
          <w:sz w:val="16"/>
          <w:szCs w:val="16"/>
        </w:rPr>
        <w:t>Obce Malá Lehota</w:t>
      </w:r>
      <w:r>
        <w:rPr>
          <w:i/>
          <w:color w:val="FF0000"/>
          <w:sz w:val="16"/>
          <w:szCs w:val="16"/>
        </w:rPr>
        <w:t xml:space="preserve"> </w:t>
      </w:r>
      <w:r>
        <w:rPr>
          <w:sz w:val="16"/>
          <w:szCs w:val="16"/>
        </w:rPr>
        <w:t xml:space="preserve"> metódou konsolidácie uvedenou v nasledujúcom prehľade: </w:t>
      </w:r>
    </w:p>
    <w:tbl>
      <w:tblPr>
        <w:tblStyle w:val="a1"/>
        <w:bidiVisual/>
        <w:tblW w:w="8754" w:type="dxa"/>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64"/>
        <w:gridCol w:w="1402"/>
        <w:gridCol w:w="1527"/>
        <w:gridCol w:w="1561"/>
      </w:tblGrid>
      <w:tr w:rsidR="00A55E1E">
        <w:tc>
          <w:tcPr>
            <w:tcW w:w="4264" w:type="dxa"/>
            <w:vAlign w:val="center"/>
          </w:tcPr>
          <w:p w:rsidR="00A55E1E" w:rsidRDefault="002124E2">
            <w:pPr>
              <w:pStyle w:val="normal"/>
              <w:jc w:val="center"/>
              <w:rPr>
                <w:b/>
                <w:sz w:val="16"/>
                <w:szCs w:val="16"/>
              </w:rPr>
            </w:pPr>
            <w:r>
              <w:rPr>
                <w:b/>
                <w:sz w:val="16"/>
                <w:szCs w:val="16"/>
              </w:rPr>
              <w:t>Názov resp. obchodné meno</w:t>
            </w:r>
          </w:p>
          <w:p w:rsidR="00A55E1E" w:rsidRDefault="002124E2">
            <w:pPr>
              <w:pStyle w:val="normal"/>
              <w:jc w:val="center"/>
              <w:rPr>
                <w:b/>
                <w:sz w:val="16"/>
                <w:szCs w:val="16"/>
              </w:rPr>
            </w:pPr>
            <w:r>
              <w:rPr>
                <w:b/>
                <w:sz w:val="16"/>
                <w:szCs w:val="16"/>
              </w:rPr>
              <w:t>konsolidovanej účtovnej jednotky</w:t>
            </w:r>
          </w:p>
        </w:tc>
        <w:tc>
          <w:tcPr>
            <w:tcW w:w="1402" w:type="dxa"/>
          </w:tcPr>
          <w:p w:rsidR="00A55E1E" w:rsidRDefault="002124E2">
            <w:pPr>
              <w:pStyle w:val="normal"/>
              <w:jc w:val="center"/>
              <w:rPr>
                <w:b/>
                <w:sz w:val="16"/>
                <w:szCs w:val="16"/>
              </w:rPr>
            </w:pPr>
            <w:r>
              <w:rPr>
                <w:b/>
                <w:sz w:val="16"/>
                <w:szCs w:val="16"/>
              </w:rPr>
              <w:t xml:space="preserve">Metóda </w:t>
            </w:r>
          </w:p>
          <w:p w:rsidR="00A55E1E" w:rsidRDefault="002124E2">
            <w:pPr>
              <w:pStyle w:val="normal"/>
              <w:jc w:val="center"/>
              <w:rPr>
                <w:b/>
                <w:sz w:val="16"/>
                <w:szCs w:val="16"/>
              </w:rPr>
            </w:pPr>
            <w:r>
              <w:rPr>
                <w:b/>
                <w:sz w:val="16"/>
                <w:szCs w:val="16"/>
              </w:rPr>
              <w:t>úplnej konsolidácie</w:t>
            </w:r>
          </w:p>
        </w:tc>
        <w:tc>
          <w:tcPr>
            <w:tcW w:w="1527" w:type="dxa"/>
          </w:tcPr>
          <w:p w:rsidR="00A55E1E" w:rsidRDefault="002124E2">
            <w:pPr>
              <w:pStyle w:val="normal"/>
              <w:jc w:val="center"/>
              <w:rPr>
                <w:b/>
                <w:sz w:val="16"/>
                <w:szCs w:val="16"/>
              </w:rPr>
            </w:pPr>
            <w:r>
              <w:rPr>
                <w:b/>
                <w:sz w:val="16"/>
                <w:szCs w:val="16"/>
              </w:rPr>
              <w:t xml:space="preserve">Metóda </w:t>
            </w:r>
          </w:p>
          <w:p w:rsidR="00A55E1E" w:rsidRDefault="002124E2">
            <w:pPr>
              <w:pStyle w:val="normal"/>
              <w:jc w:val="center"/>
              <w:rPr>
                <w:b/>
                <w:sz w:val="16"/>
                <w:szCs w:val="16"/>
              </w:rPr>
            </w:pPr>
            <w:r>
              <w:rPr>
                <w:b/>
                <w:sz w:val="16"/>
                <w:szCs w:val="16"/>
              </w:rPr>
              <w:t>podielovej konsolidácie</w:t>
            </w:r>
          </w:p>
        </w:tc>
        <w:tc>
          <w:tcPr>
            <w:tcW w:w="1561" w:type="dxa"/>
            <w:vAlign w:val="center"/>
          </w:tcPr>
          <w:p w:rsidR="00A55E1E" w:rsidRDefault="002124E2">
            <w:pPr>
              <w:pStyle w:val="normal"/>
              <w:jc w:val="center"/>
              <w:rPr>
                <w:b/>
                <w:sz w:val="16"/>
                <w:szCs w:val="16"/>
              </w:rPr>
            </w:pPr>
            <w:r>
              <w:rPr>
                <w:b/>
                <w:sz w:val="16"/>
                <w:szCs w:val="16"/>
              </w:rPr>
              <w:t>Metóda</w:t>
            </w:r>
          </w:p>
          <w:p w:rsidR="00A55E1E" w:rsidRDefault="002124E2">
            <w:pPr>
              <w:pStyle w:val="normal"/>
              <w:jc w:val="center"/>
              <w:rPr>
                <w:b/>
                <w:sz w:val="16"/>
                <w:szCs w:val="16"/>
              </w:rPr>
            </w:pPr>
            <w:r>
              <w:rPr>
                <w:b/>
                <w:sz w:val="16"/>
                <w:szCs w:val="16"/>
              </w:rPr>
              <w:t>vlastného imania</w:t>
            </w:r>
          </w:p>
        </w:tc>
      </w:tr>
      <w:tr w:rsidR="00A55E1E">
        <w:tc>
          <w:tcPr>
            <w:tcW w:w="4264" w:type="dxa"/>
          </w:tcPr>
          <w:p w:rsidR="00A55E1E" w:rsidRDefault="002124E2">
            <w:pPr>
              <w:pStyle w:val="normal"/>
              <w:jc w:val="center"/>
              <w:rPr>
                <w:i/>
                <w:sz w:val="16"/>
                <w:szCs w:val="16"/>
              </w:rPr>
            </w:pPr>
            <w:r>
              <w:rPr>
                <w:i/>
                <w:sz w:val="16"/>
                <w:szCs w:val="16"/>
              </w:rPr>
              <w:t>Základná škola s materskou školou Malá Lehota</w:t>
            </w:r>
          </w:p>
        </w:tc>
        <w:tc>
          <w:tcPr>
            <w:tcW w:w="1402" w:type="dxa"/>
          </w:tcPr>
          <w:p w:rsidR="00A55E1E" w:rsidRDefault="002124E2">
            <w:pPr>
              <w:pStyle w:val="normal"/>
              <w:jc w:val="center"/>
              <w:rPr>
                <w:i/>
                <w:sz w:val="16"/>
                <w:szCs w:val="16"/>
              </w:rPr>
            </w:pPr>
            <w:r>
              <w:rPr>
                <w:i/>
                <w:sz w:val="16"/>
                <w:szCs w:val="16"/>
              </w:rPr>
              <w:t>áno</w:t>
            </w:r>
          </w:p>
        </w:tc>
        <w:tc>
          <w:tcPr>
            <w:tcW w:w="1527" w:type="dxa"/>
          </w:tcPr>
          <w:p w:rsidR="00A55E1E" w:rsidRDefault="00A55E1E">
            <w:pPr>
              <w:pStyle w:val="normal"/>
              <w:jc w:val="center"/>
              <w:rPr>
                <w:i/>
                <w:color w:val="FF0000"/>
                <w:sz w:val="16"/>
                <w:szCs w:val="16"/>
              </w:rPr>
            </w:pPr>
          </w:p>
        </w:tc>
        <w:tc>
          <w:tcPr>
            <w:tcW w:w="1561" w:type="dxa"/>
          </w:tcPr>
          <w:p w:rsidR="00A55E1E" w:rsidRDefault="00A55E1E">
            <w:pPr>
              <w:pStyle w:val="normal"/>
              <w:jc w:val="center"/>
              <w:rPr>
                <w:i/>
                <w:color w:val="FF0000"/>
                <w:sz w:val="16"/>
                <w:szCs w:val="16"/>
              </w:rPr>
            </w:pPr>
          </w:p>
        </w:tc>
      </w:tr>
    </w:tbl>
    <w:p w:rsidR="00A55E1E" w:rsidRDefault="002124E2">
      <w:pPr>
        <w:pStyle w:val="normal"/>
        <w:spacing w:line="360" w:lineRule="auto"/>
        <w:ind w:left="426"/>
        <w:jc w:val="both"/>
        <w:rPr>
          <w:sz w:val="16"/>
          <w:szCs w:val="16"/>
        </w:rPr>
      </w:pPr>
      <w:r>
        <w:rPr>
          <w:sz w:val="16"/>
          <w:szCs w:val="16"/>
        </w:rPr>
        <w:t>Metóda úplnej konsolidácie bola použitá pri dcérskych účtovných jednotkách (rozpočtová organizácia).</w:t>
      </w:r>
    </w:p>
    <w:p w:rsidR="00A55E1E" w:rsidRDefault="00A55E1E">
      <w:pPr>
        <w:pStyle w:val="normal"/>
        <w:spacing w:line="360" w:lineRule="auto"/>
        <w:ind w:left="426"/>
        <w:jc w:val="both"/>
        <w:rPr>
          <w:sz w:val="16"/>
          <w:szCs w:val="16"/>
        </w:rPr>
      </w:pPr>
    </w:p>
    <w:p w:rsidR="00A55E1E" w:rsidRDefault="002124E2">
      <w:pPr>
        <w:pStyle w:val="normal"/>
        <w:numPr>
          <w:ilvl w:val="0"/>
          <w:numId w:val="1"/>
        </w:numPr>
        <w:spacing w:line="360" w:lineRule="auto"/>
        <w:ind w:left="426" w:hanging="426"/>
        <w:jc w:val="both"/>
        <w:rPr>
          <w:b/>
          <w:sz w:val="20"/>
          <w:szCs w:val="20"/>
        </w:rPr>
      </w:pPr>
      <w:r>
        <w:rPr>
          <w:b/>
          <w:sz w:val="20"/>
          <w:szCs w:val="20"/>
        </w:rPr>
        <w:t>Goodwill/záporný goodwill</w:t>
      </w:r>
    </w:p>
    <w:p w:rsidR="00A55E1E" w:rsidRDefault="002124E2">
      <w:pPr>
        <w:pStyle w:val="normal"/>
        <w:ind w:left="425"/>
        <w:jc w:val="both"/>
        <w:rPr>
          <w:sz w:val="16"/>
          <w:szCs w:val="16"/>
        </w:rPr>
      </w:pPr>
      <w:r>
        <w:rPr>
          <w:sz w:val="16"/>
          <w:szCs w:val="16"/>
        </w:rPr>
        <w:t xml:space="preserve">Konsolidovaný celok Obec Malá Lehota </w:t>
      </w:r>
      <w:r>
        <w:rPr>
          <w:i/>
          <w:sz w:val="16"/>
          <w:szCs w:val="16"/>
        </w:rPr>
        <w:t xml:space="preserve">nevykazuje </w:t>
      </w:r>
      <w:r>
        <w:rPr>
          <w:sz w:val="16"/>
          <w:szCs w:val="16"/>
        </w:rPr>
        <w:t xml:space="preserve">k 31. decembru 2016 goodwill </w:t>
      </w:r>
    </w:p>
    <w:p w:rsidR="00A55E1E" w:rsidRDefault="00A55E1E">
      <w:pPr>
        <w:pStyle w:val="normal"/>
        <w:spacing w:line="360" w:lineRule="auto"/>
        <w:ind w:left="426"/>
        <w:jc w:val="both"/>
        <w:rPr>
          <w:sz w:val="16"/>
          <w:szCs w:val="16"/>
        </w:rPr>
      </w:pPr>
    </w:p>
    <w:p w:rsidR="00A55E1E" w:rsidRDefault="002124E2">
      <w:pPr>
        <w:pStyle w:val="normal"/>
        <w:numPr>
          <w:ilvl w:val="0"/>
          <w:numId w:val="1"/>
        </w:numPr>
        <w:spacing w:line="360" w:lineRule="auto"/>
        <w:ind w:left="426" w:hanging="426"/>
        <w:jc w:val="both"/>
        <w:rPr>
          <w:b/>
          <w:sz w:val="20"/>
          <w:szCs w:val="20"/>
        </w:rPr>
      </w:pPr>
      <w:r>
        <w:rPr>
          <w:b/>
          <w:sz w:val="20"/>
          <w:szCs w:val="20"/>
        </w:rPr>
        <w:t>Konsolidácia medzivýsledku</w:t>
      </w:r>
    </w:p>
    <w:p w:rsidR="00A55E1E" w:rsidRDefault="002124E2">
      <w:pPr>
        <w:pStyle w:val="normal"/>
        <w:ind w:left="426"/>
        <w:jc w:val="both"/>
        <w:rPr>
          <w:color w:val="00B050"/>
          <w:sz w:val="16"/>
          <w:szCs w:val="16"/>
        </w:rPr>
      </w:pPr>
      <w:r>
        <w:rPr>
          <w:sz w:val="16"/>
          <w:szCs w:val="16"/>
        </w:rPr>
        <w:t xml:space="preserve">Konsolidovaný celok Obec Malá Lehota nevykazuje k 31. decembru 2016 medzivýsledok. </w:t>
      </w:r>
    </w:p>
    <w:p w:rsidR="00A55E1E" w:rsidRDefault="00A55E1E">
      <w:pPr>
        <w:pStyle w:val="Nadpis1"/>
        <w:rPr>
          <w:rFonts w:ascii="Times New Roman" w:eastAsia="Times New Roman" w:hAnsi="Times New Roman" w:cs="Times New Roman"/>
        </w:rPr>
      </w:pPr>
    </w:p>
    <w:p w:rsidR="00A55E1E" w:rsidRDefault="002124E2">
      <w:pPr>
        <w:pStyle w:val="Nadpis1"/>
        <w:rPr>
          <w:rFonts w:ascii="Times New Roman" w:eastAsia="Times New Roman" w:hAnsi="Times New Roman" w:cs="Times New Roman"/>
        </w:rPr>
      </w:pPr>
      <w:r>
        <w:rPr>
          <w:rFonts w:ascii="Times New Roman" w:eastAsia="Times New Roman" w:hAnsi="Times New Roman" w:cs="Times New Roman"/>
        </w:rPr>
        <w:t>III.    INFORMÁCIE O ÚDAJOCH NA STRANE AKTÍV A PASÍV SÚVAHY</w:t>
      </w:r>
    </w:p>
    <w:p w:rsidR="00A55E1E" w:rsidRDefault="002124E2">
      <w:pPr>
        <w:pStyle w:val="Nadpis2"/>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Dlhodobý majetok </w:t>
      </w:r>
    </w:p>
    <w:p w:rsidR="00A55E1E" w:rsidRDefault="002124E2">
      <w:pPr>
        <w:pStyle w:val="normal"/>
        <w:ind w:left="448" w:right="-79"/>
        <w:rPr>
          <w:sz w:val="20"/>
          <w:szCs w:val="20"/>
        </w:rPr>
      </w:pPr>
      <w:r>
        <w:rPr>
          <w:sz w:val="20"/>
          <w:szCs w:val="20"/>
        </w:rPr>
        <w:t xml:space="preserve">Prehľad o pohybe dlhodobého nehmotného a dlhodobého hmotného majetku od 1. januára 2016 do 31. decembra 2016 je uvedený  v tabuľkovej prílohe č. 2 konsolidovaných poznámok. </w:t>
      </w:r>
    </w:p>
    <w:p w:rsidR="00A55E1E" w:rsidRDefault="002124E2">
      <w:pPr>
        <w:pStyle w:val="normal"/>
        <w:ind w:left="448" w:right="-79"/>
        <w:rPr>
          <w:sz w:val="20"/>
          <w:szCs w:val="20"/>
        </w:rPr>
      </w:pPr>
      <w:r>
        <w:rPr>
          <w:sz w:val="20"/>
          <w:szCs w:val="20"/>
        </w:rPr>
        <w:t xml:space="preserve">V tabuľkovej prílohe č. 4 konsolidovaných poznámok sú uvedené taktiež detailnejšie informácie o dlhodobom finančnom majetku vykázanom v konsolidovanej účtovnej závierke k 31. decembru 2016. </w:t>
      </w:r>
    </w:p>
    <w:p w:rsidR="00A55E1E" w:rsidRDefault="00A55E1E">
      <w:pPr>
        <w:pStyle w:val="normal"/>
        <w:ind w:left="448" w:right="-79"/>
        <w:rPr>
          <w:sz w:val="20"/>
          <w:szCs w:val="20"/>
        </w:rPr>
      </w:pPr>
    </w:p>
    <w:p w:rsidR="00A55E1E" w:rsidRDefault="002124E2">
      <w:pPr>
        <w:pStyle w:val="Nadpis2"/>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Zásoby</w:t>
      </w:r>
    </w:p>
    <w:p w:rsidR="00A55E1E" w:rsidRDefault="002124E2">
      <w:pPr>
        <w:pStyle w:val="normal"/>
        <w:ind w:left="426"/>
        <w:jc w:val="both"/>
        <w:rPr>
          <w:sz w:val="20"/>
          <w:szCs w:val="20"/>
        </w:rPr>
      </w:pPr>
      <w:r>
        <w:rPr>
          <w:sz w:val="20"/>
          <w:szCs w:val="20"/>
        </w:rPr>
        <w:t xml:space="preserve">Zníženie úžitkovej hodnoty zásob sa zohľadňuje vytvorením opravnej položky, predovšetkým v dôsledku nadmernosti zásob. Konsolidovaný celok Obec Malá Lehota neeviduje k 31. decembru 2016 žiadne opravné položky k zásobám. Vývoj opravnej položky k zásobám je uvedený v tabuľkovej prílohe č. 7 konsolidovaných poznámok. </w:t>
      </w:r>
    </w:p>
    <w:p w:rsidR="00A55E1E" w:rsidRDefault="00A55E1E">
      <w:pPr>
        <w:pStyle w:val="normal"/>
        <w:ind w:left="448" w:right="-79"/>
        <w:rPr>
          <w:sz w:val="20"/>
          <w:szCs w:val="20"/>
        </w:rPr>
      </w:pPr>
    </w:p>
    <w:p w:rsidR="00A55E1E" w:rsidRDefault="002124E2">
      <w:pPr>
        <w:pStyle w:val="Nadpis2"/>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Pohľadávky</w:t>
      </w:r>
    </w:p>
    <w:p w:rsidR="00A55E1E" w:rsidRDefault="002124E2">
      <w:pPr>
        <w:pStyle w:val="normal"/>
        <w:ind w:left="448" w:right="-79"/>
        <w:rPr>
          <w:sz w:val="20"/>
          <w:szCs w:val="20"/>
        </w:rPr>
      </w:pPr>
      <w:bookmarkStart w:id="2" w:name="1fob9te" w:colFirst="0" w:colLast="0"/>
      <w:bookmarkStart w:id="3" w:name="3znysh7" w:colFirst="0" w:colLast="0"/>
      <w:bookmarkEnd w:id="2"/>
      <w:bookmarkEnd w:id="3"/>
      <w:r>
        <w:rPr>
          <w:sz w:val="20"/>
          <w:szCs w:val="20"/>
        </w:rPr>
        <w:t xml:space="preserve">K pochybným a nedobytným pohľadávkam, kde existuje riziko nevymožiteľnosti, sa vytvára  opravná položka. Vývoj opravnej položky k pohľadávkam je uvedený v tabuľkovej prílohe č. 8 , prehľad pohľadávok z hľadiska ich vekovej štruktúry a z hľadiska splatnosti je uvedený v tabuľkovej prílohe č. 9 konsolidovaných poznámok. </w:t>
      </w:r>
    </w:p>
    <w:p w:rsidR="00A55E1E" w:rsidRDefault="00A55E1E">
      <w:pPr>
        <w:pStyle w:val="normal"/>
        <w:ind w:left="448" w:right="-79"/>
        <w:rPr>
          <w:sz w:val="20"/>
          <w:szCs w:val="20"/>
        </w:rPr>
      </w:pPr>
    </w:p>
    <w:p w:rsidR="00875FFF" w:rsidRDefault="002124E2">
      <w:pPr>
        <w:pStyle w:val="normal"/>
        <w:ind w:left="448" w:right="-79"/>
        <w:rPr>
          <w:sz w:val="20"/>
          <w:szCs w:val="20"/>
        </w:rPr>
      </w:pPr>
      <w:r>
        <w:rPr>
          <w:sz w:val="20"/>
          <w:szCs w:val="20"/>
        </w:rPr>
        <w:t xml:space="preserve">Voči účtovnej jednotke súhrnného celku - Základná škola s materskou školou Malá Lehota  eviduje Obec Malá Lehota pohľadávku vo výške 351,40 €  </w:t>
      </w:r>
    </w:p>
    <w:p w:rsidR="00A55E1E" w:rsidRDefault="002124E2">
      <w:pPr>
        <w:pStyle w:val="normal"/>
        <w:ind w:left="448" w:right="-79"/>
        <w:rPr>
          <w:sz w:val="20"/>
          <w:szCs w:val="20"/>
        </w:rPr>
      </w:pPr>
      <w:r>
        <w:rPr>
          <w:sz w:val="20"/>
          <w:szCs w:val="20"/>
        </w:rPr>
        <w:t xml:space="preserve"> </w:t>
      </w:r>
    </w:p>
    <w:p w:rsidR="00A55E1E" w:rsidRDefault="002124E2">
      <w:pPr>
        <w:pStyle w:val="Nadpis2"/>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Časové rozlíšenie aktív</w:t>
      </w:r>
    </w:p>
    <w:p w:rsidR="00A55E1E" w:rsidRDefault="002124E2">
      <w:pPr>
        <w:pStyle w:val="normal"/>
        <w:ind w:left="448" w:right="-79"/>
        <w:rPr>
          <w:sz w:val="20"/>
          <w:szCs w:val="20"/>
        </w:rPr>
      </w:pPr>
      <w:r>
        <w:rPr>
          <w:sz w:val="20"/>
          <w:szCs w:val="20"/>
        </w:rPr>
        <w:t xml:space="preserve">V tabuľkovej prílohe č. 10 konsolidovaných poznámok sú uvedené významné položky časového rozlíšenia aktív – náklady budúcich období a v tabuľkovej prílohe č. 11 konsolidovaných poznámok sú uvedené významné položky časového rozlíšenia aktív – príjmy budúcich období . </w:t>
      </w:r>
    </w:p>
    <w:p w:rsidR="00A55E1E" w:rsidRDefault="002124E2">
      <w:pPr>
        <w:pStyle w:val="Nadpis2"/>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Vlastné imanie</w:t>
      </w:r>
    </w:p>
    <w:p w:rsidR="00A55E1E" w:rsidRDefault="002124E2">
      <w:pPr>
        <w:pStyle w:val="normal"/>
        <w:ind w:left="448" w:right="-79"/>
        <w:rPr>
          <w:sz w:val="20"/>
          <w:szCs w:val="20"/>
        </w:rPr>
      </w:pPr>
      <w:r>
        <w:rPr>
          <w:sz w:val="20"/>
          <w:szCs w:val="20"/>
        </w:rPr>
        <w:t xml:space="preserve">Prehľad o pohybe vlastného imania konsolidovaného celku </w:t>
      </w:r>
      <w:r>
        <w:rPr>
          <w:i/>
          <w:sz w:val="20"/>
          <w:szCs w:val="20"/>
        </w:rPr>
        <w:t>Obce Malá Lehota</w:t>
      </w:r>
      <w:r>
        <w:rPr>
          <w:i/>
          <w:color w:val="FF0000"/>
          <w:sz w:val="20"/>
          <w:szCs w:val="20"/>
        </w:rPr>
        <w:t xml:space="preserve"> </w:t>
      </w:r>
      <w:r>
        <w:rPr>
          <w:sz w:val="20"/>
          <w:szCs w:val="20"/>
        </w:rPr>
        <w:t>od 1. januára 2016 do 31. decembra 2016  je uvedený v tabuľkovej prílohe č. 12 konsolidovaných poznámok.</w:t>
      </w:r>
    </w:p>
    <w:p w:rsidR="00A55E1E" w:rsidRDefault="00A55E1E">
      <w:pPr>
        <w:pStyle w:val="normal"/>
        <w:ind w:left="448" w:right="-79"/>
        <w:rPr>
          <w:sz w:val="20"/>
          <w:szCs w:val="20"/>
        </w:rPr>
      </w:pPr>
    </w:p>
    <w:p w:rsidR="00A55E1E" w:rsidRDefault="002124E2">
      <w:pPr>
        <w:pStyle w:val="normal"/>
        <w:ind w:left="448" w:right="-79"/>
        <w:rPr>
          <w:sz w:val="20"/>
          <w:szCs w:val="20"/>
        </w:rPr>
      </w:pPr>
      <w:r>
        <w:rPr>
          <w:sz w:val="20"/>
          <w:szCs w:val="20"/>
        </w:rPr>
        <w:t>V položke oceňovacie rozdiely z precenenia majetku a záväzkov nie sú vykázané oceňovacie rozdiely.</w:t>
      </w:r>
    </w:p>
    <w:p w:rsidR="00A55E1E" w:rsidRDefault="00A55E1E">
      <w:pPr>
        <w:pStyle w:val="normal"/>
        <w:ind w:left="448" w:right="-79"/>
        <w:rPr>
          <w:sz w:val="20"/>
          <w:szCs w:val="20"/>
        </w:rPr>
      </w:pPr>
    </w:p>
    <w:p w:rsidR="00A55E1E" w:rsidRDefault="002124E2">
      <w:pPr>
        <w:pStyle w:val="Nadpis2"/>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Rezervy</w:t>
      </w:r>
    </w:p>
    <w:p w:rsidR="00A55E1E" w:rsidRDefault="002124E2">
      <w:pPr>
        <w:pStyle w:val="normal"/>
        <w:ind w:left="448" w:right="-79"/>
        <w:rPr>
          <w:sz w:val="20"/>
          <w:szCs w:val="20"/>
        </w:rPr>
      </w:pPr>
      <w:r>
        <w:rPr>
          <w:sz w:val="20"/>
          <w:szCs w:val="20"/>
        </w:rPr>
        <w:t xml:space="preserve">Prehľad rezerv konsolidovaného celku v členení na zákonné a ostatné, dlhodobé a krátkodobé od 1. januára 2016 do 31. decembra 2016  je uvedený v tabuľkovej prílohe:  č. 13 – Rezervy zákonné,  č. 14 – Rezervy </w:t>
      </w:r>
      <w:r>
        <w:rPr>
          <w:sz w:val="20"/>
          <w:szCs w:val="20"/>
        </w:rPr>
        <w:lastRenderedPageBreak/>
        <w:t>ostatné konsolidovaných poznámok.</w:t>
      </w:r>
    </w:p>
    <w:p w:rsidR="00A55E1E" w:rsidRDefault="00A55E1E">
      <w:pPr>
        <w:pStyle w:val="normal"/>
        <w:ind w:left="448" w:right="-79"/>
        <w:rPr>
          <w:sz w:val="20"/>
          <w:szCs w:val="20"/>
        </w:rPr>
      </w:pPr>
    </w:p>
    <w:p w:rsidR="00A55E1E" w:rsidRDefault="002124E2">
      <w:pPr>
        <w:pStyle w:val="normal"/>
        <w:ind w:left="426"/>
        <w:jc w:val="both"/>
        <w:rPr>
          <w:i/>
          <w:sz w:val="16"/>
          <w:szCs w:val="16"/>
        </w:rPr>
      </w:pPr>
      <w:r>
        <w:rPr>
          <w:sz w:val="16"/>
          <w:szCs w:val="16"/>
        </w:rPr>
        <w:t>Popis významných položiek rezerv</w:t>
      </w:r>
      <w:r>
        <w:rPr>
          <w:i/>
          <w:sz w:val="16"/>
          <w:szCs w:val="16"/>
        </w:rPr>
        <w:t>:</w:t>
      </w:r>
    </w:p>
    <w:p w:rsidR="00A55E1E" w:rsidRDefault="002124E2">
      <w:pPr>
        <w:pStyle w:val="normal"/>
        <w:ind w:left="426"/>
        <w:jc w:val="both"/>
        <w:rPr>
          <w:i/>
          <w:sz w:val="16"/>
          <w:szCs w:val="16"/>
        </w:rPr>
      </w:pPr>
      <w:r>
        <w:rPr>
          <w:i/>
          <w:sz w:val="16"/>
          <w:szCs w:val="16"/>
        </w:rPr>
        <w:t xml:space="preserve">- rezervy na overenie účtovnej závierky – audit. </w:t>
      </w:r>
    </w:p>
    <w:p w:rsidR="00A55E1E" w:rsidRDefault="00A55E1E">
      <w:pPr>
        <w:pStyle w:val="normal"/>
        <w:jc w:val="both"/>
        <w:rPr>
          <w:color w:val="FF0000"/>
          <w:sz w:val="16"/>
          <w:szCs w:val="16"/>
        </w:rPr>
      </w:pPr>
    </w:p>
    <w:p w:rsidR="00A55E1E" w:rsidRDefault="002124E2">
      <w:pPr>
        <w:pStyle w:val="normal"/>
        <w:ind w:left="426"/>
        <w:jc w:val="both"/>
        <w:rPr>
          <w:sz w:val="16"/>
          <w:szCs w:val="16"/>
        </w:rPr>
      </w:pPr>
      <w:r>
        <w:rPr>
          <w:sz w:val="16"/>
          <w:szCs w:val="16"/>
        </w:rPr>
        <w:t>V celkovej výške rezerv nie sú vykázané rezervy voči ostatným účtovným jednotkám súhrnného celku: –-</w:t>
      </w:r>
    </w:p>
    <w:p w:rsidR="00A55E1E" w:rsidRDefault="00A55E1E">
      <w:pPr>
        <w:pStyle w:val="normal"/>
        <w:ind w:left="426"/>
        <w:jc w:val="both"/>
        <w:rPr>
          <w:color w:val="FF0000"/>
          <w:sz w:val="16"/>
          <w:szCs w:val="16"/>
        </w:rPr>
      </w:pPr>
    </w:p>
    <w:p w:rsidR="00A55E1E" w:rsidRDefault="002124E2">
      <w:pPr>
        <w:pStyle w:val="Nadpis2"/>
        <w:rPr>
          <w:rFonts w:ascii="Times New Roman" w:eastAsia="Times New Roman" w:hAnsi="Times New Roman" w:cs="Times New Roman"/>
        </w:rPr>
      </w:pPr>
      <w:r>
        <w:rPr>
          <w:rFonts w:ascii="Times New Roman" w:eastAsia="Times New Roman" w:hAnsi="Times New Roman" w:cs="Times New Roman"/>
        </w:rPr>
        <w:t>7.</w:t>
      </w:r>
      <w:r>
        <w:rPr>
          <w:rFonts w:ascii="Times New Roman" w:eastAsia="Times New Roman" w:hAnsi="Times New Roman" w:cs="Times New Roman"/>
        </w:rPr>
        <w:tab/>
        <w:t>Záväzky</w:t>
      </w:r>
    </w:p>
    <w:p w:rsidR="00A55E1E" w:rsidRDefault="002124E2">
      <w:pPr>
        <w:pStyle w:val="normal"/>
        <w:ind w:left="448" w:right="-79"/>
        <w:rPr>
          <w:sz w:val="20"/>
          <w:szCs w:val="20"/>
        </w:rPr>
      </w:pPr>
      <w:r>
        <w:rPr>
          <w:sz w:val="20"/>
          <w:szCs w:val="20"/>
        </w:rPr>
        <w:t xml:space="preserve">Prehľad záväzkov z hľadiska ich vekovej štruktúry a z hľadiska splatnosti je uvedený v tabuľkovej prílohe </w:t>
      </w:r>
      <w:r>
        <w:rPr>
          <w:sz w:val="20"/>
          <w:szCs w:val="20"/>
        </w:rPr>
        <w:br/>
        <w:t xml:space="preserve">č. 15 konsolidovaných poznámok. </w:t>
      </w:r>
    </w:p>
    <w:p w:rsidR="00A55E1E" w:rsidRDefault="00A55E1E">
      <w:pPr>
        <w:pStyle w:val="normal"/>
        <w:ind w:left="448" w:right="-79"/>
        <w:rPr>
          <w:sz w:val="20"/>
          <w:szCs w:val="20"/>
        </w:rPr>
      </w:pPr>
    </w:p>
    <w:p w:rsidR="00A55E1E" w:rsidRDefault="002124E2">
      <w:pPr>
        <w:pStyle w:val="Nadpis2"/>
        <w:rPr>
          <w:rFonts w:ascii="Times New Roman" w:eastAsia="Times New Roman" w:hAnsi="Times New Roman" w:cs="Times New Roman"/>
        </w:rPr>
      </w:pPr>
      <w:r>
        <w:rPr>
          <w:rFonts w:ascii="Times New Roman" w:eastAsia="Times New Roman" w:hAnsi="Times New Roman" w:cs="Times New Roman"/>
        </w:rPr>
        <w:t>8.</w:t>
      </w:r>
      <w:r>
        <w:rPr>
          <w:rFonts w:ascii="Times New Roman" w:eastAsia="Times New Roman" w:hAnsi="Times New Roman" w:cs="Times New Roman"/>
        </w:rPr>
        <w:tab/>
        <w:t>Bankové úvery a ostatné prijaté návratné finančné výpomoci</w:t>
      </w:r>
    </w:p>
    <w:p w:rsidR="00A55E1E" w:rsidRDefault="002124E2">
      <w:pPr>
        <w:pStyle w:val="normal"/>
        <w:ind w:left="480"/>
        <w:jc w:val="both"/>
        <w:rPr>
          <w:sz w:val="16"/>
          <w:szCs w:val="16"/>
        </w:rPr>
      </w:pPr>
      <w:r>
        <w:rPr>
          <w:sz w:val="16"/>
          <w:szCs w:val="16"/>
        </w:rPr>
        <w:t>Bližšie informácie o bankových úveroch a prijatých návratných finančných výpomociach konsolidovaného celku vykázaných k 31. decembru 2016 sú uvedené v tabuľkovej prílohe č. 16 konsolidovaných poznámok.</w:t>
      </w:r>
    </w:p>
    <w:p w:rsidR="00A55E1E" w:rsidRDefault="00A55E1E">
      <w:pPr>
        <w:pStyle w:val="normal"/>
        <w:ind w:left="435"/>
        <w:jc w:val="both"/>
        <w:rPr>
          <w:sz w:val="16"/>
          <w:szCs w:val="16"/>
        </w:rPr>
      </w:pPr>
    </w:p>
    <w:p w:rsidR="00A55E1E" w:rsidRDefault="002124E2">
      <w:pPr>
        <w:pStyle w:val="Nadpis2"/>
        <w:rPr>
          <w:rFonts w:ascii="Times New Roman" w:eastAsia="Times New Roman" w:hAnsi="Times New Roman" w:cs="Times New Roman"/>
        </w:rPr>
      </w:pPr>
      <w:r>
        <w:rPr>
          <w:rFonts w:ascii="Times New Roman" w:eastAsia="Times New Roman" w:hAnsi="Times New Roman" w:cs="Times New Roman"/>
        </w:rPr>
        <w:t>9.</w:t>
      </w:r>
      <w:r>
        <w:rPr>
          <w:rFonts w:ascii="Times New Roman" w:eastAsia="Times New Roman" w:hAnsi="Times New Roman" w:cs="Times New Roman"/>
        </w:rPr>
        <w:tab/>
        <w:t>Časové rozlíšenie pasív</w:t>
      </w:r>
    </w:p>
    <w:p w:rsidR="00A55E1E" w:rsidRDefault="002124E2">
      <w:pPr>
        <w:pStyle w:val="normal"/>
        <w:ind w:left="448" w:right="-79"/>
        <w:rPr>
          <w:sz w:val="20"/>
          <w:szCs w:val="20"/>
        </w:rPr>
      </w:pPr>
      <w:r>
        <w:rPr>
          <w:sz w:val="20"/>
          <w:szCs w:val="20"/>
        </w:rPr>
        <w:t>V tabuľkovej prílohe č. 17 konsolidovaných poznámok sú uvedené významné položky časového rozlíšenia pasív – výdavky budúcich období. V tabuľkovej prílohe č. 18 konsolidovaných poznámok sú uvedené významné položky časového rozlíšenia pasív – výnosy budúcich období.</w:t>
      </w:r>
    </w:p>
    <w:p w:rsidR="00A55E1E" w:rsidRDefault="00A55E1E">
      <w:pPr>
        <w:pStyle w:val="normal"/>
        <w:ind w:left="448" w:right="-79"/>
        <w:rPr>
          <w:sz w:val="20"/>
          <w:szCs w:val="20"/>
        </w:rPr>
      </w:pPr>
    </w:p>
    <w:p w:rsidR="00A55E1E" w:rsidRDefault="002124E2">
      <w:pPr>
        <w:pStyle w:val="normal"/>
        <w:ind w:left="448" w:right="-79"/>
        <w:rPr>
          <w:sz w:val="20"/>
          <w:szCs w:val="20"/>
        </w:rPr>
      </w:pPr>
      <w:r>
        <w:rPr>
          <w:sz w:val="20"/>
          <w:szCs w:val="20"/>
        </w:rPr>
        <w:t xml:space="preserve">  </w:t>
      </w:r>
    </w:p>
    <w:p w:rsidR="00A55E1E" w:rsidRDefault="002124E2">
      <w:pPr>
        <w:pStyle w:val="normal"/>
        <w:ind w:left="448" w:right="-79"/>
        <w:rPr>
          <w:sz w:val="20"/>
          <w:szCs w:val="20"/>
        </w:rPr>
      </w:pPr>
      <w:r>
        <w:rPr>
          <w:sz w:val="20"/>
          <w:szCs w:val="20"/>
        </w:rPr>
        <w:t xml:space="preserve">Ako je uvedené v tabuľkovej prílohe č. 18, časové rozlíšenie pasív obsahuje aj výnosy budúcich období, ktoré predstavujú v roku 2015 alebo v predchádzajúcich účtovných obdobiach prijaté kapitálové transfery a nespotrebované bežné transfery. Ich bližšie členenie podľa poskytovateľa transferu je uvedené v nasledovnom prehľade: </w:t>
      </w:r>
    </w:p>
    <w:p w:rsidR="00A55E1E" w:rsidRDefault="00A55E1E">
      <w:pPr>
        <w:pStyle w:val="normal"/>
        <w:ind w:left="448" w:right="-79"/>
        <w:rPr>
          <w:sz w:val="20"/>
          <w:szCs w:val="20"/>
        </w:rPr>
      </w:pPr>
    </w:p>
    <w:tbl>
      <w:tblPr>
        <w:tblStyle w:val="a2"/>
        <w:bidiVisual/>
        <w:tblW w:w="8930"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03"/>
        <w:gridCol w:w="3827"/>
      </w:tblGrid>
      <w:tr w:rsidR="00A55E1E">
        <w:trPr>
          <w:trHeight w:val="260"/>
        </w:trPr>
        <w:tc>
          <w:tcPr>
            <w:tcW w:w="5103" w:type="dxa"/>
            <w:vAlign w:val="center"/>
          </w:tcPr>
          <w:p w:rsidR="00A55E1E" w:rsidRDefault="002124E2">
            <w:pPr>
              <w:pStyle w:val="normal"/>
              <w:jc w:val="center"/>
              <w:rPr>
                <w:b/>
                <w:sz w:val="16"/>
                <w:szCs w:val="16"/>
              </w:rPr>
            </w:pPr>
            <w:r>
              <w:rPr>
                <w:b/>
                <w:sz w:val="16"/>
                <w:szCs w:val="16"/>
              </w:rPr>
              <w:t>Poskytovateľ transferu</w:t>
            </w:r>
          </w:p>
        </w:tc>
        <w:tc>
          <w:tcPr>
            <w:tcW w:w="3827" w:type="dxa"/>
            <w:vAlign w:val="center"/>
          </w:tcPr>
          <w:p w:rsidR="00A55E1E" w:rsidRDefault="002124E2">
            <w:pPr>
              <w:pStyle w:val="normal"/>
              <w:jc w:val="center"/>
              <w:rPr>
                <w:b/>
                <w:sz w:val="16"/>
                <w:szCs w:val="16"/>
              </w:rPr>
            </w:pPr>
            <w:r>
              <w:rPr>
                <w:b/>
                <w:sz w:val="16"/>
                <w:szCs w:val="16"/>
              </w:rPr>
              <w:t>Stav k 31. decembru 2016</w:t>
            </w:r>
          </w:p>
        </w:tc>
      </w:tr>
      <w:tr w:rsidR="00A55E1E">
        <w:trPr>
          <w:trHeight w:val="220"/>
        </w:trPr>
        <w:tc>
          <w:tcPr>
            <w:tcW w:w="5103" w:type="dxa"/>
          </w:tcPr>
          <w:p w:rsidR="00A55E1E" w:rsidRDefault="002124E2">
            <w:pPr>
              <w:pStyle w:val="normal"/>
              <w:rPr>
                <w:sz w:val="16"/>
                <w:szCs w:val="16"/>
              </w:rPr>
            </w:pPr>
            <w:r>
              <w:rPr>
                <w:sz w:val="16"/>
                <w:szCs w:val="16"/>
              </w:rPr>
              <w:t>Organizácia verejnej správy SR</w:t>
            </w:r>
          </w:p>
        </w:tc>
        <w:tc>
          <w:tcPr>
            <w:tcW w:w="3827" w:type="dxa"/>
            <w:vAlign w:val="center"/>
          </w:tcPr>
          <w:p w:rsidR="00A55E1E" w:rsidRDefault="002124E2">
            <w:pPr>
              <w:pStyle w:val="normal"/>
              <w:jc w:val="center"/>
              <w:rPr>
                <w:sz w:val="16"/>
                <w:szCs w:val="16"/>
              </w:rPr>
            </w:pPr>
            <w:r>
              <w:rPr>
                <w:sz w:val="16"/>
                <w:szCs w:val="16"/>
              </w:rPr>
              <w:t>299 309,04€</w:t>
            </w:r>
          </w:p>
        </w:tc>
      </w:tr>
      <w:tr w:rsidR="00A55E1E">
        <w:tc>
          <w:tcPr>
            <w:tcW w:w="5103" w:type="dxa"/>
          </w:tcPr>
          <w:p w:rsidR="00A55E1E" w:rsidRDefault="002124E2">
            <w:pPr>
              <w:pStyle w:val="normal"/>
              <w:rPr>
                <w:sz w:val="16"/>
                <w:szCs w:val="16"/>
              </w:rPr>
            </w:pPr>
            <w:r>
              <w:rPr>
                <w:sz w:val="16"/>
                <w:szCs w:val="16"/>
              </w:rPr>
              <w:t>Organizácia mimo verejnej správy SR</w:t>
            </w:r>
          </w:p>
        </w:tc>
        <w:tc>
          <w:tcPr>
            <w:tcW w:w="3827" w:type="dxa"/>
            <w:vAlign w:val="center"/>
          </w:tcPr>
          <w:p w:rsidR="00A55E1E" w:rsidRDefault="00A55E1E">
            <w:pPr>
              <w:pStyle w:val="normal"/>
              <w:jc w:val="center"/>
              <w:rPr>
                <w:sz w:val="16"/>
                <w:szCs w:val="16"/>
              </w:rPr>
            </w:pPr>
          </w:p>
        </w:tc>
      </w:tr>
      <w:tr w:rsidR="00A55E1E">
        <w:tc>
          <w:tcPr>
            <w:tcW w:w="5103" w:type="dxa"/>
          </w:tcPr>
          <w:p w:rsidR="00A55E1E" w:rsidRDefault="002124E2">
            <w:pPr>
              <w:pStyle w:val="normal"/>
              <w:rPr>
                <w:i/>
                <w:sz w:val="16"/>
                <w:szCs w:val="16"/>
              </w:rPr>
            </w:pPr>
            <w:r>
              <w:rPr>
                <w:sz w:val="16"/>
                <w:szCs w:val="16"/>
              </w:rPr>
              <w:t>Prostriedky Európskej únie</w:t>
            </w:r>
          </w:p>
        </w:tc>
        <w:tc>
          <w:tcPr>
            <w:tcW w:w="3827" w:type="dxa"/>
            <w:vAlign w:val="center"/>
          </w:tcPr>
          <w:p w:rsidR="00A55E1E" w:rsidRDefault="00A55E1E">
            <w:pPr>
              <w:pStyle w:val="normal"/>
              <w:jc w:val="center"/>
              <w:rPr>
                <w:sz w:val="16"/>
                <w:szCs w:val="16"/>
              </w:rPr>
            </w:pPr>
          </w:p>
        </w:tc>
      </w:tr>
      <w:tr w:rsidR="00A55E1E">
        <w:tc>
          <w:tcPr>
            <w:tcW w:w="5103" w:type="dxa"/>
          </w:tcPr>
          <w:p w:rsidR="00A55E1E" w:rsidRDefault="002124E2">
            <w:pPr>
              <w:pStyle w:val="normal"/>
              <w:rPr>
                <w:b/>
                <w:sz w:val="16"/>
                <w:szCs w:val="16"/>
              </w:rPr>
            </w:pPr>
            <w:r>
              <w:rPr>
                <w:b/>
                <w:sz w:val="16"/>
                <w:szCs w:val="16"/>
              </w:rPr>
              <w:t>Spolu</w:t>
            </w:r>
          </w:p>
        </w:tc>
        <w:tc>
          <w:tcPr>
            <w:tcW w:w="3827" w:type="dxa"/>
            <w:vAlign w:val="center"/>
          </w:tcPr>
          <w:p w:rsidR="00A55E1E" w:rsidRDefault="002124E2">
            <w:pPr>
              <w:pStyle w:val="normal"/>
              <w:jc w:val="center"/>
              <w:rPr>
                <w:b/>
                <w:sz w:val="16"/>
                <w:szCs w:val="16"/>
              </w:rPr>
            </w:pPr>
            <w:r>
              <w:rPr>
                <w:b/>
                <w:sz w:val="16"/>
                <w:szCs w:val="16"/>
              </w:rPr>
              <w:t>299 309,04</w:t>
            </w:r>
          </w:p>
        </w:tc>
      </w:tr>
    </w:tbl>
    <w:p w:rsidR="00A55E1E" w:rsidRDefault="00A55E1E">
      <w:pPr>
        <w:pStyle w:val="normal"/>
        <w:ind w:left="448" w:right="-79"/>
        <w:rPr>
          <w:sz w:val="20"/>
          <w:szCs w:val="20"/>
        </w:rPr>
      </w:pPr>
    </w:p>
    <w:p w:rsidR="00A55E1E" w:rsidRDefault="00A55E1E">
      <w:pPr>
        <w:pStyle w:val="normal"/>
        <w:jc w:val="both"/>
        <w:rPr>
          <w:sz w:val="16"/>
          <w:szCs w:val="16"/>
        </w:rPr>
      </w:pPr>
    </w:p>
    <w:p w:rsidR="00A55E1E" w:rsidRDefault="002124E2">
      <w:pPr>
        <w:pStyle w:val="normal"/>
        <w:tabs>
          <w:tab w:val="left" w:pos="0"/>
          <w:tab w:val="left" w:pos="360"/>
          <w:tab w:val="left" w:pos="420"/>
        </w:tabs>
        <w:ind w:left="-14" w:hanging="70"/>
        <w:rPr>
          <w:b/>
          <w:sz w:val="20"/>
          <w:szCs w:val="20"/>
        </w:rPr>
      </w:pPr>
      <w:r>
        <w:rPr>
          <w:b/>
          <w:sz w:val="20"/>
          <w:szCs w:val="20"/>
        </w:rPr>
        <w:t>10.     VÝNOSY</w:t>
      </w:r>
    </w:p>
    <w:p w:rsidR="00A55E1E" w:rsidRDefault="00A55E1E">
      <w:pPr>
        <w:pStyle w:val="normal"/>
        <w:tabs>
          <w:tab w:val="left" w:pos="0"/>
          <w:tab w:val="left" w:pos="360"/>
          <w:tab w:val="left" w:pos="420"/>
        </w:tabs>
        <w:ind w:left="-14" w:hanging="70"/>
        <w:rPr>
          <w:b/>
          <w:sz w:val="16"/>
          <w:szCs w:val="16"/>
        </w:rPr>
      </w:pPr>
    </w:p>
    <w:p w:rsidR="00A55E1E" w:rsidRDefault="002124E2">
      <w:pPr>
        <w:pStyle w:val="normal"/>
        <w:ind w:left="426"/>
        <w:jc w:val="both"/>
        <w:rPr>
          <w:sz w:val="16"/>
          <w:szCs w:val="16"/>
        </w:rPr>
      </w:pPr>
      <w:r>
        <w:rPr>
          <w:sz w:val="16"/>
          <w:szCs w:val="16"/>
        </w:rPr>
        <w:t xml:space="preserve">V tabuľkovej prílohe č. 22 konsolidovaných poznámok je uvedené detailné členenie vybraných položiek výnosov - Ostatné výnosy z prevádzkovej činnosti konsolidovaného celku </w:t>
      </w:r>
      <w:r>
        <w:rPr>
          <w:i/>
          <w:sz w:val="16"/>
          <w:szCs w:val="16"/>
        </w:rPr>
        <w:t>Obce Malá  Lehota</w:t>
      </w:r>
      <w:r>
        <w:rPr>
          <w:i/>
          <w:color w:val="FF0000"/>
          <w:sz w:val="16"/>
          <w:szCs w:val="16"/>
        </w:rPr>
        <w:t xml:space="preserve">  </w:t>
      </w:r>
      <w:r>
        <w:rPr>
          <w:sz w:val="16"/>
          <w:szCs w:val="16"/>
        </w:rPr>
        <w:t xml:space="preserve">účtovného obdobia roku 2016.     </w:t>
      </w:r>
    </w:p>
    <w:p w:rsidR="00A55E1E" w:rsidRDefault="00A55E1E">
      <w:pPr>
        <w:pStyle w:val="normal"/>
        <w:tabs>
          <w:tab w:val="left" w:pos="0"/>
          <w:tab w:val="left" w:pos="360"/>
          <w:tab w:val="left" w:pos="420"/>
        </w:tabs>
        <w:ind w:left="-14" w:hanging="70"/>
        <w:rPr>
          <w:sz w:val="16"/>
          <w:szCs w:val="16"/>
        </w:rPr>
      </w:pPr>
    </w:p>
    <w:p w:rsidR="00A55E1E" w:rsidRDefault="002124E2">
      <w:pPr>
        <w:pStyle w:val="normal"/>
        <w:ind w:left="426"/>
        <w:rPr>
          <w:sz w:val="16"/>
          <w:szCs w:val="16"/>
        </w:rPr>
      </w:pPr>
      <w:r>
        <w:rPr>
          <w:sz w:val="16"/>
          <w:szCs w:val="16"/>
        </w:rPr>
        <w:t xml:space="preserve">K 31. decembru 2016 sú ako výnosy konsolidovaného celku </w:t>
      </w:r>
      <w:r>
        <w:rPr>
          <w:i/>
          <w:sz w:val="16"/>
          <w:szCs w:val="16"/>
        </w:rPr>
        <w:t>Obce Malá  Lehota</w:t>
      </w:r>
      <w:r>
        <w:rPr>
          <w:i/>
          <w:color w:val="FF0000"/>
          <w:sz w:val="16"/>
          <w:szCs w:val="16"/>
        </w:rPr>
        <w:t xml:space="preserve"> </w:t>
      </w:r>
      <w:r>
        <w:rPr>
          <w:sz w:val="16"/>
          <w:szCs w:val="16"/>
        </w:rPr>
        <w:t>vykázané aj vzájomné výnosy voči ostatným účtovným jednotkám súhrnného celku. Prehľad  jednotlivých výnosových účtov je uvedený v  tabuľke  bod 12. Konsolidačné úpravy.</w:t>
      </w:r>
    </w:p>
    <w:p w:rsidR="00A55E1E" w:rsidRDefault="00A55E1E">
      <w:pPr>
        <w:pStyle w:val="normal"/>
        <w:tabs>
          <w:tab w:val="left" w:pos="462"/>
        </w:tabs>
        <w:rPr>
          <w:b/>
          <w:sz w:val="20"/>
          <w:szCs w:val="20"/>
        </w:rPr>
      </w:pPr>
    </w:p>
    <w:p w:rsidR="00A55E1E" w:rsidRDefault="002124E2">
      <w:pPr>
        <w:pStyle w:val="normal"/>
        <w:tabs>
          <w:tab w:val="left" w:pos="462"/>
        </w:tabs>
        <w:rPr>
          <w:b/>
          <w:sz w:val="20"/>
          <w:szCs w:val="20"/>
        </w:rPr>
      </w:pPr>
      <w:r>
        <w:rPr>
          <w:b/>
          <w:sz w:val="20"/>
          <w:szCs w:val="20"/>
        </w:rPr>
        <w:t>11.</w:t>
      </w:r>
      <w:r>
        <w:rPr>
          <w:b/>
          <w:sz w:val="20"/>
          <w:szCs w:val="20"/>
        </w:rPr>
        <w:tab/>
        <w:t>NÁKLADY</w:t>
      </w:r>
    </w:p>
    <w:p w:rsidR="00A55E1E" w:rsidRDefault="00A55E1E">
      <w:pPr>
        <w:pStyle w:val="normal"/>
        <w:rPr>
          <w:sz w:val="16"/>
          <w:szCs w:val="16"/>
        </w:rPr>
      </w:pPr>
    </w:p>
    <w:p w:rsidR="00A55E1E" w:rsidRDefault="002124E2">
      <w:pPr>
        <w:pStyle w:val="normal"/>
        <w:ind w:left="426"/>
        <w:jc w:val="both"/>
        <w:rPr>
          <w:sz w:val="16"/>
          <w:szCs w:val="16"/>
        </w:rPr>
      </w:pPr>
      <w:r>
        <w:rPr>
          <w:sz w:val="16"/>
          <w:szCs w:val="16"/>
        </w:rPr>
        <w:t xml:space="preserve">V tabuľkovej prílohe č.19  konsolidovaných poznámok je uvedené detailné členenie vybraných položiek nákladov na služby konsolidovaného celku </w:t>
      </w:r>
      <w:r>
        <w:rPr>
          <w:i/>
          <w:sz w:val="16"/>
          <w:szCs w:val="16"/>
        </w:rPr>
        <w:t>Obce Malá  Lehota</w:t>
      </w:r>
      <w:r>
        <w:rPr>
          <w:i/>
          <w:color w:val="FF0000"/>
          <w:sz w:val="16"/>
          <w:szCs w:val="16"/>
        </w:rPr>
        <w:t xml:space="preserve">  </w:t>
      </w:r>
      <w:r>
        <w:rPr>
          <w:sz w:val="16"/>
          <w:szCs w:val="16"/>
        </w:rPr>
        <w:t xml:space="preserve">účtovného obdobia roku 2016. </w:t>
      </w:r>
    </w:p>
    <w:p w:rsidR="00A55E1E" w:rsidRDefault="002124E2">
      <w:pPr>
        <w:pStyle w:val="normal"/>
        <w:ind w:left="426"/>
        <w:jc w:val="both"/>
        <w:rPr>
          <w:sz w:val="16"/>
          <w:szCs w:val="16"/>
        </w:rPr>
      </w:pPr>
      <w:r>
        <w:rPr>
          <w:sz w:val="16"/>
          <w:szCs w:val="16"/>
        </w:rPr>
        <w:t xml:space="preserve">V tabuľkovej prílohe č.20  konsolidovaných poznámok je uvedené detailné členenie vybraných položiek nákladov na prevádzkovú činnosť konsolidovaného celku </w:t>
      </w:r>
      <w:r>
        <w:rPr>
          <w:i/>
          <w:sz w:val="16"/>
          <w:szCs w:val="16"/>
        </w:rPr>
        <w:t>Obce Malá  Lehota</w:t>
      </w:r>
      <w:r>
        <w:rPr>
          <w:i/>
          <w:color w:val="FF0000"/>
          <w:sz w:val="16"/>
          <w:szCs w:val="16"/>
        </w:rPr>
        <w:t xml:space="preserve">  </w:t>
      </w:r>
      <w:r>
        <w:rPr>
          <w:sz w:val="16"/>
          <w:szCs w:val="16"/>
        </w:rPr>
        <w:t xml:space="preserve">účtovného obdobia roku 2016.     </w:t>
      </w:r>
    </w:p>
    <w:p w:rsidR="00A55E1E" w:rsidRDefault="002124E2">
      <w:pPr>
        <w:pStyle w:val="normal"/>
        <w:ind w:left="426"/>
        <w:jc w:val="both"/>
        <w:rPr>
          <w:sz w:val="16"/>
          <w:szCs w:val="16"/>
        </w:rPr>
      </w:pPr>
      <w:r>
        <w:rPr>
          <w:sz w:val="16"/>
          <w:szCs w:val="16"/>
        </w:rPr>
        <w:t xml:space="preserve">V tabuľkovej prílohe č.21  konsolidovaných poznámok je uvedené detailné členenie vybraných položiek ostatných finančných nákladov konsolidovaného celku </w:t>
      </w:r>
      <w:r>
        <w:rPr>
          <w:i/>
          <w:sz w:val="16"/>
          <w:szCs w:val="16"/>
        </w:rPr>
        <w:t>Obce Malá  Lehota</w:t>
      </w:r>
      <w:r>
        <w:rPr>
          <w:i/>
          <w:color w:val="FF0000"/>
          <w:sz w:val="16"/>
          <w:szCs w:val="16"/>
        </w:rPr>
        <w:t xml:space="preserve">  </w:t>
      </w:r>
      <w:r>
        <w:rPr>
          <w:sz w:val="16"/>
          <w:szCs w:val="16"/>
        </w:rPr>
        <w:t xml:space="preserve">účtovného obdobia roku 2016.     </w:t>
      </w:r>
    </w:p>
    <w:p w:rsidR="00A55E1E" w:rsidRDefault="00A55E1E">
      <w:pPr>
        <w:pStyle w:val="normal"/>
        <w:tabs>
          <w:tab w:val="left" w:pos="0"/>
          <w:tab w:val="left" w:pos="360"/>
          <w:tab w:val="left" w:pos="420"/>
        </w:tabs>
        <w:ind w:left="-14" w:hanging="70"/>
        <w:rPr>
          <w:sz w:val="16"/>
          <w:szCs w:val="16"/>
        </w:rPr>
      </w:pPr>
    </w:p>
    <w:p w:rsidR="00A55E1E" w:rsidRDefault="002124E2">
      <w:pPr>
        <w:pStyle w:val="normal"/>
        <w:ind w:left="426"/>
        <w:jc w:val="both"/>
        <w:rPr>
          <w:sz w:val="16"/>
          <w:szCs w:val="16"/>
        </w:rPr>
      </w:pPr>
      <w:r>
        <w:rPr>
          <w:sz w:val="16"/>
          <w:szCs w:val="16"/>
        </w:rPr>
        <w:t xml:space="preserve">K 31. decembru 2016 sú ako náklady konsolidovaného celku </w:t>
      </w:r>
      <w:r>
        <w:rPr>
          <w:i/>
          <w:sz w:val="16"/>
          <w:szCs w:val="16"/>
        </w:rPr>
        <w:t>Obce Malá Lehota</w:t>
      </w:r>
      <w:r>
        <w:rPr>
          <w:i/>
          <w:color w:val="FF0000"/>
          <w:sz w:val="16"/>
          <w:szCs w:val="16"/>
        </w:rPr>
        <w:t xml:space="preserve"> </w:t>
      </w:r>
      <w:r>
        <w:rPr>
          <w:sz w:val="16"/>
          <w:szCs w:val="16"/>
        </w:rPr>
        <w:t>vykázané aj vzájomné náklady voči ostatným účtovným jednotkám súhrnného celku. Ich prehľad podľa jednotlivých nákladových účtoch je uvedený v  tabuľke  bod 12. Konsolidačné úpravy:</w:t>
      </w:r>
    </w:p>
    <w:p w:rsidR="00A55E1E" w:rsidRDefault="00A55E1E">
      <w:pPr>
        <w:pStyle w:val="normal"/>
        <w:jc w:val="both"/>
        <w:rPr>
          <w:sz w:val="16"/>
          <w:szCs w:val="16"/>
        </w:rPr>
      </w:pPr>
    </w:p>
    <w:p w:rsidR="00A55E1E" w:rsidRDefault="00A55E1E">
      <w:pPr>
        <w:pStyle w:val="normal"/>
        <w:rPr>
          <w:sz w:val="16"/>
          <w:szCs w:val="16"/>
        </w:rPr>
      </w:pPr>
    </w:p>
    <w:p w:rsidR="00A55E1E" w:rsidRDefault="002124E2">
      <w:pPr>
        <w:pStyle w:val="normal"/>
        <w:tabs>
          <w:tab w:val="left" w:pos="462"/>
        </w:tabs>
        <w:rPr>
          <w:b/>
          <w:smallCaps/>
          <w:sz w:val="20"/>
          <w:szCs w:val="20"/>
        </w:rPr>
      </w:pPr>
      <w:r>
        <w:rPr>
          <w:b/>
          <w:sz w:val="20"/>
          <w:szCs w:val="20"/>
        </w:rPr>
        <w:t>12.</w:t>
      </w:r>
      <w:r>
        <w:rPr>
          <w:b/>
          <w:sz w:val="20"/>
          <w:szCs w:val="20"/>
        </w:rPr>
        <w:tab/>
      </w:r>
      <w:r>
        <w:rPr>
          <w:b/>
          <w:smallCaps/>
          <w:sz w:val="20"/>
          <w:szCs w:val="20"/>
        </w:rPr>
        <w:t>KONSOLIDAČNÉ ÚPRAVY</w:t>
      </w:r>
    </w:p>
    <w:p w:rsidR="00A55E1E" w:rsidRDefault="00A55E1E">
      <w:pPr>
        <w:pStyle w:val="normal"/>
        <w:tabs>
          <w:tab w:val="left" w:pos="462"/>
        </w:tabs>
        <w:rPr>
          <w:b/>
          <w:sz w:val="16"/>
          <w:szCs w:val="16"/>
        </w:rPr>
      </w:pPr>
    </w:p>
    <w:tbl>
      <w:tblPr>
        <w:tblStyle w:val="a3"/>
        <w:bidiVisual/>
        <w:tblW w:w="8991"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88"/>
        <w:gridCol w:w="1134"/>
        <w:gridCol w:w="992"/>
        <w:gridCol w:w="1417"/>
        <w:gridCol w:w="1560"/>
      </w:tblGrid>
      <w:tr w:rsidR="00A55E1E">
        <w:tc>
          <w:tcPr>
            <w:tcW w:w="3888" w:type="dxa"/>
            <w:shd w:val="clear" w:color="auto" w:fill="FFFFFF"/>
            <w:vAlign w:val="center"/>
          </w:tcPr>
          <w:p w:rsidR="00A55E1E" w:rsidRDefault="002124E2">
            <w:pPr>
              <w:pStyle w:val="normal"/>
              <w:rPr>
                <w:sz w:val="20"/>
                <w:szCs w:val="20"/>
              </w:rPr>
            </w:pPr>
            <w:r>
              <w:rPr>
                <w:sz w:val="20"/>
                <w:szCs w:val="20"/>
              </w:rPr>
              <w:t>Konsolidačné úpravy</w:t>
            </w:r>
          </w:p>
        </w:tc>
        <w:tc>
          <w:tcPr>
            <w:tcW w:w="1134" w:type="dxa"/>
            <w:shd w:val="clear" w:color="auto" w:fill="FFFFFF"/>
            <w:vAlign w:val="center"/>
          </w:tcPr>
          <w:p w:rsidR="00A55E1E" w:rsidRDefault="002124E2">
            <w:pPr>
              <w:pStyle w:val="normal"/>
              <w:jc w:val="center"/>
              <w:rPr>
                <w:sz w:val="20"/>
                <w:szCs w:val="20"/>
              </w:rPr>
            </w:pPr>
            <w:r>
              <w:rPr>
                <w:sz w:val="20"/>
                <w:szCs w:val="20"/>
              </w:rPr>
              <w:t>Účet MD</w:t>
            </w:r>
          </w:p>
        </w:tc>
        <w:tc>
          <w:tcPr>
            <w:tcW w:w="992" w:type="dxa"/>
            <w:shd w:val="clear" w:color="auto" w:fill="FFFFFF"/>
            <w:vAlign w:val="center"/>
          </w:tcPr>
          <w:p w:rsidR="00A55E1E" w:rsidRDefault="002124E2">
            <w:pPr>
              <w:pStyle w:val="normal"/>
              <w:jc w:val="center"/>
              <w:rPr>
                <w:sz w:val="20"/>
                <w:szCs w:val="20"/>
              </w:rPr>
            </w:pPr>
            <w:r>
              <w:rPr>
                <w:sz w:val="20"/>
                <w:szCs w:val="20"/>
              </w:rPr>
              <w:t>Účet D</w:t>
            </w:r>
          </w:p>
        </w:tc>
        <w:tc>
          <w:tcPr>
            <w:tcW w:w="1417" w:type="dxa"/>
            <w:shd w:val="clear" w:color="auto" w:fill="FFFFFF"/>
            <w:vAlign w:val="center"/>
          </w:tcPr>
          <w:p w:rsidR="00A55E1E" w:rsidRDefault="002124E2">
            <w:pPr>
              <w:pStyle w:val="normal"/>
              <w:jc w:val="center"/>
              <w:rPr>
                <w:sz w:val="20"/>
                <w:szCs w:val="20"/>
              </w:rPr>
            </w:pPr>
            <w:r>
              <w:rPr>
                <w:sz w:val="20"/>
                <w:szCs w:val="20"/>
              </w:rPr>
              <w:t>Suma MD</w:t>
            </w:r>
          </w:p>
        </w:tc>
        <w:tc>
          <w:tcPr>
            <w:tcW w:w="1560" w:type="dxa"/>
            <w:shd w:val="clear" w:color="auto" w:fill="FFFFFF"/>
            <w:vAlign w:val="center"/>
          </w:tcPr>
          <w:p w:rsidR="00A55E1E" w:rsidRDefault="002124E2">
            <w:pPr>
              <w:pStyle w:val="normal"/>
              <w:jc w:val="center"/>
              <w:rPr>
                <w:sz w:val="20"/>
                <w:szCs w:val="20"/>
              </w:rPr>
            </w:pPr>
            <w:r>
              <w:rPr>
                <w:sz w:val="20"/>
                <w:szCs w:val="20"/>
              </w:rPr>
              <w:t>Suma D</w:t>
            </w:r>
          </w:p>
        </w:tc>
      </w:tr>
      <w:tr w:rsidR="00A55E1E">
        <w:trPr>
          <w:trHeight w:val="180"/>
        </w:trPr>
        <w:tc>
          <w:tcPr>
            <w:tcW w:w="3888" w:type="dxa"/>
            <w:shd w:val="clear" w:color="auto" w:fill="FFFFFF"/>
            <w:vAlign w:val="center"/>
          </w:tcPr>
          <w:p w:rsidR="00A55E1E" w:rsidRDefault="002124E2">
            <w:pPr>
              <w:pStyle w:val="normal"/>
              <w:rPr>
                <w:sz w:val="20"/>
                <w:szCs w:val="20"/>
              </w:rPr>
            </w:pPr>
            <w:r>
              <w:rPr>
                <w:sz w:val="20"/>
                <w:szCs w:val="20"/>
              </w:rPr>
              <w:t>Konsolidácia kapitálových transferov obce</w:t>
            </w:r>
          </w:p>
        </w:tc>
        <w:tc>
          <w:tcPr>
            <w:tcW w:w="1134" w:type="dxa"/>
            <w:shd w:val="clear" w:color="auto" w:fill="FFFFFF"/>
            <w:vAlign w:val="center"/>
          </w:tcPr>
          <w:p w:rsidR="00A55E1E" w:rsidRDefault="002124E2">
            <w:pPr>
              <w:pStyle w:val="normal"/>
              <w:rPr>
                <w:sz w:val="20"/>
                <w:szCs w:val="20"/>
              </w:rPr>
            </w:pPr>
            <w:r>
              <w:rPr>
                <w:sz w:val="20"/>
                <w:szCs w:val="20"/>
              </w:rPr>
              <w:t>355</w:t>
            </w:r>
          </w:p>
        </w:tc>
        <w:tc>
          <w:tcPr>
            <w:tcW w:w="992" w:type="dxa"/>
            <w:shd w:val="clear" w:color="auto" w:fill="FFFFFF"/>
            <w:vAlign w:val="center"/>
          </w:tcPr>
          <w:p w:rsidR="00A55E1E" w:rsidRDefault="002124E2">
            <w:pPr>
              <w:pStyle w:val="normal"/>
              <w:rPr>
                <w:sz w:val="20"/>
                <w:szCs w:val="20"/>
              </w:rPr>
            </w:pPr>
            <w:r>
              <w:rPr>
                <w:sz w:val="20"/>
                <w:szCs w:val="20"/>
              </w:rPr>
              <w:t>355</w:t>
            </w:r>
          </w:p>
        </w:tc>
        <w:tc>
          <w:tcPr>
            <w:tcW w:w="1417" w:type="dxa"/>
            <w:shd w:val="clear" w:color="auto" w:fill="FFFFFF"/>
            <w:vAlign w:val="center"/>
          </w:tcPr>
          <w:p w:rsidR="00A55E1E" w:rsidRDefault="002124E2">
            <w:pPr>
              <w:pStyle w:val="normal"/>
              <w:jc w:val="right"/>
              <w:rPr>
                <w:sz w:val="20"/>
                <w:szCs w:val="20"/>
              </w:rPr>
            </w:pPr>
            <w:r>
              <w:rPr>
                <w:sz w:val="20"/>
                <w:szCs w:val="20"/>
              </w:rPr>
              <w:t>-6220,29</w:t>
            </w:r>
          </w:p>
        </w:tc>
        <w:tc>
          <w:tcPr>
            <w:tcW w:w="1560" w:type="dxa"/>
            <w:shd w:val="clear" w:color="auto" w:fill="FFFFFF"/>
            <w:vAlign w:val="center"/>
          </w:tcPr>
          <w:p w:rsidR="00A55E1E" w:rsidRDefault="002124E2">
            <w:pPr>
              <w:pStyle w:val="normal"/>
              <w:jc w:val="right"/>
              <w:rPr>
                <w:sz w:val="20"/>
                <w:szCs w:val="20"/>
              </w:rPr>
            </w:pPr>
            <w:r>
              <w:rPr>
                <w:sz w:val="20"/>
                <w:szCs w:val="20"/>
              </w:rPr>
              <w:t>-6220,29</w:t>
            </w:r>
          </w:p>
        </w:tc>
      </w:tr>
      <w:tr w:rsidR="00A55E1E">
        <w:tc>
          <w:tcPr>
            <w:tcW w:w="3888" w:type="dxa"/>
            <w:shd w:val="clear" w:color="auto" w:fill="FFFFFF"/>
            <w:vAlign w:val="center"/>
          </w:tcPr>
          <w:p w:rsidR="00A55E1E" w:rsidRDefault="002124E2">
            <w:pPr>
              <w:pStyle w:val="normal"/>
              <w:rPr>
                <w:sz w:val="20"/>
                <w:szCs w:val="20"/>
              </w:rPr>
            </w:pPr>
            <w:r>
              <w:rPr>
                <w:sz w:val="20"/>
                <w:szCs w:val="20"/>
              </w:rPr>
              <w:t>Konsolidácia odvodu príjmov ROPO</w:t>
            </w:r>
          </w:p>
        </w:tc>
        <w:tc>
          <w:tcPr>
            <w:tcW w:w="1134" w:type="dxa"/>
            <w:shd w:val="clear" w:color="auto" w:fill="FFFFFF"/>
            <w:vAlign w:val="center"/>
          </w:tcPr>
          <w:p w:rsidR="00A55E1E" w:rsidRDefault="002124E2">
            <w:pPr>
              <w:pStyle w:val="normal"/>
              <w:rPr>
                <w:sz w:val="20"/>
                <w:szCs w:val="20"/>
              </w:rPr>
            </w:pPr>
            <w:r>
              <w:rPr>
                <w:sz w:val="20"/>
                <w:szCs w:val="20"/>
              </w:rPr>
              <w:t>351</w:t>
            </w:r>
          </w:p>
        </w:tc>
        <w:tc>
          <w:tcPr>
            <w:tcW w:w="992" w:type="dxa"/>
            <w:shd w:val="clear" w:color="auto" w:fill="FFFFFF"/>
            <w:vAlign w:val="center"/>
          </w:tcPr>
          <w:p w:rsidR="00A55E1E" w:rsidRDefault="002124E2">
            <w:pPr>
              <w:pStyle w:val="normal"/>
              <w:rPr>
                <w:sz w:val="20"/>
                <w:szCs w:val="20"/>
              </w:rPr>
            </w:pPr>
            <w:r>
              <w:rPr>
                <w:sz w:val="20"/>
                <w:szCs w:val="20"/>
              </w:rPr>
              <w:t>351</w:t>
            </w:r>
          </w:p>
        </w:tc>
        <w:tc>
          <w:tcPr>
            <w:tcW w:w="1417" w:type="dxa"/>
            <w:shd w:val="clear" w:color="auto" w:fill="FFFFFF"/>
            <w:vAlign w:val="center"/>
          </w:tcPr>
          <w:p w:rsidR="00A55E1E" w:rsidRDefault="002124E2">
            <w:pPr>
              <w:pStyle w:val="normal"/>
              <w:jc w:val="right"/>
              <w:rPr>
                <w:sz w:val="20"/>
                <w:szCs w:val="20"/>
              </w:rPr>
            </w:pPr>
            <w:r>
              <w:rPr>
                <w:sz w:val="20"/>
                <w:szCs w:val="20"/>
              </w:rPr>
              <w:t>-351,40</w:t>
            </w:r>
          </w:p>
        </w:tc>
        <w:tc>
          <w:tcPr>
            <w:tcW w:w="1560" w:type="dxa"/>
            <w:shd w:val="clear" w:color="auto" w:fill="FFFFFF"/>
            <w:vAlign w:val="center"/>
          </w:tcPr>
          <w:p w:rsidR="00A55E1E" w:rsidRDefault="002124E2">
            <w:pPr>
              <w:pStyle w:val="normal"/>
              <w:jc w:val="right"/>
              <w:rPr>
                <w:sz w:val="20"/>
                <w:szCs w:val="20"/>
              </w:rPr>
            </w:pPr>
            <w:r>
              <w:rPr>
                <w:sz w:val="20"/>
                <w:szCs w:val="20"/>
              </w:rPr>
              <w:t>-351,40</w:t>
            </w:r>
          </w:p>
        </w:tc>
      </w:tr>
      <w:tr w:rsidR="00A55E1E">
        <w:tc>
          <w:tcPr>
            <w:tcW w:w="3888" w:type="dxa"/>
            <w:shd w:val="clear" w:color="auto" w:fill="FFFFFF"/>
            <w:vAlign w:val="center"/>
          </w:tcPr>
          <w:p w:rsidR="00A55E1E" w:rsidRDefault="002124E2">
            <w:pPr>
              <w:pStyle w:val="normal"/>
              <w:rPr>
                <w:sz w:val="20"/>
                <w:szCs w:val="20"/>
              </w:rPr>
            </w:pPr>
            <w:r>
              <w:rPr>
                <w:sz w:val="20"/>
                <w:szCs w:val="20"/>
              </w:rPr>
              <w:t>Konsolidácia bežných transferov obce</w:t>
            </w:r>
          </w:p>
        </w:tc>
        <w:tc>
          <w:tcPr>
            <w:tcW w:w="1134" w:type="dxa"/>
            <w:shd w:val="clear" w:color="auto" w:fill="FFFFFF"/>
            <w:vAlign w:val="center"/>
          </w:tcPr>
          <w:p w:rsidR="00A55E1E" w:rsidRDefault="002124E2">
            <w:pPr>
              <w:pStyle w:val="normal"/>
              <w:rPr>
                <w:sz w:val="20"/>
                <w:szCs w:val="20"/>
              </w:rPr>
            </w:pPr>
            <w:r>
              <w:rPr>
                <w:sz w:val="20"/>
                <w:szCs w:val="20"/>
              </w:rPr>
              <w:t>584</w:t>
            </w:r>
          </w:p>
        </w:tc>
        <w:tc>
          <w:tcPr>
            <w:tcW w:w="992" w:type="dxa"/>
            <w:shd w:val="clear" w:color="auto" w:fill="FFFFFF"/>
            <w:vAlign w:val="center"/>
          </w:tcPr>
          <w:p w:rsidR="00A55E1E" w:rsidRDefault="002124E2">
            <w:pPr>
              <w:pStyle w:val="normal"/>
              <w:rPr>
                <w:sz w:val="20"/>
                <w:szCs w:val="20"/>
              </w:rPr>
            </w:pPr>
            <w:r>
              <w:rPr>
                <w:sz w:val="20"/>
                <w:szCs w:val="20"/>
              </w:rPr>
              <w:t>691</w:t>
            </w:r>
          </w:p>
        </w:tc>
        <w:tc>
          <w:tcPr>
            <w:tcW w:w="1417" w:type="dxa"/>
            <w:shd w:val="clear" w:color="auto" w:fill="FFFFFF"/>
            <w:vAlign w:val="center"/>
          </w:tcPr>
          <w:p w:rsidR="00A55E1E" w:rsidRDefault="002124E2">
            <w:pPr>
              <w:pStyle w:val="normal"/>
              <w:jc w:val="right"/>
              <w:rPr>
                <w:sz w:val="20"/>
                <w:szCs w:val="20"/>
              </w:rPr>
            </w:pPr>
            <w:r>
              <w:rPr>
                <w:sz w:val="20"/>
                <w:szCs w:val="20"/>
              </w:rPr>
              <w:t>-86166,97</w:t>
            </w:r>
          </w:p>
        </w:tc>
        <w:tc>
          <w:tcPr>
            <w:tcW w:w="1560" w:type="dxa"/>
            <w:shd w:val="clear" w:color="auto" w:fill="FFFFFF"/>
            <w:vAlign w:val="center"/>
          </w:tcPr>
          <w:p w:rsidR="00A55E1E" w:rsidRDefault="002124E2">
            <w:pPr>
              <w:pStyle w:val="normal"/>
              <w:jc w:val="right"/>
              <w:rPr>
                <w:sz w:val="20"/>
                <w:szCs w:val="20"/>
              </w:rPr>
            </w:pPr>
            <w:r>
              <w:rPr>
                <w:sz w:val="20"/>
                <w:szCs w:val="20"/>
              </w:rPr>
              <w:t>-86166,97</w:t>
            </w:r>
          </w:p>
        </w:tc>
      </w:tr>
      <w:tr w:rsidR="00A55E1E">
        <w:tc>
          <w:tcPr>
            <w:tcW w:w="3888" w:type="dxa"/>
            <w:shd w:val="clear" w:color="auto" w:fill="FFFFFF"/>
            <w:vAlign w:val="center"/>
          </w:tcPr>
          <w:p w:rsidR="00A55E1E" w:rsidRDefault="002124E2">
            <w:pPr>
              <w:pStyle w:val="normal"/>
              <w:rPr>
                <w:sz w:val="20"/>
                <w:szCs w:val="20"/>
              </w:rPr>
            </w:pPr>
            <w:r>
              <w:rPr>
                <w:sz w:val="20"/>
                <w:szCs w:val="20"/>
              </w:rPr>
              <w:lastRenderedPageBreak/>
              <w:t>Konsolidácia odpisov majetku obce</w:t>
            </w:r>
          </w:p>
        </w:tc>
        <w:tc>
          <w:tcPr>
            <w:tcW w:w="1134" w:type="dxa"/>
            <w:shd w:val="clear" w:color="auto" w:fill="FFFFFF"/>
            <w:vAlign w:val="center"/>
          </w:tcPr>
          <w:p w:rsidR="00A55E1E" w:rsidRDefault="002124E2">
            <w:pPr>
              <w:pStyle w:val="normal"/>
              <w:rPr>
                <w:sz w:val="20"/>
                <w:szCs w:val="20"/>
              </w:rPr>
            </w:pPr>
            <w:r>
              <w:rPr>
                <w:sz w:val="20"/>
                <w:szCs w:val="20"/>
              </w:rPr>
              <w:t>584</w:t>
            </w:r>
          </w:p>
        </w:tc>
        <w:tc>
          <w:tcPr>
            <w:tcW w:w="992" w:type="dxa"/>
            <w:shd w:val="clear" w:color="auto" w:fill="FFFFFF"/>
            <w:vAlign w:val="center"/>
          </w:tcPr>
          <w:p w:rsidR="00A55E1E" w:rsidRDefault="002124E2">
            <w:pPr>
              <w:pStyle w:val="normal"/>
              <w:rPr>
                <w:sz w:val="20"/>
                <w:szCs w:val="20"/>
              </w:rPr>
            </w:pPr>
            <w:r>
              <w:rPr>
                <w:sz w:val="20"/>
                <w:szCs w:val="20"/>
              </w:rPr>
              <w:t>692</w:t>
            </w:r>
          </w:p>
        </w:tc>
        <w:tc>
          <w:tcPr>
            <w:tcW w:w="1417" w:type="dxa"/>
            <w:shd w:val="clear" w:color="auto" w:fill="FFFFFF"/>
            <w:vAlign w:val="center"/>
          </w:tcPr>
          <w:p w:rsidR="00A55E1E" w:rsidRDefault="002124E2">
            <w:pPr>
              <w:pStyle w:val="normal"/>
              <w:jc w:val="right"/>
              <w:rPr>
                <w:sz w:val="20"/>
                <w:szCs w:val="20"/>
              </w:rPr>
            </w:pPr>
            <w:r>
              <w:rPr>
                <w:sz w:val="20"/>
                <w:szCs w:val="20"/>
              </w:rPr>
              <w:t>-253,68</w:t>
            </w:r>
          </w:p>
        </w:tc>
        <w:tc>
          <w:tcPr>
            <w:tcW w:w="1560" w:type="dxa"/>
            <w:shd w:val="clear" w:color="auto" w:fill="FFFFFF"/>
            <w:vAlign w:val="center"/>
          </w:tcPr>
          <w:p w:rsidR="00A55E1E" w:rsidRDefault="002124E2">
            <w:pPr>
              <w:pStyle w:val="normal"/>
              <w:jc w:val="right"/>
              <w:rPr>
                <w:sz w:val="20"/>
                <w:szCs w:val="20"/>
              </w:rPr>
            </w:pPr>
            <w:r>
              <w:rPr>
                <w:sz w:val="20"/>
                <w:szCs w:val="20"/>
              </w:rPr>
              <w:t>-253,68</w:t>
            </w:r>
          </w:p>
        </w:tc>
      </w:tr>
      <w:tr w:rsidR="00A55E1E">
        <w:tc>
          <w:tcPr>
            <w:tcW w:w="3888" w:type="dxa"/>
            <w:shd w:val="clear" w:color="auto" w:fill="FFFFFF"/>
            <w:vAlign w:val="center"/>
          </w:tcPr>
          <w:p w:rsidR="00A55E1E" w:rsidRDefault="002124E2">
            <w:pPr>
              <w:pStyle w:val="normal"/>
              <w:rPr>
                <w:sz w:val="20"/>
                <w:szCs w:val="20"/>
              </w:rPr>
            </w:pPr>
            <w:r>
              <w:rPr>
                <w:sz w:val="20"/>
                <w:szCs w:val="20"/>
              </w:rPr>
              <w:t>Konsolidácia odvodu príjmov ROPO</w:t>
            </w:r>
          </w:p>
        </w:tc>
        <w:tc>
          <w:tcPr>
            <w:tcW w:w="1134" w:type="dxa"/>
            <w:shd w:val="clear" w:color="auto" w:fill="FFFFFF"/>
            <w:vAlign w:val="center"/>
          </w:tcPr>
          <w:p w:rsidR="00A55E1E" w:rsidRDefault="002124E2">
            <w:pPr>
              <w:pStyle w:val="normal"/>
              <w:rPr>
                <w:sz w:val="20"/>
                <w:szCs w:val="20"/>
              </w:rPr>
            </w:pPr>
            <w:r>
              <w:rPr>
                <w:sz w:val="20"/>
                <w:szCs w:val="20"/>
              </w:rPr>
              <w:t>588</w:t>
            </w:r>
          </w:p>
        </w:tc>
        <w:tc>
          <w:tcPr>
            <w:tcW w:w="992" w:type="dxa"/>
            <w:shd w:val="clear" w:color="auto" w:fill="FFFFFF"/>
            <w:vAlign w:val="center"/>
          </w:tcPr>
          <w:p w:rsidR="00A55E1E" w:rsidRDefault="002124E2">
            <w:pPr>
              <w:pStyle w:val="normal"/>
              <w:rPr>
                <w:sz w:val="20"/>
                <w:szCs w:val="20"/>
              </w:rPr>
            </w:pPr>
            <w:r>
              <w:rPr>
                <w:sz w:val="20"/>
                <w:szCs w:val="20"/>
              </w:rPr>
              <w:t>699</w:t>
            </w:r>
          </w:p>
        </w:tc>
        <w:tc>
          <w:tcPr>
            <w:tcW w:w="1417" w:type="dxa"/>
            <w:shd w:val="clear" w:color="auto" w:fill="FFFFFF"/>
            <w:vAlign w:val="center"/>
          </w:tcPr>
          <w:p w:rsidR="00A55E1E" w:rsidRDefault="002124E2">
            <w:pPr>
              <w:pStyle w:val="normal"/>
              <w:jc w:val="right"/>
              <w:rPr>
                <w:sz w:val="20"/>
                <w:szCs w:val="20"/>
              </w:rPr>
            </w:pPr>
            <w:r>
              <w:rPr>
                <w:sz w:val="20"/>
                <w:szCs w:val="20"/>
              </w:rPr>
              <w:t>-10 042,63</w:t>
            </w:r>
          </w:p>
        </w:tc>
        <w:tc>
          <w:tcPr>
            <w:tcW w:w="1560" w:type="dxa"/>
            <w:shd w:val="clear" w:color="auto" w:fill="FFFFFF"/>
            <w:vAlign w:val="center"/>
          </w:tcPr>
          <w:p w:rsidR="00A55E1E" w:rsidRDefault="002124E2">
            <w:pPr>
              <w:pStyle w:val="normal"/>
              <w:jc w:val="right"/>
              <w:rPr>
                <w:sz w:val="20"/>
                <w:szCs w:val="20"/>
              </w:rPr>
            </w:pPr>
            <w:r>
              <w:rPr>
                <w:sz w:val="20"/>
                <w:szCs w:val="20"/>
              </w:rPr>
              <w:t>-10 042,63</w:t>
            </w:r>
          </w:p>
        </w:tc>
      </w:tr>
      <w:tr w:rsidR="00A55E1E">
        <w:tc>
          <w:tcPr>
            <w:tcW w:w="3888" w:type="dxa"/>
            <w:shd w:val="clear" w:color="auto" w:fill="FFFFFF"/>
            <w:vAlign w:val="center"/>
          </w:tcPr>
          <w:p w:rsidR="00A55E1E" w:rsidRDefault="002124E2">
            <w:pPr>
              <w:pStyle w:val="normal"/>
              <w:rPr>
                <w:sz w:val="20"/>
                <w:szCs w:val="20"/>
              </w:rPr>
            </w:pPr>
            <w:r>
              <w:rPr>
                <w:sz w:val="20"/>
                <w:szCs w:val="20"/>
              </w:rPr>
              <w:t>Konsolidácia odvodu príjmov ROPO</w:t>
            </w:r>
          </w:p>
        </w:tc>
        <w:tc>
          <w:tcPr>
            <w:tcW w:w="1134" w:type="dxa"/>
            <w:shd w:val="clear" w:color="auto" w:fill="FFFFFF"/>
            <w:vAlign w:val="center"/>
          </w:tcPr>
          <w:p w:rsidR="00A55E1E" w:rsidRDefault="002124E2">
            <w:pPr>
              <w:pStyle w:val="normal"/>
              <w:rPr>
                <w:sz w:val="20"/>
                <w:szCs w:val="20"/>
              </w:rPr>
            </w:pPr>
            <w:r>
              <w:rPr>
                <w:sz w:val="20"/>
                <w:szCs w:val="20"/>
              </w:rPr>
              <w:t>589</w:t>
            </w:r>
          </w:p>
        </w:tc>
        <w:tc>
          <w:tcPr>
            <w:tcW w:w="992" w:type="dxa"/>
            <w:shd w:val="clear" w:color="auto" w:fill="FFFFFF"/>
            <w:vAlign w:val="center"/>
          </w:tcPr>
          <w:p w:rsidR="00A55E1E" w:rsidRDefault="002124E2">
            <w:pPr>
              <w:pStyle w:val="normal"/>
              <w:rPr>
                <w:sz w:val="20"/>
                <w:szCs w:val="20"/>
              </w:rPr>
            </w:pPr>
            <w:r>
              <w:rPr>
                <w:sz w:val="20"/>
                <w:szCs w:val="20"/>
              </w:rPr>
              <w:t>699</w:t>
            </w:r>
          </w:p>
        </w:tc>
        <w:tc>
          <w:tcPr>
            <w:tcW w:w="1417" w:type="dxa"/>
            <w:shd w:val="clear" w:color="auto" w:fill="FFFFFF"/>
            <w:vAlign w:val="center"/>
          </w:tcPr>
          <w:p w:rsidR="00A55E1E" w:rsidRDefault="002124E2">
            <w:pPr>
              <w:pStyle w:val="normal"/>
              <w:jc w:val="right"/>
              <w:rPr>
                <w:sz w:val="20"/>
                <w:szCs w:val="20"/>
              </w:rPr>
            </w:pPr>
            <w:r>
              <w:rPr>
                <w:sz w:val="20"/>
                <w:szCs w:val="20"/>
              </w:rPr>
              <w:t>-351,40</w:t>
            </w:r>
          </w:p>
        </w:tc>
        <w:tc>
          <w:tcPr>
            <w:tcW w:w="1560" w:type="dxa"/>
            <w:shd w:val="clear" w:color="auto" w:fill="FFFFFF"/>
            <w:vAlign w:val="center"/>
          </w:tcPr>
          <w:p w:rsidR="00A55E1E" w:rsidRDefault="002124E2">
            <w:pPr>
              <w:pStyle w:val="normal"/>
              <w:jc w:val="right"/>
              <w:rPr>
                <w:sz w:val="20"/>
                <w:szCs w:val="20"/>
              </w:rPr>
            </w:pPr>
            <w:r>
              <w:rPr>
                <w:sz w:val="20"/>
                <w:szCs w:val="20"/>
              </w:rPr>
              <w:t>-351,40</w:t>
            </w:r>
          </w:p>
        </w:tc>
      </w:tr>
    </w:tbl>
    <w:p w:rsidR="00A55E1E" w:rsidRDefault="00A55E1E">
      <w:pPr>
        <w:pStyle w:val="normal"/>
        <w:tabs>
          <w:tab w:val="left" w:pos="462"/>
        </w:tabs>
        <w:rPr>
          <w:b/>
          <w:sz w:val="16"/>
          <w:szCs w:val="16"/>
        </w:rPr>
      </w:pPr>
    </w:p>
    <w:p w:rsidR="00A55E1E" w:rsidRDefault="00A55E1E">
      <w:pPr>
        <w:pStyle w:val="normal"/>
        <w:tabs>
          <w:tab w:val="left" w:pos="462"/>
        </w:tabs>
        <w:rPr>
          <w:b/>
          <w:sz w:val="16"/>
          <w:szCs w:val="16"/>
        </w:rPr>
      </w:pPr>
    </w:p>
    <w:p w:rsidR="00A55E1E" w:rsidRDefault="00A55E1E">
      <w:pPr>
        <w:pStyle w:val="normal"/>
        <w:tabs>
          <w:tab w:val="left" w:pos="462"/>
        </w:tabs>
        <w:rPr>
          <w:b/>
          <w:sz w:val="16"/>
          <w:szCs w:val="16"/>
        </w:rPr>
      </w:pPr>
    </w:p>
    <w:p w:rsidR="00A55E1E" w:rsidRDefault="00A55E1E">
      <w:pPr>
        <w:pStyle w:val="normal"/>
        <w:tabs>
          <w:tab w:val="left" w:pos="462"/>
        </w:tabs>
        <w:rPr>
          <w:b/>
          <w:sz w:val="16"/>
          <w:szCs w:val="16"/>
        </w:rPr>
      </w:pPr>
    </w:p>
    <w:p w:rsidR="00A55E1E" w:rsidRDefault="00A55E1E">
      <w:pPr>
        <w:pStyle w:val="normal"/>
        <w:tabs>
          <w:tab w:val="left" w:pos="462"/>
        </w:tabs>
        <w:rPr>
          <w:b/>
          <w:sz w:val="16"/>
          <w:szCs w:val="16"/>
        </w:rPr>
      </w:pPr>
    </w:p>
    <w:p w:rsidR="00A55E1E" w:rsidRDefault="002124E2">
      <w:pPr>
        <w:pStyle w:val="normal"/>
        <w:tabs>
          <w:tab w:val="left" w:pos="462"/>
        </w:tabs>
        <w:rPr>
          <w:b/>
          <w:sz w:val="20"/>
          <w:szCs w:val="20"/>
        </w:rPr>
      </w:pPr>
      <w:r>
        <w:rPr>
          <w:b/>
          <w:sz w:val="20"/>
          <w:szCs w:val="20"/>
        </w:rPr>
        <w:t>IV. INÉ AKTÍVA A PASÍVA</w:t>
      </w:r>
    </w:p>
    <w:p w:rsidR="00A55E1E" w:rsidRDefault="00A55E1E">
      <w:pPr>
        <w:pStyle w:val="normal"/>
        <w:tabs>
          <w:tab w:val="left" w:pos="448"/>
        </w:tabs>
        <w:rPr>
          <w:b/>
          <w:sz w:val="16"/>
          <w:szCs w:val="16"/>
        </w:rPr>
      </w:pPr>
    </w:p>
    <w:p w:rsidR="00A55E1E" w:rsidRDefault="002124E2">
      <w:pPr>
        <w:pStyle w:val="normal"/>
        <w:tabs>
          <w:tab w:val="left" w:pos="448"/>
        </w:tabs>
        <w:rPr>
          <w:b/>
          <w:sz w:val="20"/>
          <w:szCs w:val="20"/>
        </w:rPr>
      </w:pPr>
      <w:r>
        <w:rPr>
          <w:b/>
          <w:sz w:val="20"/>
          <w:szCs w:val="20"/>
        </w:rPr>
        <w:t>1.</w:t>
      </w:r>
      <w:r>
        <w:rPr>
          <w:b/>
          <w:sz w:val="20"/>
          <w:szCs w:val="20"/>
        </w:rPr>
        <w:tab/>
        <w:t>Prípadné ďalšie záväzky</w:t>
      </w:r>
    </w:p>
    <w:p w:rsidR="00A55E1E" w:rsidRDefault="002124E2">
      <w:pPr>
        <w:pStyle w:val="normal"/>
        <w:ind w:left="448" w:right="-79"/>
        <w:rPr>
          <w:sz w:val="20"/>
          <w:szCs w:val="20"/>
        </w:rPr>
      </w:pPr>
      <w:r>
        <w:rPr>
          <w:sz w:val="20"/>
          <w:szCs w:val="20"/>
        </w:rPr>
        <w:t>Tabuľka č. 23 – Informácia o iných aktívach a iných pasívach</w:t>
      </w:r>
    </w:p>
    <w:p w:rsidR="00A55E1E" w:rsidRDefault="002124E2">
      <w:pPr>
        <w:pStyle w:val="normal"/>
        <w:ind w:left="448" w:right="-79"/>
        <w:rPr>
          <w:sz w:val="20"/>
          <w:szCs w:val="20"/>
        </w:rPr>
      </w:pPr>
      <w:r>
        <w:rPr>
          <w:sz w:val="20"/>
          <w:szCs w:val="20"/>
        </w:rPr>
        <w:t xml:space="preserve">Konsolidovaný celok </w:t>
      </w:r>
      <w:r>
        <w:rPr>
          <w:i/>
          <w:sz w:val="20"/>
          <w:szCs w:val="20"/>
        </w:rPr>
        <w:t>Obec Malá Lehota nemá</w:t>
      </w:r>
      <w:r>
        <w:rPr>
          <w:i/>
          <w:color w:val="FF0000"/>
          <w:sz w:val="20"/>
          <w:szCs w:val="20"/>
        </w:rPr>
        <w:t xml:space="preserve"> </w:t>
      </w:r>
      <w:r>
        <w:rPr>
          <w:sz w:val="20"/>
          <w:szCs w:val="20"/>
        </w:rPr>
        <w:t>ďalšie záväzky, ktoré sa nesledujú v bežnom účtovníctve a neuvádzajú sa v súvahe</w:t>
      </w:r>
    </w:p>
    <w:p w:rsidR="00A55E1E" w:rsidRDefault="00A55E1E">
      <w:pPr>
        <w:pStyle w:val="normal"/>
        <w:ind w:left="448" w:right="-79"/>
        <w:rPr>
          <w:sz w:val="20"/>
          <w:szCs w:val="20"/>
        </w:rPr>
      </w:pPr>
    </w:p>
    <w:p w:rsidR="00A55E1E" w:rsidRDefault="002124E2">
      <w:pPr>
        <w:pStyle w:val="normal"/>
        <w:ind w:left="448" w:right="-79"/>
        <w:rPr>
          <w:sz w:val="20"/>
          <w:szCs w:val="20"/>
        </w:rPr>
      </w:pPr>
      <w:r>
        <w:rPr>
          <w:sz w:val="20"/>
          <w:szCs w:val="20"/>
        </w:rPr>
        <w:t xml:space="preserve">Účtovná jednotka nespravuje žiadne nehnuteľné kultúrne pamiatky. </w:t>
      </w:r>
    </w:p>
    <w:p w:rsidR="00A55E1E" w:rsidRDefault="00A55E1E">
      <w:pPr>
        <w:pStyle w:val="normal"/>
        <w:ind w:left="448" w:right="-79"/>
        <w:rPr>
          <w:sz w:val="20"/>
          <w:szCs w:val="20"/>
          <w:highlight w:val="red"/>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A55E1E" w:rsidRDefault="00A55E1E">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94574A" w:rsidRDefault="0094574A">
      <w:pPr>
        <w:pStyle w:val="normal"/>
        <w:tabs>
          <w:tab w:val="left" w:pos="448"/>
        </w:tabs>
        <w:ind w:left="425" w:hanging="425"/>
        <w:rPr>
          <w:b/>
          <w:sz w:val="16"/>
          <w:szCs w:val="16"/>
        </w:rPr>
      </w:pPr>
    </w:p>
    <w:p w:rsidR="00A55E1E" w:rsidRDefault="002124E2">
      <w:pPr>
        <w:pStyle w:val="normal"/>
        <w:tabs>
          <w:tab w:val="left" w:pos="448"/>
        </w:tabs>
        <w:ind w:left="425" w:hanging="425"/>
        <w:rPr>
          <w:b/>
          <w:sz w:val="20"/>
          <w:szCs w:val="20"/>
        </w:rPr>
      </w:pPr>
      <w:r>
        <w:rPr>
          <w:b/>
          <w:sz w:val="20"/>
          <w:szCs w:val="20"/>
        </w:rPr>
        <w:t>V.</w:t>
      </w:r>
      <w:r>
        <w:rPr>
          <w:b/>
          <w:sz w:val="20"/>
          <w:szCs w:val="20"/>
        </w:rPr>
        <w:tab/>
        <w:t>SKUTOČNOSTI, KTORÉ NASTALI PO DNI, KU KTORÉMU SA ZOSTAVUJE ÚČTOVNÁ ZÁVIERKA, DO DŇA JEJ ZOSTAVENIA</w:t>
      </w:r>
    </w:p>
    <w:p w:rsidR="00A55E1E" w:rsidRDefault="00A55E1E">
      <w:pPr>
        <w:pStyle w:val="normal"/>
        <w:ind w:left="448" w:right="-79"/>
        <w:rPr>
          <w:sz w:val="20"/>
          <w:szCs w:val="20"/>
        </w:rPr>
      </w:pPr>
    </w:p>
    <w:p w:rsidR="00A55E1E" w:rsidRDefault="002124E2">
      <w:pPr>
        <w:pStyle w:val="normal"/>
        <w:ind w:left="448" w:right="-79"/>
        <w:rPr>
          <w:sz w:val="20"/>
          <w:szCs w:val="20"/>
        </w:rPr>
      </w:pPr>
      <w:r>
        <w:rPr>
          <w:sz w:val="20"/>
          <w:szCs w:val="20"/>
        </w:rPr>
        <w:t xml:space="preserve">Po 31. decembri 2016 </w:t>
      </w:r>
      <w:r>
        <w:rPr>
          <w:i/>
          <w:sz w:val="20"/>
          <w:szCs w:val="20"/>
        </w:rPr>
        <w:t xml:space="preserve">nenastali </w:t>
      </w:r>
      <w:r>
        <w:rPr>
          <w:sz w:val="20"/>
          <w:szCs w:val="20"/>
        </w:rPr>
        <w:t>také udalosti, ktoré by si vyžadovali zverejnenie alebo vykázanie                         v konsolidovanej účtovnej závierke za rok 2016.</w:t>
      </w:r>
    </w:p>
    <w:p w:rsidR="00A55E1E" w:rsidRDefault="00A55E1E">
      <w:pPr>
        <w:pStyle w:val="normal"/>
        <w:rPr>
          <w:sz w:val="16"/>
          <w:szCs w:val="16"/>
        </w:rPr>
      </w:pPr>
    </w:p>
    <w:p w:rsidR="00A55E1E" w:rsidRDefault="00A55E1E">
      <w:pPr>
        <w:pStyle w:val="normal"/>
        <w:tabs>
          <w:tab w:val="left" w:pos="462"/>
        </w:tabs>
        <w:rPr>
          <w:sz w:val="16"/>
          <w:szCs w:val="16"/>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ind w:left="448" w:right="-79"/>
        <w:rPr>
          <w:sz w:val="20"/>
          <w:szCs w:val="20"/>
        </w:rPr>
      </w:pPr>
    </w:p>
    <w:p w:rsidR="00A55E1E" w:rsidRDefault="00A55E1E">
      <w:pPr>
        <w:pStyle w:val="normal"/>
        <w:rPr>
          <w:sz w:val="16"/>
          <w:szCs w:val="16"/>
        </w:rPr>
      </w:pPr>
    </w:p>
    <w:tbl>
      <w:tblPr>
        <w:tblStyle w:val="a4"/>
        <w:bidiVisual/>
        <w:tblW w:w="9355" w:type="dxa"/>
        <w:tblInd w:w="434" w:type="dxa"/>
        <w:tblLayout w:type="fixed"/>
        <w:tblLook w:val="0000"/>
      </w:tblPr>
      <w:tblGrid>
        <w:gridCol w:w="2693"/>
        <w:gridCol w:w="2551"/>
        <w:gridCol w:w="4111"/>
      </w:tblGrid>
      <w:tr w:rsidR="00A55E1E">
        <w:tc>
          <w:tcPr>
            <w:tcW w:w="2693" w:type="dxa"/>
            <w:tcBorders>
              <w:bottom w:val="single" w:sz="4" w:space="0" w:color="000000"/>
            </w:tcBorders>
          </w:tcPr>
          <w:p w:rsidR="00A55E1E" w:rsidRDefault="002124E2">
            <w:pPr>
              <w:pStyle w:val="normal"/>
              <w:rPr>
                <w:sz w:val="16"/>
                <w:szCs w:val="16"/>
              </w:rPr>
            </w:pPr>
            <w:r>
              <w:rPr>
                <w:sz w:val="16"/>
                <w:szCs w:val="16"/>
              </w:rPr>
              <w:t xml:space="preserve">                        20.06.2017</w:t>
            </w:r>
          </w:p>
        </w:tc>
        <w:tc>
          <w:tcPr>
            <w:tcW w:w="2551" w:type="dxa"/>
          </w:tcPr>
          <w:p w:rsidR="00A55E1E" w:rsidRDefault="00A55E1E">
            <w:pPr>
              <w:pStyle w:val="normal"/>
              <w:rPr>
                <w:b/>
                <w:sz w:val="16"/>
                <w:szCs w:val="16"/>
              </w:rPr>
            </w:pPr>
          </w:p>
        </w:tc>
        <w:tc>
          <w:tcPr>
            <w:tcW w:w="4111" w:type="dxa"/>
            <w:tcBorders>
              <w:bottom w:val="single" w:sz="4" w:space="0" w:color="000000"/>
            </w:tcBorders>
          </w:tcPr>
          <w:p w:rsidR="00A55E1E" w:rsidRDefault="00A55E1E">
            <w:pPr>
              <w:pStyle w:val="normal"/>
              <w:rPr>
                <w:sz w:val="16"/>
                <w:szCs w:val="16"/>
              </w:rPr>
            </w:pPr>
          </w:p>
        </w:tc>
      </w:tr>
      <w:tr w:rsidR="00A55E1E">
        <w:tc>
          <w:tcPr>
            <w:tcW w:w="2693" w:type="dxa"/>
            <w:tcBorders>
              <w:top w:val="single" w:sz="4" w:space="0" w:color="000000"/>
            </w:tcBorders>
          </w:tcPr>
          <w:p w:rsidR="00A55E1E" w:rsidRDefault="002124E2">
            <w:pPr>
              <w:pStyle w:val="normal"/>
              <w:jc w:val="center"/>
              <w:rPr>
                <w:sz w:val="16"/>
                <w:szCs w:val="16"/>
              </w:rPr>
            </w:pPr>
            <w:r>
              <w:rPr>
                <w:sz w:val="16"/>
                <w:szCs w:val="16"/>
              </w:rPr>
              <w:t>Dátum</w:t>
            </w:r>
          </w:p>
        </w:tc>
        <w:tc>
          <w:tcPr>
            <w:tcW w:w="2551" w:type="dxa"/>
          </w:tcPr>
          <w:p w:rsidR="00A55E1E" w:rsidRDefault="00A55E1E">
            <w:pPr>
              <w:pStyle w:val="normal"/>
              <w:jc w:val="center"/>
              <w:rPr>
                <w:b/>
                <w:sz w:val="16"/>
                <w:szCs w:val="16"/>
              </w:rPr>
            </w:pPr>
          </w:p>
        </w:tc>
        <w:tc>
          <w:tcPr>
            <w:tcW w:w="4111" w:type="dxa"/>
            <w:tcBorders>
              <w:top w:val="single" w:sz="4" w:space="0" w:color="000000"/>
            </w:tcBorders>
          </w:tcPr>
          <w:p w:rsidR="00A55E1E" w:rsidRDefault="002124E2">
            <w:pPr>
              <w:pStyle w:val="normal"/>
              <w:jc w:val="center"/>
              <w:rPr>
                <w:b/>
                <w:i/>
                <w:sz w:val="16"/>
                <w:szCs w:val="16"/>
              </w:rPr>
            </w:pPr>
            <w:r>
              <w:rPr>
                <w:b/>
                <w:i/>
                <w:sz w:val="16"/>
                <w:szCs w:val="16"/>
              </w:rPr>
              <w:t>Dušan Pacalaj, starosta obce</w:t>
            </w:r>
          </w:p>
          <w:p w:rsidR="00A55E1E" w:rsidRDefault="002124E2">
            <w:pPr>
              <w:pStyle w:val="normal"/>
              <w:jc w:val="center"/>
              <w:rPr>
                <w:sz w:val="16"/>
                <w:szCs w:val="16"/>
              </w:rPr>
            </w:pPr>
            <w:r>
              <w:rPr>
                <w:sz w:val="16"/>
                <w:szCs w:val="16"/>
              </w:rPr>
              <w:t>Podpis štatutárneho orgánu</w:t>
            </w:r>
          </w:p>
        </w:tc>
      </w:tr>
    </w:tbl>
    <w:p w:rsidR="00A55E1E" w:rsidRDefault="00A55E1E">
      <w:pPr>
        <w:pStyle w:val="normal"/>
        <w:rPr>
          <w:sz w:val="16"/>
          <w:szCs w:val="16"/>
        </w:rPr>
      </w:pPr>
    </w:p>
    <w:p w:rsidR="00A55E1E" w:rsidRDefault="00A55E1E">
      <w:pPr>
        <w:pStyle w:val="normal"/>
        <w:ind w:left="448" w:right="-79"/>
        <w:rPr>
          <w:sz w:val="20"/>
          <w:szCs w:val="20"/>
        </w:rPr>
      </w:pPr>
    </w:p>
    <w:p w:rsidR="00A55E1E" w:rsidRDefault="00A55E1E">
      <w:pPr>
        <w:pStyle w:val="normal"/>
        <w:rPr>
          <w:sz w:val="16"/>
          <w:szCs w:val="16"/>
        </w:rPr>
      </w:pPr>
    </w:p>
    <w:p w:rsidR="00A55E1E" w:rsidRDefault="00A55E1E">
      <w:pPr>
        <w:pStyle w:val="normal"/>
        <w:rPr>
          <w:sz w:val="16"/>
          <w:szCs w:val="16"/>
        </w:rPr>
      </w:pPr>
    </w:p>
    <w:p w:rsidR="00A55E1E" w:rsidRDefault="00A55E1E">
      <w:pPr>
        <w:pStyle w:val="normal"/>
        <w:rPr>
          <w:sz w:val="16"/>
          <w:szCs w:val="16"/>
        </w:rPr>
      </w:pPr>
    </w:p>
    <w:p w:rsidR="00A55E1E" w:rsidRDefault="00A55E1E">
      <w:pPr>
        <w:pStyle w:val="normal"/>
        <w:rPr>
          <w:sz w:val="16"/>
          <w:szCs w:val="16"/>
        </w:rPr>
      </w:pPr>
    </w:p>
    <w:p w:rsidR="00A55E1E" w:rsidRDefault="00A55E1E">
      <w:pPr>
        <w:pStyle w:val="normal"/>
        <w:rPr>
          <w:sz w:val="16"/>
          <w:szCs w:val="16"/>
        </w:rPr>
      </w:pPr>
    </w:p>
    <w:p w:rsidR="00A55E1E" w:rsidRDefault="00A55E1E">
      <w:pPr>
        <w:pStyle w:val="normal"/>
        <w:rPr>
          <w:sz w:val="16"/>
          <w:szCs w:val="16"/>
        </w:rPr>
      </w:pPr>
    </w:p>
    <w:p w:rsidR="00A55E1E" w:rsidRDefault="00A55E1E">
      <w:pPr>
        <w:pStyle w:val="normal"/>
        <w:rPr>
          <w:sz w:val="16"/>
          <w:szCs w:val="16"/>
        </w:rPr>
      </w:pPr>
    </w:p>
    <w:p w:rsidR="00A55E1E" w:rsidRDefault="00A55E1E">
      <w:pPr>
        <w:pStyle w:val="normal"/>
        <w:rPr>
          <w:sz w:val="16"/>
          <w:szCs w:val="16"/>
        </w:rPr>
      </w:pPr>
    </w:p>
    <w:p w:rsidR="00A55E1E" w:rsidRDefault="00A55E1E">
      <w:pPr>
        <w:pStyle w:val="normal"/>
        <w:rPr>
          <w:sz w:val="16"/>
          <w:szCs w:val="16"/>
        </w:rPr>
      </w:pPr>
    </w:p>
    <w:p w:rsidR="00A55E1E" w:rsidRDefault="00A55E1E">
      <w:pPr>
        <w:pStyle w:val="normal"/>
        <w:rPr>
          <w:sz w:val="16"/>
          <w:szCs w:val="16"/>
        </w:rPr>
      </w:pPr>
    </w:p>
    <w:p w:rsidR="00A55E1E" w:rsidRDefault="00A55E1E">
      <w:pPr>
        <w:pStyle w:val="normal"/>
        <w:rPr>
          <w:sz w:val="16"/>
          <w:szCs w:val="16"/>
        </w:rPr>
      </w:pPr>
    </w:p>
    <w:p w:rsidR="00A55E1E" w:rsidRDefault="00A55E1E">
      <w:pPr>
        <w:pStyle w:val="normal"/>
        <w:rPr>
          <w:sz w:val="16"/>
          <w:szCs w:val="16"/>
        </w:rPr>
      </w:pPr>
    </w:p>
    <w:p w:rsidR="00A55E1E" w:rsidRDefault="00A55E1E">
      <w:pPr>
        <w:pStyle w:val="normal"/>
        <w:rPr>
          <w:sz w:val="16"/>
          <w:szCs w:val="16"/>
        </w:rPr>
      </w:pPr>
    </w:p>
    <w:sectPr w:rsidR="00A55E1E" w:rsidSect="00A55E1E">
      <w:headerReference w:type="default" r:id="rId7"/>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FAD" w:rsidRDefault="00490FAD" w:rsidP="00A55E1E">
      <w:r>
        <w:separator/>
      </w:r>
    </w:p>
  </w:endnote>
  <w:endnote w:type="continuationSeparator" w:id="1">
    <w:p w:rsidR="00490FAD" w:rsidRDefault="00490FAD" w:rsidP="00A55E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FAD" w:rsidRDefault="00490FAD" w:rsidP="00A55E1E">
      <w:r>
        <w:separator/>
      </w:r>
    </w:p>
  </w:footnote>
  <w:footnote w:type="continuationSeparator" w:id="1">
    <w:p w:rsidR="00490FAD" w:rsidRDefault="00490FAD" w:rsidP="00A55E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E1E" w:rsidRDefault="002124E2">
    <w:pPr>
      <w:pStyle w:val="normal"/>
      <w:tabs>
        <w:tab w:val="center" w:pos="4536"/>
        <w:tab w:val="right" w:pos="9072"/>
      </w:tabs>
      <w:spacing w:before="708"/>
      <w:ind w:right="-82"/>
      <w:jc w:val="right"/>
      <w:rPr>
        <w:sz w:val="20"/>
        <w:szCs w:val="20"/>
      </w:rPr>
    </w:pPr>
    <w:r>
      <w:rPr>
        <w:sz w:val="20"/>
        <w:szCs w:val="20"/>
      </w:rPr>
      <w:tab/>
      <w:t xml:space="preserve">             </w:t>
    </w:r>
  </w:p>
  <w:p w:rsidR="00A55E1E" w:rsidRDefault="002124E2">
    <w:pPr>
      <w:pStyle w:val="normal"/>
      <w:tabs>
        <w:tab w:val="center" w:pos="4536"/>
        <w:tab w:val="right" w:pos="9072"/>
      </w:tabs>
      <w:ind w:right="-82"/>
      <w:jc w:val="center"/>
      <w:rPr>
        <w:sz w:val="20"/>
        <w:szCs w:val="20"/>
      </w:rPr>
    </w:pPr>
    <w:r>
      <w:rPr>
        <w:i/>
        <w:sz w:val="20"/>
        <w:szCs w:val="20"/>
      </w:rPr>
      <w:t>Obec Malá  Lehota</w:t>
    </w:r>
  </w:p>
  <w:p w:rsidR="00A55E1E" w:rsidRDefault="00A55E1E">
    <w:pPr>
      <w:pStyle w:val="normal"/>
      <w:tabs>
        <w:tab w:val="center" w:pos="4536"/>
        <w:tab w:val="right" w:pos="9072"/>
      </w:tabs>
    </w:pPr>
  </w:p>
  <w:p w:rsidR="00A55E1E" w:rsidRDefault="00A55E1E">
    <w:pPr>
      <w:pStyle w:val="normal"/>
      <w:tabs>
        <w:tab w:val="center" w:pos="4536"/>
        <w:tab w:val="right" w:pos="90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63C2F"/>
    <w:multiLevelType w:val="multilevel"/>
    <w:tmpl w:val="21483CCC"/>
    <w:lvl w:ilvl="0">
      <w:start w:val="1"/>
      <w:numFmt w:val="lowerLetter"/>
      <w:lvlText w:val="%1)"/>
      <w:lvlJc w:val="left"/>
      <w:pPr>
        <w:ind w:left="465" w:firstLine="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27715D2D"/>
    <w:multiLevelType w:val="multilevel"/>
    <w:tmpl w:val="6B283A2C"/>
    <w:lvl w:ilvl="0">
      <w:start w:val="1"/>
      <w:numFmt w:val="decimal"/>
      <w:lvlText w:val="%1."/>
      <w:lvlJc w:val="left"/>
      <w:pPr>
        <w:ind w:left="786" w:firstLine="425"/>
      </w:pPr>
    </w:lvl>
    <w:lvl w:ilvl="1">
      <w:start w:val="1"/>
      <w:numFmt w:val="lowerLetter"/>
      <w:lvlText w:val="%2."/>
      <w:lvlJc w:val="left"/>
      <w:pPr>
        <w:ind w:left="1506" w:firstLine="1146"/>
      </w:pPr>
    </w:lvl>
    <w:lvl w:ilvl="2">
      <w:start w:val="1"/>
      <w:numFmt w:val="lowerRoman"/>
      <w:lvlText w:val="%3."/>
      <w:lvlJc w:val="right"/>
      <w:pPr>
        <w:ind w:left="2226" w:firstLine="2046"/>
      </w:pPr>
    </w:lvl>
    <w:lvl w:ilvl="3">
      <w:start w:val="1"/>
      <w:numFmt w:val="decimal"/>
      <w:lvlText w:val="%4."/>
      <w:lvlJc w:val="left"/>
      <w:pPr>
        <w:ind w:left="2946" w:firstLine="2586"/>
      </w:pPr>
    </w:lvl>
    <w:lvl w:ilvl="4">
      <w:start w:val="1"/>
      <w:numFmt w:val="lowerLetter"/>
      <w:lvlText w:val="%5."/>
      <w:lvlJc w:val="left"/>
      <w:pPr>
        <w:ind w:left="3666" w:firstLine="3306"/>
      </w:pPr>
    </w:lvl>
    <w:lvl w:ilvl="5">
      <w:start w:val="1"/>
      <w:numFmt w:val="lowerRoman"/>
      <w:lvlText w:val="%6."/>
      <w:lvlJc w:val="right"/>
      <w:pPr>
        <w:ind w:left="4386" w:firstLine="4206"/>
      </w:pPr>
    </w:lvl>
    <w:lvl w:ilvl="6">
      <w:start w:val="1"/>
      <w:numFmt w:val="decimal"/>
      <w:lvlText w:val="%7."/>
      <w:lvlJc w:val="left"/>
      <w:pPr>
        <w:ind w:left="5106" w:firstLine="4746"/>
      </w:pPr>
    </w:lvl>
    <w:lvl w:ilvl="7">
      <w:start w:val="1"/>
      <w:numFmt w:val="lowerLetter"/>
      <w:lvlText w:val="%8."/>
      <w:lvlJc w:val="left"/>
      <w:pPr>
        <w:ind w:left="5826" w:firstLine="5466"/>
      </w:pPr>
    </w:lvl>
    <w:lvl w:ilvl="8">
      <w:start w:val="1"/>
      <w:numFmt w:val="lowerRoman"/>
      <w:lvlText w:val="%9."/>
      <w:lvlJc w:val="right"/>
      <w:pPr>
        <w:ind w:left="6546" w:firstLine="6366"/>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hyphenationZone w:val="425"/>
  <w:characterSpacingControl w:val="doNotCompress"/>
  <w:footnotePr>
    <w:footnote w:id="0"/>
    <w:footnote w:id="1"/>
  </w:footnotePr>
  <w:endnotePr>
    <w:endnote w:id="0"/>
    <w:endnote w:id="1"/>
  </w:endnotePr>
  <w:compat/>
  <w:rsids>
    <w:rsidRoot w:val="00A55E1E"/>
    <w:rsid w:val="002124E2"/>
    <w:rsid w:val="00490FAD"/>
    <w:rsid w:val="00875FFF"/>
    <w:rsid w:val="0094574A"/>
    <w:rsid w:val="00A55E1E"/>
    <w:rsid w:val="00F117B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sk-SK" w:eastAsia="sk-SK"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117B4"/>
  </w:style>
  <w:style w:type="paragraph" w:styleId="Nadpis1">
    <w:name w:val="heading 1"/>
    <w:basedOn w:val="normal"/>
    <w:next w:val="normal"/>
    <w:rsid w:val="00A55E1E"/>
    <w:pPr>
      <w:keepNext/>
      <w:spacing w:before="60" w:after="240"/>
      <w:ind w:left="-14"/>
      <w:jc w:val="both"/>
      <w:outlineLvl w:val="0"/>
    </w:pPr>
    <w:rPr>
      <w:rFonts w:ascii="Arial" w:eastAsia="Arial" w:hAnsi="Arial" w:cs="Arial"/>
      <w:b/>
      <w:sz w:val="20"/>
      <w:szCs w:val="20"/>
    </w:rPr>
  </w:style>
  <w:style w:type="paragraph" w:styleId="Nadpis2">
    <w:name w:val="heading 2"/>
    <w:basedOn w:val="normal"/>
    <w:next w:val="normal"/>
    <w:rsid w:val="00A55E1E"/>
    <w:pPr>
      <w:keepNext/>
      <w:spacing w:before="60" w:after="240"/>
      <w:ind w:left="426" w:hanging="426"/>
      <w:outlineLvl w:val="1"/>
    </w:pPr>
    <w:rPr>
      <w:rFonts w:ascii="Arial" w:eastAsia="Arial" w:hAnsi="Arial" w:cs="Arial"/>
      <w:b/>
      <w:sz w:val="20"/>
      <w:szCs w:val="20"/>
    </w:rPr>
  </w:style>
  <w:style w:type="paragraph" w:styleId="Nadpis3">
    <w:name w:val="heading 3"/>
    <w:basedOn w:val="normal"/>
    <w:next w:val="normal"/>
    <w:rsid w:val="00A55E1E"/>
    <w:pPr>
      <w:keepNext/>
      <w:tabs>
        <w:tab w:val="left" w:pos="426"/>
      </w:tabs>
      <w:spacing w:after="300" w:line="360" w:lineRule="auto"/>
      <w:jc w:val="both"/>
      <w:outlineLvl w:val="2"/>
    </w:pPr>
    <w:rPr>
      <w:b/>
      <w:sz w:val="20"/>
      <w:szCs w:val="20"/>
    </w:rPr>
  </w:style>
  <w:style w:type="paragraph" w:styleId="Nadpis4">
    <w:name w:val="heading 4"/>
    <w:basedOn w:val="normal"/>
    <w:next w:val="normal"/>
    <w:rsid w:val="00A55E1E"/>
    <w:pPr>
      <w:keepNext/>
      <w:spacing w:before="240" w:after="60"/>
      <w:outlineLvl w:val="3"/>
    </w:pPr>
    <w:rPr>
      <w:b/>
      <w:i/>
      <w:sz w:val="22"/>
      <w:szCs w:val="22"/>
    </w:rPr>
  </w:style>
  <w:style w:type="paragraph" w:styleId="Nadpis5">
    <w:name w:val="heading 5"/>
    <w:basedOn w:val="normal"/>
    <w:next w:val="normal"/>
    <w:rsid w:val="00A55E1E"/>
    <w:pPr>
      <w:spacing w:before="240" w:after="60"/>
      <w:outlineLvl w:val="4"/>
    </w:pPr>
    <w:rPr>
      <w:sz w:val="22"/>
      <w:szCs w:val="22"/>
    </w:rPr>
  </w:style>
  <w:style w:type="paragraph" w:styleId="Nadpis6">
    <w:name w:val="heading 6"/>
    <w:basedOn w:val="normal"/>
    <w:next w:val="normal"/>
    <w:rsid w:val="00A55E1E"/>
    <w:pPr>
      <w:keepNext/>
      <w:jc w:val="center"/>
      <w:outlineLvl w:val="5"/>
    </w:pPr>
    <w:rPr>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A55E1E"/>
  </w:style>
  <w:style w:type="table" w:customStyle="1" w:styleId="TableNormal">
    <w:name w:val="Table Normal"/>
    <w:rsid w:val="00A55E1E"/>
    <w:tblPr>
      <w:tblCellMar>
        <w:top w:w="0" w:type="dxa"/>
        <w:left w:w="0" w:type="dxa"/>
        <w:bottom w:w="0" w:type="dxa"/>
        <w:right w:w="0" w:type="dxa"/>
      </w:tblCellMar>
    </w:tblPr>
  </w:style>
  <w:style w:type="paragraph" w:styleId="Nzov">
    <w:name w:val="Title"/>
    <w:basedOn w:val="normal"/>
    <w:next w:val="normal"/>
    <w:rsid w:val="00A55E1E"/>
    <w:pPr>
      <w:spacing w:before="240" w:after="60"/>
      <w:jc w:val="center"/>
    </w:pPr>
    <w:rPr>
      <w:b/>
    </w:rPr>
  </w:style>
  <w:style w:type="paragraph" w:styleId="Podtitul">
    <w:name w:val="Subtitle"/>
    <w:basedOn w:val="normal"/>
    <w:next w:val="normal"/>
    <w:rsid w:val="00A55E1E"/>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A55E1E"/>
    <w:tblPr>
      <w:tblStyleRowBandSize w:val="1"/>
      <w:tblStyleColBandSize w:val="1"/>
      <w:tblCellMar>
        <w:top w:w="0" w:type="dxa"/>
        <w:left w:w="115" w:type="dxa"/>
        <w:bottom w:w="0" w:type="dxa"/>
        <w:right w:w="115" w:type="dxa"/>
      </w:tblCellMar>
    </w:tblPr>
  </w:style>
  <w:style w:type="table" w:customStyle="1" w:styleId="a0">
    <w:basedOn w:val="TableNormal"/>
    <w:rsid w:val="00A55E1E"/>
    <w:tblPr>
      <w:tblStyleRowBandSize w:val="1"/>
      <w:tblStyleColBandSize w:val="1"/>
      <w:tblCellMar>
        <w:top w:w="0" w:type="dxa"/>
        <w:left w:w="115" w:type="dxa"/>
        <w:bottom w:w="0" w:type="dxa"/>
        <w:right w:w="115" w:type="dxa"/>
      </w:tblCellMar>
    </w:tblPr>
  </w:style>
  <w:style w:type="table" w:customStyle="1" w:styleId="a1">
    <w:basedOn w:val="TableNormal"/>
    <w:rsid w:val="00A55E1E"/>
    <w:tblPr>
      <w:tblStyleRowBandSize w:val="1"/>
      <w:tblStyleColBandSize w:val="1"/>
      <w:tblCellMar>
        <w:top w:w="0" w:type="dxa"/>
        <w:left w:w="115" w:type="dxa"/>
        <w:bottom w:w="0" w:type="dxa"/>
        <w:right w:w="115" w:type="dxa"/>
      </w:tblCellMar>
    </w:tblPr>
  </w:style>
  <w:style w:type="table" w:customStyle="1" w:styleId="a2">
    <w:basedOn w:val="TableNormal"/>
    <w:rsid w:val="00A55E1E"/>
    <w:tblPr>
      <w:tblStyleRowBandSize w:val="1"/>
      <w:tblStyleColBandSize w:val="1"/>
      <w:tblCellMar>
        <w:top w:w="0" w:type="dxa"/>
        <w:left w:w="115" w:type="dxa"/>
        <w:bottom w:w="0" w:type="dxa"/>
        <w:right w:w="115" w:type="dxa"/>
      </w:tblCellMar>
    </w:tblPr>
  </w:style>
  <w:style w:type="table" w:customStyle="1" w:styleId="a3">
    <w:basedOn w:val="TableNormal"/>
    <w:rsid w:val="00A55E1E"/>
    <w:tblPr>
      <w:tblStyleRowBandSize w:val="1"/>
      <w:tblStyleColBandSize w:val="1"/>
      <w:tblCellMar>
        <w:top w:w="0" w:type="dxa"/>
        <w:left w:w="60" w:type="dxa"/>
        <w:bottom w:w="0" w:type="dxa"/>
        <w:right w:w="60" w:type="dxa"/>
      </w:tblCellMar>
    </w:tblPr>
  </w:style>
  <w:style w:type="table" w:customStyle="1" w:styleId="a4">
    <w:basedOn w:val="TableNormal"/>
    <w:rsid w:val="00A55E1E"/>
    <w:tblPr>
      <w:tblStyleRowBandSize w:val="1"/>
      <w:tblStyleColBandSize w:val="1"/>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2326</Words>
  <Characters>13260</Characters>
  <Application>Microsoft Office Word</Application>
  <DocSecurity>0</DocSecurity>
  <Lines>110</Lines>
  <Paragraphs>31</Paragraphs>
  <ScaleCrop>false</ScaleCrop>
  <Company/>
  <LinksUpToDate>false</LinksUpToDate>
  <CharactersWithSpaces>15555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owner</cp:lastModifiedBy>
  <cp:revision>5</cp:revision>
  <dcterms:created xsi:type="dcterms:W3CDTF">2017-06-20T13:47:00Z</dcterms:created>
  <dcterms:modified xsi:type="dcterms:W3CDTF">2017-06-20T13:51:00Z</dcterms:modified>
</cp:coreProperties>
</file>