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85460" w:rsidRDefault="00485460" w:rsidP="00485460">
      <w:pPr>
        <w:widowControl w:val="0"/>
        <w:autoSpaceDE w:val="0"/>
        <w:autoSpaceDN w:val="0"/>
        <w:adjustRightInd w:val="0"/>
        <w:spacing w:after="0" w:line="240" w:lineRule="auto"/>
        <w:jc w:val="center"/>
        <w:rPr>
          <w:rFonts w:ascii="Times New Roman" w:hAnsi="Times New Roman"/>
          <w:b/>
          <w:bCs/>
          <w:sz w:val="36"/>
          <w:szCs w:val="36"/>
        </w:rPr>
      </w:pPr>
      <w:r>
        <w:rPr>
          <w:rFonts w:ascii="Times New Roman" w:hAnsi="Times New Roman"/>
          <w:b/>
          <w:bCs/>
          <w:sz w:val="36"/>
          <w:szCs w:val="36"/>
        </w:rPr>
        <w:t>Poznámky konsolidovanej účtovnej závierky obce Medzany zostavenej k 31.12.201</w:t>
      </w:r>
      <w:r w:rsidR="00393580">
        <w:rPr>
          <w:rFonts w:ascii="Times New Roman" w:hAnsi="Times New Roman"/>
          <w:b/>
          <w:bCs/>
          <w:sz w:val="36"/>
          <w:szCs w:val="36"/>
        </w:rPr>
        <w:t>6</w:t>
      </w:r>
    </w:p>
    <w:p w:rsidR="00485460" w:rsidRDefault="00485460" w:rsidP="00485460">
      <w:pPr>
        <w:widowControl w:val="0"/>
        <w:autoSpaceDE w:val="0"/>
        <w:autoSpaceDN w:val="0"/>
        <w:adjustRightInd w:val="0"/>
        <w:spacing w:after="0" w:line="240" w:lineRule="auto"/>
        <w:rPr>
          <w:rFonts w:ascii="Times New Roman" w:hAnsi="Times New Roman"/>
          <w:b/>
          <w:bCs/>
          <w:sz w:val="24"/>
          <w:szCs w:val="24"/>
          <w:u w:val="single"/>
        </w:rPr>
      </w:pPr>
    </w:p>
    <w:p w:rsidR="00485460" w:rsidRDefault="00485460" w:rsidP="00485460">
      <w:pPr>
        <w:widowControl w:val="0"/>
        <w:autoSpaceDE w:val="0"/>
        <w:autoSpaceDN w:val="0"/>
        <w:adjustRightInd w:val="0"/>
        <w:spacing w:after="0" w:line="240" w:lineRule="auto"/>
        <w:jc w:val="center"/>
        <w:rPr>
          <w:rFonts w:ascii="Times New Roman" w:hAnsi="Times New Roman"/>
          <w:b/>
          <w:bCs/>
        </w:rPr>
      </w:pPr>
      <w:r>
        <w:rPr>
          <w:rFonts w:ascii="Times New Roman" w:hAnsi="Times New Roman"/>
          <w:b/>
          <w:bCs/>
        </w:rPr>
        <w:t>Čl. I</w:t>
      </w:r>
    </w:p>
    <w:p w:rsidR="00485460" w:rsidRDefault="00485460" w:rsidP="00485460">
      <w:pPr>
        <w:widowControl w:val="0"/>
        <w:autoSpaceDE w:val="0"/>
        <w:autoSpaceDN w:val="0"/>
        <w:adjustRightInd w:val="0"/>
        <w:spacing w:after="0" w:line="240" w:lineRule="auto"/>
        <w:jc w:val="center"/>
        <w:rPr>
          <w:rFonts w:ascii="Times New Roman" w:hAnsi="Times New Roman"/>
          <w:b/>
          <w:bCs/>
        </w:rPr>
      </w:pPr>
      <w:r>
        <w:rPr>
          <w:rFonts w:ascii="Times New Roman" w:hAnsi="Times New Roman"/>
          <w:b/>
          <w:bCs/>
        </w:rPr>
        <w:t>Všeobecné údaje</w:t>
      </w:r>
    </w:p>
    <w:p w:rsidR="00485460" w:rsidRDefault="00485460" w:rsidP="00485460">
      <w:pPr>
        <w:widowControl w:val="0"/>
        <w:autoSpaceDE w:val="0"/>
        <w:autoSpaceDN w:val="0"/>
        <w:adjustRightInd w:val="0"/>
        <w:spacing w:after="0" w:line="240" w:lineRule="auto"/>
        <w:jc w:val="center"/>
        <w:rPr>
          <w:rFonts w:ascii="Times New Roman" w:hAnsi="Times New Roman"/>
          <w:b/>
          <w:bCs/>
        </w:rPr>
      </w:pPr>
    </w:p>
    <w:p w:rsidR="00485460" w:rsidRDefault="00485460" w:rsidP="00485460">
      <w:pPr>
        <w:widowControl w:val="0"/>
        <w:numPr>
          <w:ilvl w:val="0"/>
          <w:numId w:val="1"/>
        </w:numPr>
        <w:tabs>
          <w:tab w:val="left" w:pos="284"/>
          <w:tab w:val="left" w:pos="644"/>
        </w:tabs>
        <w:autoSpaceDE w:val="0"/>
        <w:autoSpaceDN w:val="0"/>
        <w:adjustRightInd w:val="0"/>
        <w:spacing w:after="0" w:line="240" w:lineRule="auto"/>
        <w:rPr>
          <w:rFonts w:ascii="Times New Roman" w:hAnsi="Times New Roman"/>
          <w:b/>
          <w:bCs/>
        </w:rPr>
      </w:pPr>
      <w:r>
        <w:rPr>
          <w:rFonts w:ascii="Times New Roman" w:hAnsi="Times New Roman"/>
          <w:b/>
          <w:bCs/>
        </w:rPr>
        <w:t xml:space="preserve">Identifikačné údaje o konsolidujúcej účtovnej jednotke </w:t>
      </w:r>
    </w:p>
    <w:p w:rsidR="00485460" w:rsidRDefault="00485460" w:rsidP="00485460">
      <w:pPr>
        <w:widowControl w:val="0"/>
        <w:autoSpaceDE w:val="0"/>
        <w:autoSpaceDN w:val="0"/>
        <w:adjustRightInd w:val="0"/>
        <w:spacing w:after="0" w:line="240" w:lineRule="auto"/>
        <w:rPr>
          <w:rFonts w:ascii="Times New Roman" w:hAnsi="Times New Roman"/>
          <w:b/>
          <w:bCs/>
        </w:rPr>
      </w:pPr>
    </w:p>
    <w:tbl>
      <w:tblPr>
        <w:tblW w:w="10260" w:type="dxa"/>
        <w:tblInd w:w="70" w:type="dxa"/>
        <w:tblLayout w:type="fixed"/>
        <w:tblCellMar>
          <w:left w:w="70" w:type="dxa"/>
          <w:right w:w="70" w:type="dxa"/>
        </w:tblCellMar>
        <w:tblLook w:val="04A0" w:firstRow="1" w:lastRow="0" w:firstColumn="1" w:lastColumn="0" w:noHBand="0" w:noVBand="1"/>
      </w:tblPr>
      <w:tblGrid>
        <w:gridCol w:w="4781"/>
        <w:gridCol w:w="5479"/>
      </w:tblGrid>
      <w:tr w:rsidR="00485460" w:rsidTr="00485460">
        <w:tc>
          <w:tcPr>
            <w:tcW w:w="4781" w:type="dxa"/>
            <w:tcBorders>
              <w:top w:val="single" w:sz="6" w:space="0" w:color="auto"/>
              <w:left w:val="single" w:sz="6" w:space="0" w:color="auto"/>
              <w:bottom w:val="single" w:sz="6" w:space="0" w:color="auto"/>
              <w:right w:val="single" w:sz="6" w:space="0" w:color="auto"/>
            </w:tcBorders>
            <w:shd w:val="clear" w:color="auto" w:fill="FFFFFF"/>
            <w:hideMark/>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a)</w:t>
            </w:r>
          </w:p>
        </w:tc>
        <w:tc>
          <w:tcPr>
            <w:tcW w:w="5479" w:type="dxa"/>
            <w:tcBorders>
              <w:top w:val="single" w:sz="6" w:space="0" w:color="auto"/>
              <w:left w:val="single" w:sz="6" w:space="0" w:color="auto"/>
              <w:bottom w:val="single" w:sz="6" w:space="0" w:color="auto"/>
              <w:right w:val="single" w:sz="6" w:space="0" w:color="auto"/>
            </w:tcBorders>
          </w:tcPr>
          <w:p w:rsidR="00485460" w:rsidRDefault="00485460">
            <w:pPr>
              <w:widowControl w:val="0"/>
              <w:autoSpaceDE w:val="0"/>
              <w:autoSpaceDN w:val="0"/>
              <w:adjustRightInd w:val="0"/>
              <w:spacing w:after="0" w:line="240" w:lineRule="auto"/>
              <w:rPr>
                <w:rFonts w:ascii="Times New Roman" w:hAnsi="Times New Roman"/>
              </w:rPr>
            </w:pPr>
          </w:p>
        </w:tc>
      </w:tr>
      <w:tr w:rsidR="00485460" w:rsidTr="00485460">
        <w:tc>
          <w:tcPr>
            <w:tcW w:w="4781" w:type="dxa"/>
            <w:tcBorders>
              <w:top w:val="single" w:sz="6" w:space="0" w:color="auto"/>
              <w:left w:val="single" w:sz="6" w:space="0" w:color="auto"/>
              <w:bottom w:val="single" w:sz="6" w:space="0" w:color="auto"/>
              <w:right w:val="single" w:sz="6" w:space="0" w:color="auto"/>
            </w:tcBorders>
            <w:shd w:val="clear" w:color="auto" w:fill="FFFFFF"/>
            <w:hideMark/>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Názov konsolidujúcej účtovnej jednotky</w:t>
            </w:r>
          </w:p>
        </w:tc>
        <w:tc>
          <w:tcPr>
            <w:tcW w:w="5479" w:type="dxa"/>
            <w:tcBorders>
              <w:top w:val="single" w:sz="6" w:space="0" w:color="auto"/>
              <w:left w:val="single" w:sz="6" w:space="0" w:color="auto"/>
              <w:bottom w:val="single" w:sz="6" w:space="0" w:color="auto"/>
              <w:right w:val="single" w:sz="6" w:space="0" w:color="auto"/>
            </w:tcBorders>
            <w:hideMark/>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Obec Medzany</w:t>
            </w:r>
          </w:p>
        </w:tc>
      </w:tr>
      <w:tr w:rsidR="00485460" w:rsidTr="00485460">
        <w:tc>
          <w:tcPr>
            <w:tcW w:w="4781" w:type="dxa"/>
            <w:tcBorders>
              <w:top w:val="single" w:sz="6" w:space="0" w:color="auto"/>
              <w:left w:val="single" w:sz="6" w:space="0" w:color="auto"/>
              <w:bottom w:val="single" w:sz="6" w:space="0" w:color="auto"/>
              <w:right w:val="single" w:sz="6" w:space="0" w:color="auto"/>
            </w:tcBorders>
            <w:shd w:val="clear" w:color="auto" w:fill="FFFFFF"/>
            <w:hideMark/>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Sídlo konsolidujúcej účtovnej jednotky</w:t>
            </w:r>
          </w:p>
        </w:tc>
        <w:tc>
          <w:tcPr>
            <w:tcW w:w="5479" w:type="dxa"/>
            <w:tcBorders>
              <w:top w:val="single" w:sz="6" w:space="0" w:color="auto"/>
              <w:left w:val="single" w:sz="6" w:space="0" w:color="auto"/>
              <w:bottom w:val="single" w:sz="6" w:space="0" w:color="auto"/>
              <w:right w:val="single" w:sz="6" w:space="0" w:color="auto"/>
            </w:tcBorders>
            <w:hideMark/>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082 21 Medzany 152</w:t>
            </w:r>
          </w:p>
        </w:tc>
      </w:tr>
      <w:tr w:rsidR="00485460" w:rsidTr="00485460">
        <w:tc>
          <w:tcPr>
            <w:tcW w:w="4781" w:type="dxa"/>
            <w:tcBorders>
              <w:top w:val="single" w:sz="6" w:space="0" w:color="auto"/>
              <w:left w:val="single" w:sz="6" w:space="0" w:color="auto"/>
              <w:bottom w:val="single" w:sz="6" w:space="0" w:color="auto"/>
              <w:right w:val="single" w:sz="6" w:space="0" w:color="auto"/>
            </w:tcBorders>
            <w:shd w:val="clear" w:color="auto" w:fill="FFFFFF"/>
            <w:hideMark/>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IČO</w:t>
            </w:r>
          </w:p>
        </w:tc>
        <w:tc>
          <w:tcPr>
            <w:tcW w:w="5479" w:type="dxa"/>
            <w:tcBorders>
              <w:top w:val="single" w:sz="6" w:space="0" w:color="auto"/>
              <w:left w:val="single" w:sz="6" w:space="0" w:color="auto"/>
              <w:bottom w:val="single" w:sz="6" w:space="0" w:color="auto"/>
              <w:right w:val="single" w:sz="6" w:space="0" w:color="auto"/>
            </w:tcBorders>
            <w:hideMark/>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17149002</w:t>
            </w:r>
          </w:p>
        </w:tc>
      </w:tr>
      <w:tr w:rsidR="00C55B6A" w:rsidTr="00485460">
        <w:tc>
          <w:tcPr>
            <w:tcW w:w="4781" w:type="dxa"/>
            <w:tcBorders>
              <w:top w:val="single" w:sz="6" w:space="0" w:color="auto"/>
              <w:left w:val="single" w:sz="6" w:space="0" w:color="auto"/>
              <w:bottom w:val="single" w:sz="6" w:space="0" w:color="auto"/>
              <w:right w:val="single" w:sz="6" w:space="0" w:color="auto"/>
            </w:tcBorders>
            <w:shd w:val="clear" w:color="auto" w:fill="FFFFFF"/>
          </w:tcPr>
          <w:p w:rsidR="00C55B6A" w:rsidRDefault="00C55B6A">
            <w:pPr>
              <w:widowControl w:val="0"/>
              <w:autoSpaceDE w:val="0"/>
              <w:autoSpaceDN w:val="0"/>
              <w:adjustRightInd w:val="0"/>
              <w:spacing w:after="0" w:line="240" w:lineRule="auto"/>
              <w:rPr>
                <w:rFonts w:ascii="Times New Roman" w:hAnsi="Times New Roman"/>
              </w:rPr>
            </w:pPr>
            <w:r>
              <w:rPr>
                <w:rFonts w:ascii="Times New Roman" w:hAnsi="Times New Roman"/>
              </w:rPr>
              <w:t xml:space="preserve">DIČ: </w:t>
            </w:r>
          </w:p>
        </w:tc>
        <w:tc>
          <w:tcPr>
            <w:tcW w:w="5479" w:type="dxa"/>
            <w:tcBorders>
              <w:top w:val="single" w:sz="6" w:space="0" w:color="auto"/>
              <w:left w:val="single" w:sz="6" w:space="0" w:color="auto"/>
              <w:bottom w:val="single" w:sz="6" w:space="0" w:color="auto"/>
              <w:right w:val="single" w:sz="6" w:space="0" w:color="auto"/>
            </w:tcBorders>
          </w:tcPr>
          <w:p w:rsidR="00C55B6A" w:rsidRDefault="00C55B6A">
            <w:pPr>
              <w:widowControl w:val="0"/>
              <w:autoSpaceDE w:val="0"/>
              <w:autoSpaceDN w:val="0"/>
              <w:adjustRightInd w:val="0"/>
              <w:spacing w:after="0" w:line="240" w:lineRule="auto"/>
              <w:rPr>
                <w:rFonts w:ascii="Times New Roman" w:hAnsi="Times New Roman"/>
              </w:rPr>
            </w:pPr>
            <w:r>
              <w:rPr>
                <w:rFonts w:ascii="Times New Roman" w:hAnsi="Times New Roman"/>
              </w:rPr>
              <w:t>2020545076</w:t>
            </w:r>
          </w:p>
        </w:tc>
      </w:tr>
      <w:tr w:rsidR="00485460" w:rsidTr="00485460">
        <w:tc>
          <w:tcPr>
            <w:tcW w:w="4781" w:type="dxa"/>
            <w:tcBorders>
              <w:top w:val="single" w:sz="6" w:space="0" w:color="auto"/>
              <w:left w:val="single" w:sz="6" w:space="0" w:color="auto"/>
              <w:bottom w:val="single" w:sz="6" w:space="0" w:color="auto"/>
              <w:right w:val="single" w:sz="6" w:space="0" w:color="auto"/>
            </w:tcBorders>
            <w:shd w:val="clear" w:color="auto" w:fill="FFFFFF"/>
            <w:hideMark/>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 xml:space="preserve">Dátum založenia, vzniku konsolidujúcej účtovnej jednotky </w:t>
            </w:r>
          </w:p>
        </w:tc>
        <w:tc>
          <w:tcPr>
            <w:tcW w:w="5479" w:type="dxa"/>
            <w:tcBorders>
              <w:top w:val="single" w:sz="6" w:space="0" w:color="auto"/>
              <w:left w:val="single" w:sz="6" w:space="0" w:color="auto"/>
              <w:bottom w:val="single" w:sz="6" w:space="0" w:color="auto"/>
              <w:right w:val="single" w:sz="6" w:space="0" w:color="auto"/>
            </w:tcBorders>
            <w:hideMark/>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01.04.1992</w:t>
            </w:r>
          </w:p>
        </w:tc>
      </w:tr>
    </w:tbl>
    <w:p w:rsidR="00485460" w:rsidRDefault="00485460" w:rsidP="00485460">
      <w:pPr>
        <w:widowControl w:val="0"/>
        <w:autoSpaceDE w:val="0"/>
        <w:autoSpaceDN w:val="0"/>
        <w:adjustRightInd w:val="0"/>
        <w:spacing w:after="0" w:line="240" w:lineRule="auto"/>
        <w:jc w:val="both"/>
        <w:rPr>
          <w:rFonts w:ascii="Times New Roman" w:hAnsi="Times New Roman"/>
          <w:bCs/>
        </w:rPr>
      </w:pPr>
      <w:r>
        <w:rPr>
          <w:rFonts w:ascii="Times New Roman" w:hAnsi="Times New Roman"/>
          <w:bCs/>
        </w:rPr>
        <w:t xml:space="preserve">Konsolidovaná účtovná závierka konsolidovaného celku obce Medzany bola zostavená v súlade so zákonom č. 431/2002 </w:t>
      </w:r>
      <w:proofErr w:type="spellStart"/>
      <w:r>
        <w:rPr>
          <w:rFonts w:ascii="Times New Roman" w:hAnsi="Times New Roman"/>
          <w:bCs/>
        </w:rPr>
        <w:t>Z.z</w:t>
      </w:r>
      <w:proofErr w:type="spellEnd"/>
      <w:r>
        <w:rPr>
          <w:rFonts w:ascii="Times New Roman" w:hAnsi="Times New Roman"/>
          <w:bCs/>
        </w:rPr>
        <w:t>. o účtovníctve v znení neskorších predpisov (ďalej len  „ zákon o účtovníctve“) a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 v znení neskorších predpisov.</w:t>
      </w:r>
    </w:p>
    <w:p w:rsidR="00485460" w:rsidRDefault="00485460" w:rsidP="00485460">
      <w:pPr>
        <w:widowControl w:val="0"/>
        <w:autoSpaceDE w:val="0"/>
        <w:autoSpaceDN w:val="0"/>
        <w:adjustRightInd w:val="0"/>
        <w:spacing w:after="0" w:line="240" w:lineRule="auto"/>
        <w:jc w:val="both"/>
        <w:rPr>
          <w:rFonts w:ascii="Times New Roman" w:hAnsi="Times New Roman"/>
        </w:rPr>
      </w:pPr>
    </w:p>
    <w:p w:rsidR="00485460" w:rsidRDefault="00485460" w:rsidP="00485460">
      <w:pPr>
        <w:widowControl w:val="0"/>
        <w:autoSpaceDE w:val="0"/>
        <w:autoSpaceDN w:val="0"/>
        <w:adjustRightInd w:val="0"/>
        <w:spacing w:after="0" w:line="240" w:lineRule="auto"/>
        <w:ind w:left="720"/>
        <w:rPr>
          <w:rFonts w:ascii="Times New Roman" w:hAnsi="Times New Roman"/>
        </w:rPr>
      </w:pPr>
    </w:p>
    <w:p w:rsidR="00485460" w:rsidRDefault="00485460" w:rsidP="00485460">
      <w:pPr>
        <w:widowControl w:val="0"/>
        <w:autoSpaceDE w:val="0"/>
        <w:autoSpaceDN w:val="0"/>
        <w:adjustRightInd w:val="0"/>
        <w:spacing w:after="0" w:line="240" w:lineRule="auto"/>
        <w:ind w:left="720"/>
        <w:rPr>
          <w:rFonts w:ascii="Times New Roman" w:hAnsi="Times New Roman"/>
        </w:rPr>
      </w:pPr>
    </w:p>
    <w:p w:rsidR="00485460" w:rsidRDefault="00485460" w:rsidP="00485460">
      <w:pPr>
        <w:widowControl w:val="0"/>
        <w:numPr>
          <w:ilvl w:val="0"/>
          <w:numId w:val="1"/>
        </w:numPr>
        <w:autoSpaceDE w:val="0"/>
        <w:autoSpaceDN w:val="0"/>
        <w:adjustRightInd w:val="0"/>
        <w:spacing w:after="0" w:line="240" w:lineRule="auto"/>
        <w:rPr>
          <w:rFonts w:ascii="Times New Roman" w:hAnsi="Times New Roman"/>
          <w:b/>
          <w:bCs/>
        </w:rPr>
      </w:pPr>
      <w:r>
        <w:rPr>
          <w:rFonts w:ascii="Times New Roman" w:hAnsi="Times New Roman"/>
          <w:b/>
          <w:bCs/>
        </w:rPr>
        <w:t xml:space="preserve">Informácie o hlavných predstaviteľoch konsolidujúcej  účtovnej jednotky </w:t>
      </w:r>
    </w:p>
    <w:p w:rsidR="00485460" w:rsidRDefault="00485460" w:rsidP="00485460">
      <w:pPr>
        <w:widowControl w:val="0"/>
        <w:autoSpaceDE w:val="0"/>
        <w:autoSpaceDN w:val="0"/>
        <w:adjustRightInd w:val="0"/>
        <w:spacing w:after="0" w:line="240" w:lineRule="auto"/>
        <w:rPr>
          <w:rFonts w:ascii="Times New Roman" w:hAnsi="Times New Roman"/>
          <w:b/>
          <w:bCs/>
        </w:rPr>
      </w:pPr>
    </w:p>
    <w:tbl>
      <w:tblPr>
        <w:tblW w:w="10260" w:type="dxa"/>
        <w:tblInd w:w="70" w:type="dxa"/>
        <w:tblLayout w:type="fixed"/>
        <w:tblCellMar>
          <w:left w:w="70" w:type="dxa"/>
          <w:right w:w="70" w:type="dxa"/>
        </w:tblCellMar>
        <w:tblLook w:val="04A0" w:firstRow="1" w:lastRow="0" w:firstColumn="1" w:lastColumn="0" w:noHBand="0" w:noVBand="1"/>
      </w:tblPr>
      <w:tblGrid>
        <w:gridCol w:w="4781"/>
        <w:gridCol w:w="5479"/>
      </w:tblGrid>
      <w:tr w:rsidR="00485460" w:rsidTr="00485460">
        <w:tc>
          <w:tcPr>
            <w:tcW w:w="4781" w:type="dxa"/>
            <w:tcBorders>
              <w:top w:val="single" w:sz="6" w:space="0" w:color="auto"/>
              <w:left w:val="single" w:sz="6" w:space="0" w:color="auto"/>
              <w:bottom w:val="single" w:sz="6" w:space="0" w:color="auto"/>
              <w:right w:val="single" w:sz="6" w:space="0" w:color="auto"/>
            </w:tcBorders>
            <w:shd w:val="clear" w:color="auto" w:fill="FFFFFF"/>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Starosta obce (meno a priezvisko)</w:t>
            </w:r>
          </w:p>
          <w:p w:rsidR="00485460" w:rsidRDefault="00485460">
            <w:pPr>
              <w:widowControl w:val="0"/>
              <w:autoSpaceDE w:val="0"/>
              <w:autoSpaceDN w:val="0"/>
              <w:adjustRightInd w:val="0"/>
              <w:spacing w:after="0" w:line="240" w:lineRule="auto"/>
              <w:rPr>
                <w:rFonts w:ascii="Times New Roman" w:hAnsi="Times New Roman"/>
              </w:rPr>
            </w:pPr>
          </w:p>
        </w:tc>
        <w:tc>
          <w:tcPr>
            <w:tcW w:w="5479" w:type="dxa"/>
            <w:tcBorders>
              <w:top w:val="single" w:sz="6" w:space="0" w:color="auto"/>
              <w:left w:val="single" w:sz="6" w:space="0" w:color="auto"/>
              <w:bottom w:val="single" w:sz="6" w:space="0" w:color="auto"/>
              <w:right w:val="single" w:sz="6" w:space="0" w:color="auto"/>
            </w:tcBorders>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 xml:space="preserve">Jozef </w:t>
            </w:r>
            <w:proofErr w:type="spellStart"/>
            <w:r>
              <w:rPr>
                <w:rFonts w:ascii="Times New Roman" w:hAnsi="Times New Roman"/>
              </w:rPr>
              <w:t>Kipikaša</w:t>
            </w:r>
            <w:proofErr w:type="spellEnd"/>
          </w:p>
          <w:p w:rsidR="00485460" w:rsidRDefault="00485460">
            <w:pPr>
              <w:widowControl w:val="0"/>
              <w:autoSpaceDE w:val="0"/>
              <w:autoSpaceDN w:val="0"/>
              <w:adjustRightInd w:val="0"/>
              <w:spacing w:after="0" w:line="240" w:lineRule="auto"/>
              <w:rPr>
                <w:rFonts w:ascii="Times New Roman" w:hAnsi="Times New Roman"/>
              </w:rPr>
            </w:pPr>
          </w:p>
        </w:tc>
      </w:tr>
      <w:tr w:rsidR="00485460" w:rsidTr="00485460">
        <w:tc>
          <w:tcPr>
            <w:tcW w:w="4781" w:type="dxa"/>
            <w:tcBorders>
              <w:top w:val="single" w:sz="6" w:space="0" w:color="auto"/>
              <w:left w:val="single" w:sz="6" w:space="0" w:color="auto"/>
              <w:bottom w:val="single" w:sz="6" w:space="0" w:color="auto"/>
              <w:right w:val="single" w:sz="6" w:space="0" w:color="auto"/>
            </w:tcBorders>
            <w:shd w:val="clear" w:color="auto" w:fill="FFFFFF"/>
            <w:hideMark/>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 xml:space="preserve">Zástupca starostu  (meno a priezvisko) </w:t>
            </w:r>
          </w:p>
        </w:tc>
        <w:tc>
          <w:tcPr>
            <w:tcW w:w="5479" w:type="dxa"/>
            <w:tcBorders>
              <w:top w:val="single" w:sz="6" w:space="0" w:color="auto"/>
              <w:left w:val="single" w:sz="6" w:space="0" w:color="auto"/>
              <w:bottom w:val="single" w:sz="6" w:space="0" w:color="auto"/>
              <w:right w:val="single" w:sz="6" w:space="0" w:color="auto"/>
            </w:tcBorders>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 xml:space="preserve">Ing. Iveta </w:t>
            </w:r>
            <w:r w:rsidR="00393580">
              <w:rPr>
                <w:rFonts w:ascii="Times New Roman" w:hAnsi="Times New Roman"/>
              </w:rPr>
              <w:t>Stromková</w:t>
            </w:r>
          </w:p>
          <w:p w:rsidR="00485460" w:rsidRDefault="00485460">
            <w:pPr>
              <w:widowControl w:val="0"/>
              <w:autoSpaceDE w:val="0"/>
              <w:autoSpaceDN w:val="0"/>
              <w:adjustRightInd w:val="0"/>
              <w:spacing w:after="0" w:line="240" w:lineRule="auto"/>
              <w:rPr>
                <w:rFonts w:ascii="Times New Roman" w:hAnsi="Times New Roman"/>
              </w:rPr>
            </w:pPr>
          </w:p>
        </w:tc>
      </w:tr>
      <w:tr w:rsidR="00485460" w:rsidTr="00485460">
        <w:tc>
          <w:tcPr>
            <w:tcW w:w="4781" w:type="dxa"/>
            <w:tcBorders>
              <w:top w:val="single" w:sz="6" w:space="0" w:color="auto"/>
              <w:left w:val="single" w:sz="6" w:space="0" w:color="auto"/>
              <w:bottom w:val="single" w:sz="6" w:space="0" w:color="auto"/>
              <w:right w:val="single" w:sz="6" w:space="0" w:color="auto"/>
            </w:tcBorders>
            <w:shd w:val="clear" w:color="auto" w:fill="FFFFFF"/>
            <w:hideMark/>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Hlavný kontrolór obce</w:t>
            </w:r>
          </w:p>
        </w:tc>
        <w:tc>
          <w:tcPr>
            <w:tcW w:w="5479" w:type="dxa"/>
            <w:tcBorders>
              <w:top w:val="single" w:sz="6" w:space="0" w:color="auto"/>
              <w:left w:val="single" w:sz="6" w:space="0" w:color="auto"/>
              <w:bottom w:val="single" w:sz="6" w:space="0" w:color="auto"/>
              <w:right w:val="single" w:sz="6" w:space="0" w:color="auto"/>
            </w:tcBorders>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 xml:space="preserve">Ing. Mária </w:t>
            </w:r>
            <w:proofErr w:type="spellStart"/>
            <w:r>
              <w:rPr>
                <w:rFonts w:ascii="Times New Roman" w:hAnsi="Times New Roman"/>
              </w:rPr>
              <w:t>Gališinová</w:t>
            </w:r>
            <w:proofErr w:type="spellEnd"/>
          </w:p>
          <w:p w:rsidR="00485460" w:rsidRDefault="00485460">
            <w:pPr>
              <w:widowControl w:val="0"/>
              <w:autoSpaceDE w:val="0"/>
              <w:autoSpaceDN w:val="0"/>
              <w:adjustRightInd w:val="0"/>
              <w:spacing w:after="0" w:line="240" w:lineRule="auto"/>
              <w:rPr>
                <w:rFonts w:ascii="Times New Roman" w:hAnsi="Times New Roman"/>
              </w:rPr>
            </w:pPr>
          </w:p>
        </w:tc>
      </w:tr>
      <w:tr w:rsidR="00C55B6A" w:rsidTr="00485460">
        <w:tc>
          <w:tcPr>
            <w:tcW w:w="4781" w:type="dxa"/>
            <w:tcBorders>
              <w:top w:val="single" w:sz="6" w:space="0" w:color="auto"/>
              <w:left w:val="single" w:sz="6" w:space="0" w:color="auto"/>
              <w:bottom w:val="single" w:sz="6" w:space="0" w:color="auto"/>
              <w:right w:val="single" w:sz="6" w:space="0" w:color="auto"/>
            </w:tcBorders>
            <w:shd w:val="clear" w:color="auto" w:fill="FFFFFF"/>
          </w:tcPr>
          <w:p w:rsidR="00C55B6A" w:rsidRDefault="00C55B6A">
            <w:pPr>
              <w:widowControl w:val="0"/>
              <w:autoSpaceDE w:val="0"/>
              <w:autoSpaceDN w:val="0"/>
              <w:adjustRightInd w:val="0"/>
              <w:spacing w:after="0" w:line="240" w:lineRule="auto"/>
              <w:rPr>
                <w:rFonts w:ascii="Times New Roman" w:hAnsi="Times New Roman"/>
              </w:rPr>
            </w:pPr>
            <w:r>
              <w:rPr>
                <w:rFonts w:ascii="Times New Roman" w:hAnsi="Times New Roman"/>
              </w:rPr>
              <w:t>Riaditeľka Základnej školy</w:t>
            </w:r>
          </w:p>
          <w:p w:rsidR="00C55B6A" w:rsidRDefault="00C55B6A">
            <w:pPr>
              <w:widowControl w:val="0"/>
              <w:autoSpaceDE w:val="0"/>
              <w:autoSpaceDN w:val="0"/>
              <w:adjustRightInd w:val="0"/>
              <w:spacing w:after="0" w:line="240" w:lineRule="auto"/>
              <w:rPr>
                <w:rFonts w:ascii="Times New Roman" w:hAnsi="Times New Roman"/>
              </w:rPr>
            </w:pPr>
          </w:p>
        </w:tc>
        <w:tc>
          <w:tcPr>
            <w:tcW w:w="5479" w:type="dxa"/>
            <w:tcBorders>
              <w:top w:val="single" w:sz="6" w:space="0" w:color="auto"/>
              <w:left w:val="single" w:sz="6" w:space="0" w:color="auto"/>
              <w:bottom w:val="single" w:sz="6" w:space="0" w:color="auto"/>
              <w:right w:val="single" w:sz="6" w:space="0" w:color="auto"/>
            </w:tcBorders>
          </w:tcPr>
          <w:p w:rsidR="00C55B6A" w:rsidRDefault="00C55B6A">
            <w:pPr>
              <w:widowControl w:val="0"/>
              <w:autoSpaceDE w:val="0"/>
              <w:autoSpaceDN w:val="0"/>
              <w:adjustRightInd w:val="0"/>
              <w:spacing w:after="0" w:line="240" w:lineRule="auto"/>
              <w:rPr>
                <w:rFonts w:ascii="Times New Roman" w:hAnsi="Times New Roman"/>
              </w:rPr>
            </w:pPr>
            <w:r>
              <w:rPr>
                <w:rFonts w:ascii="Times New Roman" w:hAnsi="Times New Roman"/>
              </w:rPr>
              <w:t xml:space="preserve">PaedDr. Ivana </w:t>
            </w:r>
            <w:proofErr w:type="spellStart"/>
            <w:r>
              <w:rPr>
                <w:rFonts w:ascii="Times New Roman" w:hAnsi="Times New Roman"/>
              </w:rPr>
              <w:t>Palková</w:t>
            </w:r>
            <w:proofErr w:type="spellEnd"/>
          </w:p>
        </w:tc>
      </w:tr>
    </w:tbl>
    <w:p w:rsidR="00485460" w:rsidRDefault="00485460" w:rsidP="00485460">
      <w:pPr>
        <w:widowControl w:val="0"/>
        <w:autoSpaceDE w:val="0"/>
        <w:autoSpaceDN w:val="0"/>
        <w:adjustRightInd w:val="0"/>
        <w:spacing w:after="0" w:line="240" w:lineRule="auto"/>
        <w:jc w:val="center"/>
        <w:rPr>
          <w:rFonts w:ascii="Times New Roman" w:hAnsi="Times New Roman"/>
        </w:rPr>
      </w:pPr>
    </w:p>
    <w:p w:rsidR="00485460" w:rsidRDefault="00485460" w:rsidP="00485460">
      <w:pPr>
        <w:widowControl w:val="0"/>
        <w:numPr>
          <w:ilvl w:val="0"/>
          <w:numId w:val="1"/>
        </w:numPr>
        <w:autoSpaceDE w:val="0"/>
        <w:autoSpaceDN w:val="0"/>
        <w:adjustRightInd w:val="0"/>
        <w:spacing w:after="0" w:line="240" w:lineRule="auto"/>
        <w:rPr>
          <w:rFonts w:ascii="Times New Roman" w:hAnsi="Times New Roman"/>
          <w:b/>
          <w:bCs/>
        </w:rPr>
      </w:pPr>
      <w:r>
        <w:rPr>
          <w:rFonts w:ascii="Times New Roman" w:hAnsi="Times New Roman"/>
          <w:b/>
          <w:bCs/>
        </w:rPr>
        <w:t>Informácie o konsolidovanom celku</w:t>
      </w:r>
    </w:p>
    <w:p w:rsidR="00485460" w:rsidRDefault="00485460" w:rsidP="00485460">
      <w:pPr>
        <w:widowControl w:val="0"/>
        <w:autoSpaceDE w:val="0"/>
        <w:autoSpaceDN w:val="0"/>
        <w:adjustRightInd w:val="0"/>
        <w:spacing w:after="0" w:line="240" w:lineRule="auto"/>
        <w:jc w:val="center"/>
        <w:rPr>
          <w:rFonts w:ascii="Times New Roman" w:hAnsi="Times New Roman"/>
          <w:b/>
          <w:bCs/>
        </w:rPr>
      </w:pPr>
    </w:p>
    <w:p w:rsidR="00485460" w:rsidRDefault="00485460" w:rsidP="00485460">
      <w:pPr>
        <w:widowControl w:val="0"/>
        <w:autoSpaceDE w:val="0"/>
        <w:autoSpaceDN w:val="0"/>
        <w:adjustRightInd w:val="0"/>
        <w:spacing w:after="0" w:line="240" w:lineRule="auto"/>
        <w:rPr>
          <w:rFonts w:ascii="Times New Roman" w:hAnsi="Times New Roman"/>
          <w:bCs/>
        </w:rPr>
      </w:pPr>
      <w:r>
        <w:rPr>
          <w:rFonts w:ascii="Times New Roman" w:hAnsi="Times New Roman"/>
          <w:bCs/>
        </w:rPr>
        <w:t>Identifikačné údaje všetkých účtovných jednotiek konsolidovaného celku obce Medzany sú uvedené v tabuľkovej časti ( tabuľka číslo 1) poznámok konsolidovanej účtovnej závierky.</w:t>
      </w:r>
    </w:p>
    <w:p w:rsidR="00485460" w:rsidRDefault="00485460" w:rsidP="00485460">
      <w:pPr>
        <w:widowControl w:val="0"/>
        <w:autoSpaceDE w:val="0"/>
        <w:autoSpaceDN w:val="0"/>
        <w:adjustRightInd w:val="0"/>
        <w:spacing w:after="0" w:line="240" w:lineRule="auto"/>
        <w:rPr>
          <w:rFonts w:ascii="Times New Roman" w:hAnsi="Times New Roman"/>
          <w:bCs/>
        </w:rPr>
      </w:pPr>
    </w:p>
    <w:p w:rsidR="00485460" w:rsidRDefault="00485460" w:rsidP="00485460">
      <w:pPr>
        <w:widowControl w:val="0"/>
        <w:numPr>
          <w:ilvl w:val="1"/>
          <w:numId w:val="1"/>
        </w:numPr>
        <w:autoSpaceDE w:val="0"/>
        <w:autoSpaceDN w:val="0"/>
        <w:adjustRightInd w:val="0"/>
        <w:spacing w:after="0" w:line="240" w:lineRule="auto"/>
        <w:rPr>
          <w:rFonts w:ascii="Times New Roman" w:hAnsi="Times New Roman"/>
          <w:b/>
          <w:bCs/>
          <w:i/>
        </w:rPr>
      </w:pPr>
      <w:r>
        <w:rPr>
          <w:rFonts w:ascii="Times New Roman" w:hAnsi="Times New Roman"/>
          <w:b/>
          <w:bCs/>
          <w:i/>
        </w:rPr>
        <w:t>Identifikačné údaje o konsolidovaných účtovných jednotkách  -  rozpočtových organizáciách v zriaďovateľskej pôsobnosti konsolidujúcej účtovnej jednotky</w:t>
      </w:r>
    </w:p>
    <w:p w:rsidR="00485460" w:rsidRDefault="00485460" w:rsidP="00485460">
      <w:pPr>
        <w:widowControl w:val="0"/>
        <w:autoSpaceDE w:val="0"/>
        <w:autoSpaceDN w:val="0"/>
        <w:adjustRightInd w:val="0"/>
        <w:spacing w:after="0" w:line="240" w:lineRule="auto"/>
        <w:jc w:val="center"/>
        <w:rPr>
          <w:rFonts w:ascii="Times New Roman" w:hAnsi="Times New Roman"/>
          <w:b/>
          <w:bCs/>
        </w:rPr>
      </w:pPr>
    </w:p>
    <w:p w:rsidR="00485460" w:rsidRDefault="00485460" w:rsidP="00485460">
      <w:pPr>
        <w:widowControl w:val="0"/>
        <w:autoSpaceDE w:val="0"/>
        <w:autoSpaceDN w:val="0"/>
        <w:adjustRightInd w:val="0"/>
        <w:spacing w:after="0" w:line="240" w:lineRule="auto"/>
        <w:jc w:val="center"/>
        <w:rPr>
          <w:rFonts w:ascii="Times New Roman" w:hAnsi="Times New Roman"/>
          <w:b/>
          <w:bCs/>
        </w:rPr>
      </w:pPr>
    </w:p>
    <w:p w:rsidR="00485460" w:rsidRDefault="00485460" w:rsidP="00485460">
      <w:pPr>
        <w:widowControl w:val="0"/>
        <w:autoSpaceDE w:val="0"/>
        <w:autoSpaceDN w:val="0"/>
        <w:adjustRightInd w:val="0"/>
        <w:spacing w:after="0" w:line="240" w:lineRule="auto"/>
        <w:jc w:val="center"/>
        <w:rPr>
          <w:rFonts w:ascii="Times New Roman" w:hAnsi="Times New Roman"/>
          <w:b/>
          <w:bCs/>
        </w:rPr>
      </w:pPr>
    </w:p>
    <w:tbl>
      <w:tblPr>
        <w:tblStyle w:val="Mriekatabuky"/>
        <w:tblW w:w="0" w:type="auto"/>
        <w:tblInd w:w="0" w:type="dxa"/>
        <w:tblLook w:val="04A0" w:firstRow="1" w:lastRow="0" w:firstColumn="1" w:lastColumn="0" w:noHBand="0" w:noVBand="1"/>
      </w:tblPr>
      <w:tblGrid>
        <w:gridCol w:w="1878"/>
        <w:gridCol w:w="1806"/>
        <w:gridCol w:w="1806"/>
        <w:gridCol w:w="1759"/>
        <w:gridCol w:w="1813"/>
      </w:tblGrid>
      <w:tr w:rsidR="00485460" w:rsidTr="00485460">
        <w:tc>
          <w:tcPr>
            <w:tcW w:w="1909" w:type="dxa"/>
            <w:tcBorders>
              <w:top w:val="single" w:sz="4" w:space="0" w:color="auto"/>
              <w:left w:val="single" w:sz="4" w:space="0" w:color="auto"/>
              <w:bottom w:val="single" w:sz="4" w:space="0" w:color="auto"/>
              <w:right w:val="single" w:sz="4" w:space="0" w:color="auto"/>
            </w:tcBorders>
            <w:hideMark/>
          </w:tcPr>
          <w:p w:rsidR="00485460" w:rsidRDefault="00485460">
            <w:pPr>
              <w:widowControl w:val="0"/>
              <w:autoSpaceDE w:val="0"/>
              <w:autoSpaceDN w:val="0"/>
              <w:adjustRightInd w:val="0"/>
              <w:spacing w:after="0" w:line="240" w:lineRule="auto"/>
              <w:jc w:val="center"/>
              <w:rPr>
                <w:rFonts w:ascii="Times New Roman" w:hAnsi="Times New Roman"/>
                <w:b/>
                <w:bCs/>
              </w:rPr>
            </w:pPr>
            <w:r>
              <w:rPr>
                <w:rFonts w:ascii="Times New Roman" w:hAnsi="Times New Roman"/>
                <w:b/>
                <w:bCs/>
              </w:rPr>
              <w:t>Názov konsolidovanej účtovnej jednotky</w:t>
            </w:r>
          </w:p>
        </w:tc>
        <w:tc>
          <w:tcPr>
            <w:tcW w:w="1909" w:type="dxa"/>
            <w:tcBorders>
              <w:top w:val="single" w:sz="4" w:space="0" w:color="auto"/>
              <w:left w:val="single" w:sz="4" w:space="0" w:color="auto"/>
              <w:bottom w:val="single" w:sz="4" w:space="0" w:color="auto"/>
              <w:right w:val="nil"/>
            </w:tcBorders>
            <w:hideMark/>
          </w:tcPr>
          <w:p w:rsidR="00485460" w:rsidRDefault="00485460">
            <w:pPr>
              <w:widowControl w:val="0"/>
              <w:autoSpaceDE w:val="0"/>
              <w:autoSpaceDN w:val="0"/>
              <w:adjustRightInd w:val="0"/>
              <w:spacing w:after="0" w:line="240" w:lineRule="auto"/>
              <w:jc w:val="center"/>
              <w:rPr>
                <w:rFonts w:ascii="Times New Roman" w:hAnsi="Times New Roman"/>
                <w:b/>
                <w:bCs/>
              </w:rPr>
            </w:pPr>
            <w:r>
              <w:rPr>
                <w:rFonts w:ascii="Times New Roman" w:hAnsi="Times New Roman"/>
                <w:b/>
                <w:bCs/>
              </w:rPr>
              <w:t>Sídlo</w:t>
            </w:r>
          </w:p>
        </w:tc>
        <w:tc>
          <w:tcPr>
            <w:tcW w:w="1909" w:type="dxa"/>
            <w:tcBorders>
              <w:top w:val="single" w:sz="4" w:space="0" w:color="auto"/>
              <w:left w:val="nil"/>
              <w:bottom w:val="single" w:sz="4" w:space="0" w:color="auto"/>
              <w:right w:val="single" w:sz="4" w:space="0" w:color="auto"/>
            </w:tcBorders>
          </w:tcPr>
          <w:p w:rsidR="00485460" w:rsidRDefault="00485460">
            <w:pPr>
              <w:widowControl w:val="0"/>
              <w:autoSpaceDE w:val="0"/>
              <w:autoSpaceDN w:val="0"/>
              <w:adjustRightInd w:val="0"/>
              <w:spacing w:after="0" w:line="240" w:lineRule="auto"/>
              <w:jc w:val="center"/>
              <w:rPr>
                <w:rFonts w:ascii="Times New Roman" w:hAnsi="Times New Roman"/>
                <w:b/>
                <w:bCs/>
              </w:rPr>
            </w:pPr>
          </w:p>
        </w:tc>
        <w:tc>
          <w:tcPr>
            <w:tcW w:w="1909" w:type="dxa"/>
            <w:tcBorders>
              <w:top w:val="single" w:sz="4" w:space="0" w:color="auto"/>
              <w:left w:val="single" w:sz="4" w:space="0" w:color="auto"/>
              <w:bottom w:val="single" w:sz="4" w:space="0" w:color="auto"/>
              <w:right w:val="single" w:sz="4" w:space="0" w:color="auto"/>
            </w:tcBorders>
            <w:hideMark/>
          </w:tcPr>
          <w:p w:rsidR="00485460" w:rsidRDefault="00485460">
            <w:pPr>
              <w:widowControl w:val="0"/>
              <w:autoSpaceDE w:val="0"/>
              <w:autoSpaceDN w:val="0"/>
              <w:adjustRightInd w:val="0"/>
              <w:spacing w:after="0" w:line="240" w:lineRule="auto"/>
              <w:jc w:val="center"/>
              <w:rPr>
                <w:rFonts w:ascii="Times New Roman" w:hAnsi="Times New Roman"/>
                <w:b/>
                <w:bCs/>
              </w:rPr>
            </w:pPr>
            <w:r>
              <w:rPr>
                <w:rFonts w:ascii="Times New Roman" w:hAnsi="Times New Roman"/>
                <w:b/>
                <w:bCs/>
              </w:rPr>
              <w:t>IČO</w:t>
            </w:r>
          </w:p>
        </w:tc>
        <w:tc>
          <w:tcPr>
            <w:tcW w:w="1910" w:type="dxa"/>
            <w:tcBorders>
              <w:top w:val="single" w:sz="4" w:space="0" w:color="auto"/>
              <w:left w:val="single" w:sz="4" w:space="0" w:color="auto"/>
              <w:bottom w:val="single" w:sz="4" w:space="0" w:color="auto"/>
              <w:right w:val="single" w:sz="4" w:space="0" w:color="auto"/>
            </w:tcBorders>
            <w:hideMark/>
          </w:tcPr>
          <w:p w:rsidR="00485460" w:rsidRDefault="00485460">
            <w:pPr>
              <w:widowControl w:val="0"/>
              <w:autoSpaceDE w:val="0"/>
              <w:autoSpaceDN w:val="0"/>
              <w:adjustRightInd w:val="0"/>
              <w:spacing w:after="0" w:line="240" w:lineRule="auto"/>
              <w:jc w:val="center"/>
              <w:rPr>
                <w:rFonts w:ascii="Times New Roman" w:hAnsi="Times New Roman"/>
                <w:b/>
                <w:bCs/>
              </w:rPr>
            </w:pPr>
            <w:r>
              <w:rPr>
                <w:rFonts w:ascii="Times New Roman" w:hAnsi="Times New Roman"/>
                <w:b/>
                <w:bCs/>
              </w:rPr>
              <w:t>Dátum založenia</w:t>
            </w:r>
          </w:p>
        </w:tc>
      </w:tr>
      <w:tr w:rsidR="00485460" w:rsidTr="00485460">
        <w:tc>
          <w:tcPr>
            <w:tcW w:w="1909" w:type="dxa"/>
            <w:tcBorders>
              <w:top w:val="single" w:sz="4" w:space="0" w:color="auto"/>
              <w:left w:val="single" w:sz="4" w:space="0" w:color="auto"/>
              <w:bottom w:val="single" w:sz="4" w:space="0" w:color="auto"/>
              <w:right w:val="single" w:sz="4" w:space="0" w:color="auto"/>
            </w:tcBorders>
            <w:hideMark/>
          </w:tcPr>
          <w:p w:rsidR="00485460" w:rsidRDefault="00485460">
            <w:pPr>
              <w:widowControl w:val="0"/>
              <w:autoSpaceDE w:val="0"/>
              <w:autoSpaceDN w:val="0"/>
              <w:adjustRightInd w:val="0"/>
              <w:spacing w:after="0" w:line="240" w:lineRule="auto"/>
              <w:jc w:val="center"/>
              <w:rPr>
                <w:rFonts w:ascii="Times New Roman" w:hAnsi="Times New Roman"/>
                <w:bCs/>
              </w:rPr>
            </w:pPr>
            <w:r>
              <w:rPr>
                <w:rFonts w:ascii="Times New Roman" w:hAnsi="Times New Roman"/>
                <w:bCs/>
              </w:rPr>
              <w:t>Základná škola Medzany</w:t>
            </w:r>
          </w:p>
        </w:tc>
        <w:tc>
          <w:tcPr>
            <w:tcW w:w="1909" w:type="dxa"/>
            <w:tcBorders>
              <w:top w:val="single" w:sz="4" w:space="0" w:color="auto"/>
              <w:left w:val="single" w:sz="4" w:space="0" w:color="auto"/>
              <w:bottom w:val="single" w:sz="4" w:space="0" w:color="auto"/>
              <w:right w:val="nil"/>
            </w:tcBorders>
            <w:hideMark/>
          </w:tcPr>
          <w:p w:rsidR="00485460" w:rsidRDefault="00485460">
            <w:pPr>
              <w:widowControl w:val="0"/>
              <w:autoSpaceDE w:val="0"/>
              <w:autoSpaceDN w:val="0"/>
              <w:adjustRightInd w:val="0"/>
              <w:spacing w:after="0" w:line="240" w:lineRule="auto"/>
              <w:jc w:val="center"/>
              <w:rPr>
                <w:rFonts w:ascii="Times New Roman" w:hAnsi="Times New Roman"/>
                <w:bCs/>
              </w:rPr>
            </w:pPr>
            <w:r>
              <w:rPr>
                <w:rFonts w:ascii="Times New Roman" w:hAnsi="Times New Roman"/>
                <w:bCs/>
              </w:rPr>
              <w:t>Medzany</w:t>
            </w:r>
            <w:r w:rsidR="00C55B6A">
              <w:rPr>
                <w:rFonts w:ascii="Times New Roman" w:hAnsi="Times New Roman"/>
                <w:bCs/>
              </w:rPr>
              <w:t xml:space="preserve"> </w:t>
            </w:r>
            <w:bookmarkStart w:id="0" w:name="_GoBack"/>
            <w:bookmarkEnd w:id="0"/>
            <w:r>
              <w:rPr>
                <w:rFonts w:ascii="Times New Roman" w:hAnsi="Times New Roman"/>
                <w:bCs/>
              </w:rPr>
              <w:t xml:space="preserve">182,    </w:t>
            </w:r>
          </w:p>
        </w:tc>
        <w:tc>
          <w:tcPr>
            <w:tcW w:w="1909" w:type="dxa"/>
            <w:tcBorders>
              <w:top w:val="single" w:sz="4" w:space="0" w:color="auto"/>
              <w:left w:val="nil"/>
              <w:bottom w:val="single" w:sz="4" w:space="0" w:color="auto"/>
              <w:right w:val="single" w:sz="4" w:space="0" w:color="auto"/>
            </w:tcBorders>
            <w:hideMark/>
          </w:tcPr>
          <w:p w:rsidR="00485460" w:rsidRDefault="00485460">
            <w:pPr>
              <w:widowControl w:val="0"/>
              <w:autoSpaceDE w:val="0"/>
              <w:autoSpaceDN w:val="0"/>
              <w:adjustRightInd w:val="0"/>
              <w:spacing w:after="0" w:line="240" w:lineRule="auto"/>
              <w:jc w:val="center"/>
              <w:rPr>
                <w:rFonts w:ascii="Times New Roman" w:hAnsi="Times New Roman"/>
                <w:bCs/>
              </w:rPr>
            </w:pPr>
            <w:r>
              <w:rPr>
                <w:rFonts w:ascii="Times New Roman" w:hAnsi="Times New Roman"/>
                <w:bCs/>
              </w:rPr>
              <w:t>082 21  Medzany</w:t>
            </w:r>
          </w:p>
        </w:tc>
        <w:tc>
          <w:tcPr>
            <w:tcW w:w="1909" w:type="dxa"/>
            <w:tcBorders>
              <w:top w:val="single" w:sz="4" w:space="0" w:color="auto"/>
              <w:left w:val="single" w:sz="4" w:space="0" w:color="auto"/>
              <w:bottom w:val="single" w:sz="4" w:space="0" w:color="auto"/>
              <w:right w:val="single" w:sz="4" w:space="0" w:color="auto"/>
            </w:tcBorders>
            <w:hideMark/>
          </w:tcPr>
          <w:p w:rsidR="00485460" w:rsidRDefault="00485460">
            <w:pPr>
              <w:widowControl w:val="0"/>
              <w:autoSpaceDE w:val="0"/>
              <w:autoSpaceDN w:val="0"/>
              <w:adjustRightInd w:val="0"/>
              <w:spacing w:after="0" w:line="240" w:lineRule="auto"/>
              <w:jc w:val="center"/>
              <w:rPr>
                <w:rFonts w:ascii="Times New Roman" w:hAnsi="Times New Roman"/>
                <w:bCs/>
              </w:rPr>
            </w:pPr>
            <w:r>
              <w:rPr>
                <w:rFonts w:ascii="Times New Roman" w:hAnsi="Times New Roman"/>
                <w:bCs/>
              </w:rPr>
              <w:t>423 82 378</w:t>
            </w:r>
          </w:p>
        </w:tc>
        <w:tc>
          <w:tcPr>
            <w:tcW w:w="1910" w:type="dxa"/>
            <w:tcBorders>
              <w:top w:val="single" w:sz="4" w:space="0" w:color="auto"/>
              <w:left w:val="single" w:sz="4" w:space="0" w:color="auto"/>
              <w:bottom w:val="single" w:sz="4" w:space="0" w:color="auto"/>
              <w:right w:val="single" w:sz="4" w:space="0" w:color="auto"/>
            </w:tcBorders>
            <w:hideMark/>
          </w:tcPr>
          <w:p w:rsidR="00485460" w:rsidRDefault="00485460">
            <w:pPr>
              <w:widowControl w:val="0"/>
              <w:autoSpaceDE w:val="0"/>
              <w:autoSpaceDN w:val="0"/>
              <w:adjustRightInd w:val="0"/>
              <w:spacing w:after="0" w:line="240" w:lineRule="auto"/>
              <w:jc w:val="center"/>
              <w:rPr>
                <w:rFonts w:ascii="Times New Roman" w:hAnsi="Times New Roman"/>
                <w:bCs/>
              </w:rPr>
            </w:pPr>
            <w:r>
              <w:rPr>
                <w:rFonts w:ascii="Times New Roman" w:hAnsi="Times New Roman"/>
                <w:bCs/>
              </w:rPr>
              <w:t>1.9.2014</w:t>
            </w:r>
          </w:p>
        </w:tc>
      </w:tr>
    </w:tbl>
    <w:p w:rsidR="00485460" w:rsidRDefault="00485460" w:rsidP="00485460">
      <w:pPr>
        <w:widowControl w:val="0"/>
        <w:autoSpaceDE w:val="0"/>
        <w:autoSpaceDN w:val="0"/>
        <w:adjustRightInd w:val="0"/>
        <w:spacing w:after="0" w:line="240" w:lineRule="auto"/>
        <w:jc w:val="center"/>
        <w:rPr>
          <w:rFonts w:ascii="Times New Roman" w:hAnsi="Times New Roman"/>
          <w:b/>
          <w:bCs/>
        </w:rPr>
      </w:pPr>
    </w:p>
    <w:p w:rsidR="00485460" w:rsidRDefault="00485460" w:rsidP="00485460">
      <w:pPr>
        <w:widowControl w:val="0"/>
        <w:autoSpaceDE w:val="0"/>
        <w:autoSpaceDN w:val="0"/>
        <w:adjustRightInd w:val="0"/>
        <w:spacing w:after="0" w:line="240" w:lineRule="auto"/>
        <w:ind w:left="720"/>
        <w:rPr>
          <w:rFonts w:ascii="Times New Roman" w:hAnsi="Times New Roman"/>
          <w:b/>
          <w:bCs/>
        </w:rPr>
      </w:pPr>
    </w:p>
    <w:p w:rsidR="00485460" w:rsidRDefault="00485460" w:rsidP="00485460">
      <w:pPr>
        <w:widowControl w:val="0"/>
        <w:numPr>
          <w:ilvl w:val="0"/>
          <w:numId w:val="1"/>
        </w:numPr>
        <w:autoSpaceDE w:val="0"/>
        <w:autoSpaceDN w:val="0"/>
        <w:adjustRightInd w:val="0"/>
        <w:spacing w:after="0" w:line="240" w:lineRule="auto"/>
        <w:rPr>
          <w:rFonts w:ascii="Times New Roman" w:hAnsi="Times New Roman"/>
          <w:b/>
          <w:bCs/>
        </w:rPr>
      </w:pPr>
      <w:r>
        <w:rPr>
          <w:rFonts w:ascii="Times New Roman" w:hAnsi="Times New Roman"/>
          <w:b/>
          <w:bCs/>
        </w:rPr>
        <w:lastRenderedPageBreak/>
        <w:t>Informácie o zamestnancoch konsolidovaného celku</w:t>
      </w:r>
    </w:p>
    <w:p w:rsidR="00485460" w:rsidRDefault="00485460" w:rsidP="00485460">
      <w:pPr>
        <w:widowControl w:val="0"/>
        <w:autoSpaceDE w:val="0"/>
        <w:autoSpaceDN w:val="0"/>
        <w:adjustRightInd w:val="0"/>
        <w:spacing w:after="0" w:line="240" w:lineRule="auto"/>
        <w:ind w:left="720"/>
        <w:rPr>
          <w:rFonts w:ascii="Times New Roman" w:hAnsi="Times New Roman"/>
          <w:b/>
          <w:bCs/>
          <w:sz w:val="24"/>
          <w:szCs w:val="24"/>
        </w:rPr>
      </w:pPr>
    </w:p>
    <w:tbl>
      <w:tblPr>
        <w:tblStyle w:val="Mriekatabuky"/>
        <w:tblW w:w="0" w:type="auto"/>
        <w:tblInd w:w="720" w:type="dxa"/>
        <w:tblLook w:val="04A0" w:firstRow="1" w:lastRow="0" w:firstColumn="1" w:lastColumn="0" w:noHBand="0" w:noVBand="1"/>
      </w:tblPr>
      <w:tblGrid>
        <w:gridCol w:w="1853"/>
        <w:gridCol w:w="1751"/>
        <w:gridCol w:w="1751"/>
      </w:tblGrid>
      <w:tr w:rsidR="00485460" w:rsidTr="00485460">
        <w:tc>
          <w:tcPr>
            <w:tcW w:w="1853" w:type="dxa"/>
            <w:tcBorders>
              <w:top w:val="single" w:sz="4" w:space="0" w:color="auto"/>
              <w:left w:val="single" w:sz="4" w:space="0" w:color="auto"/>
              <w:bottom w:val="single" w:sz="4" w:space="0" w:color="auto"/>
              <w:right w:val="nil"/>
            </w:tcBorders>
            <w:hideMark/>
          </w:tcPr>
          <w:p w:rsidR="00485460" w:rsidRDefault="00485460">
            <w:pPr>
              <w:widowControl w:val="0"/>
              <w:autoSpaceDE w:val="0"/>
              <w:autoSpaceDN w:val="0"/>
              <w:adjustRightInd w:val="0"/>
              <w:spacing w:after="0" w:line="240" w:lineRule="auto"/>
              <w:rPr>
                <w:rFonts w:ascii="Times New Roman" w:hAnsi="Times New Roman"/>
                <w:bCs/>
                <w:sz w:val="20"/>
                <w:szCs w:val="20"/>
              </w:rPr>
            </w:pPr>
            <w:r>
              <w:rPr>
                <w:rFonts w:ascii="Times New Roman" w:hAnsi="Times New Roman"/>
                <w:bCs/>
                <w:sz w:val="20"/>
                <w:szCs w:val="20"/>
              </w:rPr>
              <w:t>Názov položky</w:t>
            </w:r>
          </w:p>
        </w:tc>
        <w:tc>
          <w:tcPr>
            <w:tcW w:w="1751" w:type="dxa"/>
            <w:tcBorders>
              <w:top w:val="single" w:sz="4" w:space="0" w:color="auto"/>
              <w:left w:val="nil"/>
              <w:bottom w:val="single" w:sz="4" w:space="0" w:color="auto"/>
              <w:right w:val="single" w:sz="4" w:space="0" w:color="auto"/>
            </w:tcBorders>
          </w:tcPr>
          <w:p w:rsidR="00485460" w:rsidRDefault="00485460">
            <w:pPr>
              <w:widowControl w:val="0"/>
              <w:autoSpaceDE w:val="0"/>
              <w:autoSpaceDN w:val="0"/>
              <w:adjustRightInd w:val="0"/>
              <w:spacing w:after="0" w:line="240" w:lineRule="auto"/>
              <w:rPr>
                <w:rFonts w:ascii="Times New Roman" w:hAnsi="Times New Roman"/>
                <w:b/>
                <w:bCs/>
                <w:sz w:val="24"/>
                <w:szCs w:val="24"/>
              </w:rPr>
            </w:pPr>
          </w:p>
        </w:tc>
        <w:tc>
          <w:tcPr>
            <w:tcW w:w="1751" w:type="dxa"/>
            <w:tcBorders>
              <w:top w:val="single" w:sz="4" w:space="0" w:color="auto"/>
              <w:left w:val="single" w:sz="4" w:space="0" w:color="auto"/>
              <w:bottom w:val="single" w:sz="4" w:space="0" w:color="auto"/>
              <w:right w:val="single" w:sz="4" w:space="0" w:color="auto"/>
            </w:tcBorders>
            <w:hideMark/>
          </w:tcPr>
          <w:p w:rsidR="00485460" w:rsidRDefault="00393580">
            <w:pPr>
              <w:widowControl w:val="0"/>
              <w:autoSpaceDE w:val="0"/>
              <w:autoSpaceDN w:val="0"/>
              <w:adjustRightInd w:val="0"/>
              <w:spacing w:after="0" w:line="240" w:lineRule="auto"/>
              <w:rPr>
                <w:rFonts w:ascii="Times New Roman" w:hAnsi="Times New Roman"/>
                <w:bCs/>
                <w:sz w:val="20"/>
                <w:szCs w:val="20"/>
              </w:rPr>
            </w:pPr>
            <w:r>
              <w:rPr>
                <w:rFonts w:ascii="Times New Roman" w:hAnsi="Times New Roman"/>
                <w:bCs/>
                <w:sz w:val="20"/>
                <w:szCs w:val="20"/>
              </w:rPr>
              <w:t>Rok 2016</w:t>
            </w:r>
          </w:p>
        </w:tc>
      </w:tr>
      <w:tr w:rsidR="00485460" w:rsidTr="00485460">
        <w:tc>
          <w:tcPr>
            <w:tcW w:w="1853" w:type="dxa"/>
            <w:tcBorders>
              <w:top w:val="single" w:sz="4" w:space="0" w:color="auto"/>
              <w:left w:val="single" w:sz="4" w:space="0" w:color="auto"/>
              <w:bottom w:val="single" w:sz="4" w:space="0" w:color="auto"/>
              <w:right w:val="nil"/>
            </w:tcBorders>
            <w:hideMark/>
          </w:tcPr>
          <w:p w:rsidR="00485460" w:rsidRDefault="00485460">
            <w:pPr>
              <w:widowControl w:val="0"/>
              <w:autoSpaceDE w:val="0"/>
              <w:autoSpaceDN w:val="0"/>
              <w:adjustRightInd w:val="0"/>
              <w:spacing w:after="0" w:line="240" w:lineRule="auto"/>
              <w:rPr>
                <w:rFonts w:ascii="Times New Roman" w:hAnsi="Times New Roman"/>
                <w:bCs/>
                <w:sz w:val="16"/>
                <w:szCs w:val="16"/>
              </w:rPr>
            </w:pPr>
            <w:r>
              <w:rPr>
                <w:rFonts w:ascii="Times New Roman" w:hAnsi="Times New Roman"/>
                <w:bCs/>
                <w:sz w:val="16"/>
                <w:szCs w:val="16"/>
              </w:rPr>
              <w:t>Priemerný počet  zamestnancov  konsolidovaného celku  počas účtovného obdobia</w:t>
            </w:r>
          </w:p>
        </w:tc>
        <w:tc>
          <w:tcPr>
            <w:tcW w:w="1751" w:type="dxa"/>
            <w:tcBorders>
              <w:top w:val="single" w:sz="4" w:space="0" w:color="auto"/>
              <w:left w:val="nil"/>
              <w:bottom w:val="single" w:sz="4" w:space="0" w:color="auto"/>
              <w:right w:val="single" w:sz="4" w:space="0" w:color="auto"/>
            </w:tcBorders>
          </w:tcPr>
          <w:p w:rsidR="00485460" w:rsidRDefault="00485460">
            <w:pPr>
              <w:widowControl w:val="0"/>
              <w:autoSpaceDE w:val="0"/>
              <w:autoSpaceDN w:val="0"/>
              <w:adjustRightInd w:val="0"/>
              <w:spacing w:after="0" w:line="240" w:lineRule="auto"/>
              <w:rPr>
                <w:rFonts w:ascii="Times New Roman" w:hAnsi="Times New Roman"/>
                <w:b/>
                <w:bCs/>
                <w:sz w:val="24"/>
                <w:szCs w:val="24"/>
              </w:rPr>
            </w:pPr>
          </w:p>
        </w:tc>
        <w:tc>
          <w:tcPr>
            <w:tcW w:w="1751" w:type="dxa"/>
            <w:tcBorders>
              <w:top w:val="single" w:sz="4" w:space="0" w:color="auto"/>
              <w:left w:val="single" w:sz="4" w:space="0" w:color="auto"/>
              <w:bottom w:val="single" w:sz="4" w:space="0" w:color="auto"/>
              <w:right w:val="single" w:sz="4" w:space="0" w:color="auto"/>
            </w:tcBorders>
            <w:hideMark/>
          </w:tcPr>
          <w:p w:rsidR="00485460" w:rsidRDefault="00F978C0" w:rsidP="00393580">
            <w:pPr>
              <w:widowControl w:val="0"/>
              <w:autoSpaceDE w:val="0"/>
              <w:autoSpaceDN w:val="0"/>
              <w:adjustRightInd w:val="0"/>
              <w:spacing w:after="0" w:line="240" w:lineRule="auto"/>
              <w:rPr>
                <w:rFonts w:ascii="Times New Roman" w:hAnsi="Times New Roman"/>
                <w:bCs/>
                <w:sz w:val="18"/>
                <w:szCs w:val="18"/>
              </w:rPr>
            </w:pPr>
            <w:r>
              <w:rPr>
                <w:rFonts w:ascii="Times New Roman" w:hAnsi="Times New Roman"/>
                <w:bCs/>
                <w:sz w:val="18"/>
                <w:szCs w:val="18"/>
              </w:rPr>
              <w:t>3</w:t>
            </w:r>
            <w:r w:rsidR="00393580">
              <w:rPr>
                <w:rFonts w:ascii="Times New Roman" w:hAnsi="Times New Roman"/>
                <w:bCs/>
                <w:sz w:val="18"/>
                <w:szCs w:val="18"/>
              </w:rPr>
              <w:t>0</w:t>
            </w:r>
          </w:p>
        </w:tc>
      </w:tr>
      <w:tr w:rsidR="00485460" w:rsidTr="00485460">
        <w:tc>
          <w:tcPr>
            <w:tcW w:w="1853" w:type="dxa"/>
            <w:tcBorders>
              <w:top w:val="single" w:sz="4" w:space="0" w:color="auto"/>
              <w:left w:val="single" w:sz="4" w:space="0" w:color="auto"/>
              <w:bottom w:val="single" w:sz="4" w:space="0" w:color="auto"/>
              <w:right w:val="nil"/>
            </w:tcBorders>
            <w:hideMark/>
          </w:tcPr>
          <w:p w:rsidR="00485460" w:rsidRDefault="00485460">
            <w:pPr>
              <w:widowControl w:val="0"/>
              <w:autoSpaceDE w:val="0"/>
              <w:autoSpaceDN w:val="0"/>
              <w:adjustRightInd w:val="0"/>
              <w:spacing w:after="0" w:line="240" w:lineRule="auto"/>
              <w:rPr>
                <w:rFonts w:ascii="Times New Roman" w:hAnsi="Times New Roman"/>
                <w:bCs/>
                <w:sz w:val="16"/>
                <w:szCs w:val="16"/>
              </w:rPr>
            </w:pPr>
            <w:r>
              <w:rPr>
                <w:rFonts w:ascii="Times New Roman" w:hAnsi="Times New Roman"/>
                <w:bCs/>
                <w:sz w:val="16"/>
                <w:szCs w:val="16"/>
              </w:rPr>
              <w:t>Z toho počet vedúcich zamestnancov</w:t>
            </w:r>
          </w:p>
        </w:tc>
        <w:tc>
          <w:tcPr>
            <w:tcW w:w="1751" w:type="dxa"/>
            <w:tcBorders>
              <w:top w:val="single" w:sz="4" w:space="0" w:color="auto"/>
              <w:left w:val="nil"/>
              <w:bottom w:val="single" w:sz="4" w:space="0" w:color="auto"/>
              <w:right w:val="single" w:sz="4" w:space="0" w:color="auto"/>
            </w:tcBorders>
          </w:tcPr>
          <w:p w:rsidR="00485460" w:rsidRDefault="00485460">
            <w:pPr>
              <w:widowControl w:val="0"/>
              <w:autoSpaceDE w:val="0"/>
              <w:autoSpaceDN w:val="0"/>
              <w:adjustRightInd w:val="0"/>
              <w:spacing w:after="0" w:line="240" w:lineRule="auto"/>
              <w:rPr>
                <w:rFonts w:ascii="Times New Roman" w:hAnsi="Times New Roman"/>
                <w:bCs/>
                <w:sz w:val="16"/>
                <w:szCs w:val="16"/>
              </w:rPr>
            </w:pPr>
          </w:p>
        </w:tc>
        <w:tc>
          <w:tcPr>
            <w:tcW w:w="1751" w:type="dxa"/>
            <w:tcBorders>
              <w:top w:val="single" w:sz="4" w:space="0" w:color="auto"/>
              <w:left w:val="single" w:sz="4" w:space="0" w:color="auto"/>
              <w:bottom w:val="single" w:sz="4" w:space="0" w:color="auto"/>
              <w:right w:val="single" w:sz="4" w:space="0" w:color="auto"/>
            </w:tcBorders>
            <w:hideMark/>
          </w:tcPr>
          <w:p w:rsidR="00485460" w:rsidRDefault="00485460">
            <w:pPr>
              <w:widowControl w:val="0"/>
              <w:autoSpaceDE w:val="0"/>
              <w:autoSpaceDN w:val="0"/>
              <w:adjustRightInd w:val="0"/>
              <w:spacing w:after="0" w:line="240" w:lineRule="auto"/>
              <w:rPr>
                <w:rFonts w:ascii="Times New Roman" w:hAnsi="Times New Roman"/>
                <w:bCs/>
                <w:sz w:val="20"/>
                <w:szCs w:val="20"/>
              </w:rPr>
            </w:pPr>
            <w:r>
              <w:rPr>
                <w:rFonts w:ascii="Times New Roman" w:hAnsi="Times New Roman"/>
                <w:bCs/>
                <w:sz w:val="20"/>
                <w:szCs w:val="20"/>
              </w:rPr>
              <w:t>2</w:t>
            </w:r>
          </w:p>
        </w:tc>
      </w:tr>
    </w:tbl>
    <w:p w:rsidR="00485460" w:rsidRDefault="00485460" w:rsidP="00485460">
      <w:pPr>
        <w:widowControl w:val="0"/>
        <w:autoSpaceDE w:val="0"/>
        <w:autoSpaceDN w:val="0"/>
        <w:adjustRightInd w:val="0"/>
        <w:spacing w:after="0" w:line="240" w:lineRule="auto"/>
        <w:ind w:left="720"/>
        <w:rPr>
          <w:rFonts w:ascii="Times New Roman" w:hAnsi="Times New Roman"/>
          <w:b/>
          <w:bCs/>
          <w:sz w:val="24"/>
          <w:szCs w:val="24"/>
        </w:rPr>
      </w:pPr>
    </w:p>
    <w:p w:rsidR="00485460" w:rsidRDefault="00485460" w:rsidP="00485460">
      <w:pPr>
        <w:widowControl w:val="0"/>
        <w:autoSpaceDE w:val="0"/>
        <w:autoSpaceDN w:val="0"/>
        <w:adjustRightInd w:val="0"/>
        <w:spacing w:after="0" w:line="240" w:lineRule="auto"/>
        <w:jc w:val="center"/>
        <w:rPr>
          <w:rFonts w:ascii="Times New Roman" w:hAnsi="Times New Roman"/>
          <w:b/>
          <w:bCs/>
          <w:sz w:val="24"/>
          <w:szCs w:val="24"/>
        </w:rPr>
      </w:pPr>
      <w:r>
        <w:rPr>
          <w:rFonts w:ascii="Times New Roman" w:hAnsi="Times New Roman"/>
          <w:b/>
          <w:bCs/>
          <w:sz w:val="24"/>
          <w:szCs w:val="24"/>
        </w:rPr>
        <w:t>Čl. II</w:t>
      </w:r>
    </w:p>
    <w:p w:rsidR="00485460" w:rsidRDefault="00485460" w:rsidP="00485460">
      <w:pPr>
        <w:widowControl w:val="0"/>
        <w:autoSpaceDE w:val="0"/>
        <w:autoSpaceDN w:val="0"/>
        <w:adjustRightInd w:val="0"/>
        <w:spacing w:after="0" w:line="240" w:lineRule="auto"/>
        <w:jc w:val="center"/>
        <w:rPr>
          <w:rFonts w:ascii="Times New Roman" w:hAnsi="Times New Roman"/>
          <w:b/>
          <w:bCs/>
          <w:sz w:val="24"/>
          <w:szCs w:val="24"/>
        </w:rPr>
      </w:pPr>
      <w:r>
        <w:rPr>
          <w:rFonts w:ascii="Times New Roman" w:hAnsi="Times New Roman"/>
          <w:b/>
          <w:bCs/>
          <w:sz w:val="24"/>
          <w:szCs w:val="24"/>
        </w:rPr>
        <w:t xml:space="preserve">Informácie o účtovných zásadách a účtovných metódach </w:t>
      </w:r>
    </w:p>
    <w:p w:rsidR="00485460" w:rsidRDefault="00485460" w:rsidP="00485460">
      <w:pPr>
        <w:widowControl w:val="0"/>
        <w:autoSpaceDE w:val="0"/>
        <w:autoSpaceDN w:val="0"/>
        <w:adjustRightInd w:val="0"/>
        <w:spacing w:after="0" w:line="240" w:lineRule="auto"/>
        <w:rPr>
          <w:rFonts w:ascii="Times New Roman" w:hAnsi="Times New Roman"/>
          <w:b/>
          <w:bCs/>
        </w:rPr>
      </w:pPr>
    </w:p>
    <w:p w:rsidR="00485460" w:rsidRDefault="00485460" w:rsidP="00485460">
      <w:pPr>
        <w:widowControl w:val="0"/>
        <w:numPr>
          <w:ilvl w:val="0"/>
          <w:numId w:val="2"/>
        </w:numPr>
        <w:autoSpaceDE w:val="0"/>
        <w:autoSpaceDN w:val="0"/>
        <w:adjustRightInd w:val="0"/>
        <w:spacing w:after="0" w:line="240" w:lineRule="auto"/>
        <w:jc w:val="both"/>
        <w:rPr>
          <w:rFonts w:ascii="Times New Roman" w:hAnsi="Times New Roman"/>
          <w:b/>
          <w:bCs/>
        </w:rPr>
      </w:pPr>
      <w:r>
        <w:rPr>
          <w:rFonts w:ascii="Times New Roman" w:hAnsi="Times New Roman"/>
          <w:b/>
          <w:bCs/>
        </w:rPr>
        <w:t>Dlhodobý nehmotný a dlhodobý hmotný majetok</w:t>
      </w:r>
    </w:p>
    <w:p w:rsidR="00485460" w:rsidRDefault="00485460" w:rsidP="00485460">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Dlhodobý majetok obstaraný kúpou sa oceňuje obstarávacou cenou, ktorá zahrňuje cenu obstarania a náklady súvisiace s obstaraním (dopravné, montáž, provízia, poistné a iné). Súčasťou obstarávacej ceny dlhodobého hmotného a nehmotného majetku nie sú úroky z úverov a realizované kurzové rozdiely, ktoré vznikli do momentu uvedenia dlhodobého majetku do užívania. Hodnota obstarávaného dlhodobého hmotného majetku, ktorý sa používa, sa trvalo zníži o oprávky, ktoré zodpovedajú výške opotrebenia majetku.</w:t>
      </w:r>
    </w:p>
    <w:p w:rsidR="00485460" w:rsidRDefault="00485460" w:rsidP="00485460">
      <w:pPr>
        <w:widowControl w:val="0"/>
        <w:numPr>
          <w:ilvl w:val="0"/>
          <w:numId w:val="2"/>
        </w:numPr>
        <w:autoSpaceDE w:val="0"/>
        <w:autoSpaceDN w:val="0"/>
        <w:adjustRightInd w:val="0"/>
        <w:spacing w:after="0" w:line="240" w:lineRule="auto"/>
        <w:jc w:val="both"/>
        <w:rPr>
          <w:rFonts w:ascii="Times New Roman" w:hAnsi="Times New Roman"/>
          <w:b/>
          <w:bCs/>
        </w:rPr>
      </w:pPr>
      <w:r>
        <w:rPr>
          <w:rFonts w:ascii="Times New Roman" w:hAnsi="Times New Roman"/>
          <w:b/>
          <w:bCs/>
        </w:rPr>
        <w:t>Dlhodobý finančný majetok</w:t>
      </w:r>
    </w:p>
    <w:p w:rsidR="00485460" w:rsidRDefault="00485460" w:rsidP="00485460">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Finančné investície, cenné papiere a majetkové účasti sa oceňujú obstarávacou cenou, vrátane nákladov súvisiacich s obstaraním.</w:t>
      </w:r>
    </w:p>
    <w:p w:rsidR="00485460" w:rsidRDefault="00485460" w:rsidP="00485460">
      <w:pPr>
        <w:widowControl w:val="0"/>
        <w:numPr>
          <w:ilvl w:val="0"/>
          <w:numId w:val="2"/>
        </w:numPr>
        <w:autoSpaceDE w:val="0"/>
        <w:autoSpaceDN w:val="0"/>
        <w:adjustRightInd w:val="0"/>
        <w:spacing w:after="0" w:line="240" w:lineRule="auto"/>
        <w:jc w:val="both"/>
        <w:rPr>
          <w:rFonts w:ascii="Times New Roman" w:hAnsi="Times New Roman"/>
          <w:b/>
        </w:rPr>
      </w:pPr>
      <w:r>
        <w:rPr>
          <w:rFonts w:ascii="Times New Roman" w:hAnsi="Times New Roman"/>
          <w:b/>
          <w:bCs/>
        </w:rPr>
        <w:t>Zásoby</w:t>
      </w:r>
    </w:p>
    <w:p w:rsidR="00485460" w:rsidRDefault="00485460" w:rsidP="00485460">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Zásoby nakupované sa oceňujú obstarávacou cenou, ktorá zahrňuje cenu obstarania a náklady súvisiace s obstaraním. Úroky z cudzích zdrojov nie sú súčasťou obstarávacej ceny.</w:t>
      </w:r>
    </w:p>
    <w:p w:rsidR="00485460" w:rsidRDefault="00485460" w:rsidP="00485460">
      <w:pPr>
        <w:widowControl w:val="0"/>
        <w:numPr>
          <w:ilvl w:val="0"/>
          <w:numId w:val="2"/>
        </w:numPr>
        <w:autoSpaceDE w:val="0"/>
        <w:autoSpaceDN w:val="0"/>
        <w:adjustRightInd w:val="0"/>
        <w:spacing w:after="0" w:line="240" w:lineRule="auto"/>
        <w:jc w:val="both"/>
        <w:rPr>
          <w:rFonts w:ascii="Times New Roman" w:hAnsi="Times New Roman"/>
          <w:b/>
          <w:bCs/>
        </w:rPr>
      </w:pPr>
      <w:r>
        <w:rPr>
          <w:rFonts w:ascii="Times New Roman" w:hAnsi="Times New Roman"/>
          <w:b/>
          <w:bCs/>
        </w:rPr>
        <w:t>Pohľadávky</w:t>
      </w:r>
    </w:p>
    <w:p w:rsidR="00485460" w:rsidRDefault="00485460" w:rsidP="00485460">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 xml:space="preserve">Pohľadávky pri ich vzniku sa oceňujú  menovitou hodnotou. Pohľadávky pri odplatnom nadobudnutí alebo pohľadávky nadobudnuté vkladom do základného imania sa oceňujú obstarávacou cenou, </w:t>
      </w:r>
      <w:proofErr w:type="spellStart"/>
      <w:r>
        <w:rPr>
          <w:rFonts w:ascii="Times New Roman" w:hAnsi="Times New Roman"/>
          <w:bCs/>
        </w:rPr>
        <w:t>t.j</w:t>
      </w:r>
      <w:proofErr w:type="spellEnd"/>
      <w:r>
        <w:rPr>
          <w:rFonts w:ascii="Times New Roman" w:hAnsi="Times New Roman"/>
          <w:bCs/>
        </w:rPr>
        <w:t>. vrátane nákladov súvisiacich s obstaraním. Opravné položka sa vytvára napr. k pohľadávkam po splatnosti a nedobytným pohľadávkam, kde existuje riziko nevymožiteľnosti pohľadávok.</w:t>
      </w:r>
    </w:p>
    <w:p w:rsidR="00485460" w:rsidRDefault="00485460" w:rsidP="00485460">
      <w:pPr>
        <w:widowControl w:val="0"/>
        <w:numPr>
          <w:ilvl w:val="0"/>
          <w:numId w:val="2"/>
        </w:numPr>
        <w:autoSpaceDE w:val="0"/>
        <w:autoSpaceDN w:val="0"/>
        <w:adjustRightInd w:val="0"/>
        <w:spacing w:after="0" w:line="240" w:lineRule="auto"/>
        <w:jc w:val="both"/>
        <w:rPr>
          <w:rFonts w:ascii="Times New Roman" w:hAnsi="Times New Roman"/>
          <w:b/>
          <w:bCs/>
        </w:rPr>
      </w:pPr>
      <w:r>
        <w:rPr>
          <w:rFonts w:ascii="Times New Roman" w:hAnsi="Times New Roman"/>
          <w:b/>
          <w:bCs/>
        </w:rPr>
        <w:t>Finančné účty</w:t>
      </w:r>
    </w:p>
    <w:p w:rsidR="00485460" w:rsidRDefault="00485460" w:rsidP="00485460">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Peňažné prostriedky a ceniny sa oceňujú menovitou hodnotou.</w:t>
      </w:r>
    </w:p>
    <w:p w:rsidR="00485460" w:rsidRDefault="00485460" w:rsidP="00485460">
      <w:pPr>
        <w:widowControl w:val="0"/>
        <w:numPr>
          <w:ilvl w:val="0"/>
          <w:numId w:val="2"/>
        </w:numPr>
        <w:autoSpaceDE w:val="0"/>
        <w:autoSpaceDN w:val="0"/>
        <w:adjustRightInd w:val="0"/>
        <w:spacing w:after="0" w:line="240" w:lineRule="auto"/>
        <w:jc w:val="both"/>
        <w:rPr>
          <w:rFonts w:ascii="Times New Roman" w:hAnsi="Times New Roman"/>
          <w:b/>
          <w:bCs/>
        </w:rPr>
      </w:pPr>
      <w:r>
        <w:rPr>
          <w:rFonts w:ascii="Times New Roman" w:hAnsi="Times New Roman"/>
          <w:b/>
          <w:bCs/>
        </w:rPr>
        <w:t>Náklady budúcich období a príjmy budúcich období</w:t>
      </w:r>
    </w:p>
    <w:p w:rsidR="00485460" w:rsidRDefault="00485460" w:rsidP="00485460">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Náklady budúcich období a príjmy budúcich období sú vykázané vo výške, ktorá je potrebná na dodržanie zásady vecnej a časovej súvislosti s účtovným obdobím.</w:t>
      </w:r>
    </w:p>
    <w:p w:rsidR="00485460" w:rsidRDefault="00485460" w:rsidP="00485460">
      <w:pPr>
        <w:widowControl w:val="0"/>
        <w:numPr>
          <w:ilvl w:val="0"/>
          <w:numId w:val="2"/>
        </w:numPr>
        <w:autoSpaceDE w:val="0"/>
        <w:autoSpaceDN w:val="0"/>
        <w:adjustRightInd w:val="0"/>
        <w:spacing w:after="0" w:line="240" w:lineRule="auto"/>
        <w:jc w:val="both"/>
        <w:rPr>
          <w:rFonts w:ascii="Times New Roman" w:hAnsi="Times New Roman"/>
          <w:b/>
          <w:bCs/>
        </w:rPr>
      </w:pPr>
      <w:r>
        <w:rPr>
          <w:rFonts w:ascii="Times New Roman" w:hAnsi="Times New Roman"/>
          <w:b/>
          <w:bCs/>
        </w:rPr>
        <w:t>Rezervy</w:t>
      </w:r>
    </w:p>
    <w:p w:rsidR="00485460" w:rsidRDefault="00485460" w:rsidP="00485460">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Rezervy sú záväzky s neurčitým časovým vymedzením alebo výškou a oceňujú sa v očakávanej výške záväzku.</w:t>
      </w:r>
    </w:p>
    <w:p w:rsidR="00485460" w:rsidRDefault="00485460" w:rsidP="00485460">
      <w:pPr>
        <w:widowControl w:val="0"/>
        <w:numPr>
          <w:ilvl w:val="0"/>
          <w:numId w:val="2"/>
        </w:numPr>
        <w:autoSpaceDE w:val="0"/>
        <w:autoSpaceDN w:val="0"/>
        <w:adjustRightInd w:val="0"/>
        <w:spacing w:after="0" w:line="240" w:lineRule="auto"/>
        <w:jc w:val="both"/>
        <w:rPr>
          <w:rFonts w:ascii="Times New Roman" w:hAnsi="Times New Roman"/>
          <w:b/>
          <w:bCs/>
        </w:rPr>
      </w:pPr>
      <w:r>
        <w:rPr>
          <w:rFonts w:ascii="Times New Roman" w:hAnsi="Times New Roman"/>
          <w:b/>
          <w:bCs/>
        </w:rPr>
        <w:t>Záväzky</w:t>
      </w:r>
    </w:p>
    <w:p w:rsidR="00485460" w:rsidRDefault="00485460" w:rsidP="00485460">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Záväzky sa pri ich vzniku oceňujú menovitou hodnotou a pri ich prevzatí sa oceňujú obstarávacou cenou. Ak sa pri inventarizácii zistí, že suma záväzkov je iná ako ich výška v účtovníctve, uvedú sa záväzky v účtovníctve a v účtovnej závierke v tomto zistenom ocenení.</w:t>
      </w:r>
    </w:p>
    <w:p w:rsidR="00485460" w:rsidRDefault="00485460" w:rsidP="00485460">
      <w:pPr>
        <w:widowControl w:val="0"/>
        <w:numPr>
          <w:ilvl w:val="0"/>
          <w:numId w:val="2"/>
        </w:numPr>
        <w:autoSpaceDE w:val="0"/>
        <w:autoSpaceDN w:val="0"/>
        <w:adjustRightInd w:val="0"/>
        <w:spacing w:after="0" w:line="240" w:lineRule="auto"/>
        <w:jc w:val="both"/>
        <w:rPr>
          <w:rFonts w:ascii="Times New Roman" w:hAnsi="Times New Roman"/>
          <w:b/>
          <w:bCs/>
        </w:rPr>
      </w:pPr>
      <w:r>
        <w:rPr>
          <w:rFonts w:ascii="Times New Roman" w:hAnsi="Times New Roman"/>
          <w:b/>
          <w:bCs/>
        </w:rPr>
        <w:t>Výdavky budúcich období a výnosy budúcich období</w:t>
      </w:r>
    </w:p>
    <w:p w:rsidR="00485460" w:rsidRDefault="00485460" w:rsidP="00485460">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Výdavky budúcich období a výnosy budúcich období sú vykázané vo výške, ktorá je potrebná na dodržanie zásady vecnej a časovej súvislosti s účtovným obdobím.</w:t>
      </w:r>
    </w:p>
    <w:p w:rsidR="00485460" w:rsidRDefault="00485460" w:rsidP="00485460">
      <w:pPr>
        <w:widowControl w:val="0"/>
        <w:numPr>
          <w:ilvl w:val="0"/>
          <w:numId w:val="2"/>
        </w:numPr>
        <w:autoSpaceDE w:val="0"/>
        <w:autoSpaceDN w:val="0"/>
        <w:adjustRightInd w:val="0"/>
        <w:spacing w:after="0" w:line="240" w:lineRule="auto"/>
        <w:jc w:val="both"/>
        <w:rPr>
          <w:rFonts w:ascii="Times New Roman" w:hAnsi="Times New Roman"/>
          <w:b/>
          <w:bCs/>
        </w:rPr>
      </w:pPr>
      <w:r>
        <w:rPr>
          <w:rFonts w:ascii="Times New Roman" w:hAnsi="Times New Roman"/>
          <w:b/>
          <w:bCs/>
        </w:rPr>
        <w:t>Zásady pre vykazovanie transferov</w:t>
      </w:r>
    </w:p>
    <w:p w:rsidR="00485460" w:rsidRDefault="00485460" w:rsidP="00485460">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O nároku na dotácie zo štátneho rozpočtu sa účtuje, ak je takmer isté, že sa splnia všetky  podmienky súvisiace s dotáciou a súčasne, že sa dotácia poskytne.</w:t>
      </w:r>
    </w:p>
    <w:p w:rsidR="00485460" w:rsidRDefault="00485460" w:rsidP="00485460">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Bežný transfer od cudzích subjektov – sa zúčtuje do výnosov vo vecnej a časovej súvislosti s nákladmi.</w:t>
      </w:r>
    </w:p>
    <w:p w:rsidR="00485460" w:rsidRDefault="00485460" w:rsidP="00485460">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Bežný transfer od zriaďovateľa – sa zúčtuje do výnosov vo vecnej a časovej súvislosti s výdavkami.</w:t>
      </w:r>
    </w:p>
    <w:p w:rsidR="00485460" w:rsidRDefault="00485460" w:rsidP="00485460">
      <w:pPr>
        <w:widowControl w:val="0"/>
        <w:numPr>
          <w:ilvl w:val="0"/>
          <w:numId w:val="2"/>
        </w:numPr>
        <w:autoSpaceDE w:val="0"/>
        <w:autoSpaceDN w:val="0"/>
        <w:adjustRightInd w:val="0"/>
        <w:spacing w:after="0" w:line="240" w:lineRule="auto"/>
        <w:jc w:val="both"/>
        <w:rPr>
          <w:rFonts w:ascii="Times New Roman" w:hAnsi="Times New Roman"/>
          <w:b/>
          <w:bCs/>
        </w:rPr>
      </w:pPr>
      <w:r>
        <w:rPr>
          <w:rFonts w:ascii="Times New Roman" w:hAnsi="Times New Roman"/>
          <w:b/>
          <w:bCs/>
        </w:rPr>
        <w:t>Výnosy</w:t>
      </w:r>
    </w:p>
    <w:p w:rsidR="00485460" w:rsidRDefault="00485460" w:rsidP="00485460">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lastRenderedPageBreak/>
        <w:t>O výnosoch z poplatkov sa účtuje v časovej a vecnej súvislosti s vyrubením poplatkov.</w:t>
      </w:r>
    </w:p>
    <w:p w:rsidR="00485460" w:rsidRDefault="00485460" w:rsidP="00485460">
      <w:pPr>
        <w:widowControl w:val="0"/>
        <w:autoSpaceDE w:val="0"/>
        <w:autoSpaceDN w:val="0"/>
        <w:adjustRightInd w:val="0"/>
        <w:spacing w:after="0" w:line="240" w:lineRule="auto"/>
        <w:ind w:left="752"/>
        <w:jc w:val="both"/>
        <w:rPr>
          <w:rFonts w:ascii="Times New Roman" w:hAnsi="Times New Roman"/>
          <w:bCs/>
        </w:rPr>
      </w:pPr>
    </w:p>
    <w:p w:rsidR="00485460" w:rsidRDefault="00485460" w:rsidP="00485460">
      <w:pPr>
        <w:widowControl w:val="0"/>
        <w:autoSpaceDE w:val="0"/>
        <w:autoSpaceDN w:val="0"/>
        <w:adjustRightInd w:val="0"/>
        <w:spacing w:after="0" w:line="240" w:lineRule="auto"/>
        <w:ind w:left="720"/>
        <w:jc w:val="center"/>
        <w:rPr>
          <w:rFonts w:ascii="Times New Roman" w:hAnsi="Times New Roman"/>
          <w:b/>
          <w:bCs/>
          <w:sz w:val="24"/>
          <w:szCs w:val="24"/>
        </w:rPr>
      </w:pPr>
      <w:r>
        <w:rPr>
          <w:rFonts w:ascii="Times New Roman" w:hAnsi="Times New Roman"/>
          <w:b/>
          <w:bCs/>
          <w:sz w:val="24"/>
          <w:szCs w:val="24"/>
        </w:rPr>
        <w:t>Čl. II</w:t>
      </w:r>
    </w:p>
    <w:p w:rsidR="00485460" w:rsidRDefault="00485460" w:rsidP="00485460">
      <w:pPr>
        <w:widowControl w:val="0"/>
        <w:autoSpaceDE w:val="0"/>
        <w:autoSpaceDN w:val="0"/>
        <w:adjustRightInd w:val="0"/>
        <w:spacing w:after="0" w:line="240" w:lineRule="auto"/>
        <w:ind w:left="720"/>
        <w:jc w:val="center"/>
        <w:rPr>
          <w:rFonts w:ascii="Times New Roman" w:hAnsi="Times New Roman"/>
          <w:b/>
          <w:bCs/>
          <w:sz w:val="24"/>
          <w:szCs w:val="24"/>
        </w:rPr>
      </w:pPr>
      <w:r>
        <w:rPr>
          <w:rFonts w:ascii="Times New Roman" w:hAnsi="Times New Roman"/>
          <w:b/>
          <w:bCs/>
          <w:sz w:val="24"/>
          <w:szCs w:val="24"/>
        </w:rPr>
        <w:t>Informácie o metódach a postupoch konsolidácie</w:t>
      </w:r>
    </w:p>
    <w:p w:rsidR="00485460" w:rsidRDefault="00485460" w:rsidP="00485460">
      <w:pPr>
        <w:widowControl w:val="0"/>
        <w:autoSpaceDE w:val="0"/>
        <w:autoSpaceDN w:val="0"/>
        <w:adjustRightInd w:val="0"/>
        <w:spacing w:after="0" w:line="240" w:lineRule="auto"/>
        <w:ind w:left="1080"/>
        <w:rPr>
          <w:rFonts w:ascii="Times New Roman" w:hAnsi="Times New Roman"/>
          <w:sz w:val="24"/>
          <w:szCs w:val="24"/>
        </w:rPr>
      </w:pPr>
    </w:p>
    <w:p w:rsidR="00485460" w:rsidRDefault="00485460" w:rsidP="00485460">
      <w:pPr>
        <w:widowControl w:val="0"/>
        <w:numPr>
          <w:ilvl w:val="0"/>
          <w:numId w:val="3"/>
        </w:numPr>
        <w:autoSpaceDE w:val="0"/>
        <w:autoSpaceDN w:val="0"/>
        <w:adjustRightInd w:val="0"/>
        <w:spacing w:after="0" w:line="240" w:lineRule="auto"/>
        <w:rPr>
          <w:rFonts w:ascii="Times New Roman" w:hAnsi="Times New Roman"/>
          <w:sz w:val="24"/>
          <w:szCs w:val="24"/>
        </w:rPr>
      </w:pPr>
      <w:r>
        <w:rPr>
          <w:rFonts w:ascii="Times New Roman" w:hAnsi="Times New Roman"/>
          <w:b/>
          <w:bCs/>
          <w:sz w:val="24"/>
          <w:szCs w:val="24"/>
        </w:rPr>
        <w:t>Informácie o použitých metódach a postupoch konsolidácie</w:t>
      </w:r>
    </w:p>
    <w:p w:rsidR="00485460" w:rsidRDefault="00485460" w:rsidP="00485460">
      <w:pPr>
        <w:widowControl w:val="0"/>
        <w:autoSpaceDE w:val="0"/>
        <w:autoSpaceDN w:val="0"/>
        <w:adjustRightInd w:val="0"/>
        <w:spacing w:after="0" w:line="240" w:lineRule="auto"/>
        <w:ind w:left="1080"/>
        <w:jc w:val="both"/>
        <w:rPr>
          <w:rFonts w:ascii="Times New Roman" w:hAnsi="Times New Roman"/>
          <w:bCs/>
          <w:sz w:val="24"/>
          <w:szCs w:val="24"/>
        </w:rPr>
      </w:pPr>
      <w:r>
        <w:rPr>
          <w:rFonts w:ascii="Times New Roman" w:hAnsi="Times New Roman"/>
          <w:bCs/>
        </w:rPr>
        <w:t>Účtovná jednotka konsolidovaného celku obce Medzany bola zahrnutá do konsolidovanej účtovnej závierky metódou konsolidácie uvedenou v nasledujúcom prehľade</w:t>
      </w:r>
      <w:r>
        <w:rPr>
          <w:rFonts w:ascii="Times New Roman" w:hAnsi="Times New Roman"/>
          <w:bCs/>
          <w:sz w:val="24"/>
          <w:szCs w:val="24"/>
        </w:rPr>
        <w:t xml:space="preserve"> :</w:t>
      </w:r>
    </w:p>
    <w:p w:rsidR="00485460" w:rsidRDefault="00485460" w:rsidP="00485460">
      <w:pPr>
        <w:widowControl w:val="0"/>
        <w:autoSpaceDE w:val="0"/>
        <w:autoSpaceDN w:val="0"/>
        <w:adjustRightInd w:val="0"/>
        <w:spacing w:after="0" w:line="240" w:lineRule="auto"/>
        <w:ind w:left="1080"/>
        <w:jc w:val="both"/>
        <w:rPr>
          <w:rFonts w:ascii="Times New Roman" w:hAnsi="Times New Roman"/>
          <w:sz w:val="24"/>
          <w:szCs w:val="24"/>
        </w:rPr>
      </w:pPr>
    </w:p>
    <w:tbl>
      <w:tblPr>
        <w:tblStyle w:val="Mriekatabuky"/>
        <w:tblW w:w="0" w:type="auto"/>
        <w:tblInd w:w="1080" w:type="dxa"/>
        <w:tblLook w:val="04A0" w:firstRow="1" w:lastRow="0" w:firstColumn="1" w:lastColumn="0" w:noHBand="0" w:noVBand="1"/>
      </w:tblPr>
      <w:tblGrid>
        <w:gridCol w:w="1708"/>
        <w:gridCol w:w="1520"/>
        <w:gridCol w:w="1619"/>
        <w:gridCol w:w="1619"/>
        <w:gridCol w:w="1516"/>
      </w:tblGrid>
      <w:tr w:rsidR="00485460" w:rsidTr="00485460">
        <w:tc>
          <w:tcPr>
            <w:tcW w:w="1909" w:type="dxa"/>
            <w:tcBorders>
              <w:top w:val="single" w:sz="4" w:space="0" w:color="auto"/>
              <w:left w:val="single" w:sz="4" w:space="0" w:color="auto"/>
              <w:bottom w:val="single" w:sz="4" w:space="0" w:color="auto"/>
              <w:right w:val="nil"/>
            </w:tcBorders>
            <w:hideMark/>
          </w:tcPr>
          <w:p w:rsidR="00485460" w:rsidRDefault="00485460">
            <w:pPr>
              <w:widowControl w:val="0"/>
              <w:autoSpaceDE w:val="0"/>
              <w:autoSpaceDN w:val="0"/>
              <w:adjustRightInd w:val="0"/>
              <w:spacing w:after="0" w:line="240" w:lineRule="auto"/>
              <w:rPr>
                <w:rFonts w:ascii="Times New Roman" w:hAnsi="Times New Roman"/>
                <w:sz w:val="20"/>
                <w:szCs w:val="20"/>
              </w:rPr>
            </w:pPr>
            <w:r>
              <w:rPr>
                <w:rFonts w:ascii="Times New Roman" w:hAnsi="Times New Roman"/>
                <w:sz w:val="20"/>
                <w:szCs w:val="20"/>
              </w:rPr>
              <w:t>Názov,   resp. konsolidovanej</w:t>
            </w:r>
          </w:p>
        </w:tc>
        <w:tc>
          <w:tcPr>
            <w:tcW w:w="1909" w:type="dxa"/>
            <w:tcBorders>
              <w:top w:val="single" w:sz="4" w:space="0" w:color="auto"/>
              <w:left w:val="nil"/>
              <w:bottom w:val="single" w:sz="4" w:space="0" w:color="auto"/>
              <w:right w:val="single" w:sz="4" w:space="0" w:color="auto"/>
            </w:tcBorders>
            <w:hideMark/>
          </w:tcPr>
          <w:p w:rsidR="00485460" w:rsidRDefault="00485460">
            <w:pPr>
              <w:widowControl w:val="0"/>
              <w:autoSpaceDE w:val="0"/>
              <w:autoSpaceDN w:val="0"/>
              <w:adjustRightInd w:val="0"/>
              <w:spacing w:after="0" w:line="240" w:lineRule="auto"/>
              <w:rPr>
                <w:rFonts w:ascii="Times New Roman" w:hAnsi="Times New Roman"/>
                <w:sz w:val="20"/>
                <w:szCs w:val="20"/>
              </w:rPr>
            </w:pPr>
            <w:r>
              <w:rPr>
                <w:rFonts w:ascii="Times New Roman" w:hAnsi="Times New Roman"/>
                <w:sz w:val="20"/>
                <w:szCs w:val="20"/>
              </w:rPr>
              <w:t>obchodné meno</w:t>
            </w:r>
          </w:p>
          <w:p w:rsidR="00485460" w:rsidRDefault="00485460">
            <w:pPr>
              <w:widowControl w:val="0"/>
              <w:autoSpaceDE w:val="0"/>
              <w:autoSpaceDN w:val="0"/>
              <w:adjustRightInd w:val="0"/>
              <w:spacing w:after="0" w:line="240" w:lineRule="auto"/>
              <w:rPr>
                <w:rFonts w:ascii="Times New Roman" w:hAnsi="Times New Roman"/>
                <w:sz w:val="20"/>
                <w:szCs w:val="20"/>
              </w:rPr>
            </w:pPr>
            <w:r>
              <w:rPr>
                <w:rFonts w:ascii="Times New Roman" w:hAnsi="Times New Roman"/>
                <w:sz w:val="20"/>
                <w:szCs w:val="20"/>
              </w:rPr>
              <w:t>účtovnej jednotky</w:t>
            </w:r>
          </w:p>
        </w:tc>
        <w:tc>
          <w:tcPr>
            <w:tcW w:w="1909" w:type="dxa"/>
            <w:tcBorders>
              <w:top w:val="single" w:sz="4" w:space="0" w:color="auto"/>
              <w:left w:val="single" w:sz="4" w:space="0" w:color="auto"/>
              <w:bottom w:val="single" w:sz="4" w:space="0" w:color="auto"/>
              <w:right w:val="single" w:sz="4" w:space="0" w:color="auto"/>
            </w:tcBorders>
            <w:hideMark/>
          </w:tcPr>
          <w:p w:rsidR="00485460" w:rsidRDefault="00485460">
            <w:pPr>
              <w:widowControl w:val="0"/>
              <w:autoSpaceDE w:val="0"/>
              <w:autoSpaceDN w:val="0"/>
              <w:adjustRightInd w:val="0"/>
              <w:spacing w:after="0" w:line="240" w:lineRule="auto"/>
              <w:rPr>
                <w:rFonts w:ascii="Times New Roman" w:hAnsi="Times New Roman"/>
                <w:sz w:val="20"/>
                <w:szCs w:val="20"/>
              </w:rPr>
            </w:pPr>
            <w:r>
              <w:rPr>
                <w:rFonts w:ascii="Times New Roman" w:hAnsi="Times New Roman"/>
                <w:sz w:val="20"/>
                <w:szCs w:val="20"/>
              </w:rPr>
              <w:t>Metóda úplnej konsolidácie</w:t>
            </w:r>
          </w:p>
        </w:tc>
        <w:tc>
          <w:tcPr>
            <w:tcW w:w="1909" w:type="dxa"/>
            <w:tcBorders>
              <w:top w:val="single" w:sz="4" w:space="0" w:color="auto"/>
              <w:left w:val="single" w:sz="4" w:space="0" w:color="auto"/>
              <w:bottom w:val="single" w:sz="4" w:space="0" w:color="auto"/>
              <w:right w:val="single" w:sz="4" w:space="0" w:color="auto"/>
            </w:tcBorders>
            <w:hideMark/>
          </w:tcPr>
          <w:p w:rsidR="00485460" w:rsidRDefault="00485460">
            <w:pPr>
              <w:widowControl w:val="0"/>
              <w:autoSpaceDE w:val="0"/>
              <w:autoSpaceDN w:val="0"/>
              <w:adjustRightInd w:val="0"/>
              <w:spacing w:after="0" w:line="240" w:lineRule="auto"/>
              <w:rPr>
                <w:rFonts w:ascii="Times New Roman" w:hAnsi="Times New Roman"/>
                <w:sz w:val="20"/>
                <w:szCs w:val="20"/>
              </w:rPr>
            </w:pPr>
            <w:r>
              <w:rPr>
                <w:rFonts w:ascii="Times New Roman" w:hAnsi="Times New Roman"/>
                <w:sz w:val="20"/>
                <w:szCs w:val="20"/>
              </w:rPr>
              <w:t>Metóda podielovej</w:t>
            </w:r>
          </w:p>
          <w:p w:rsidR="00485460" w:rsidRDefault="00485460">
            <w:pPr>
              <w:widowControl w:val="0"/>
              <w:autoSpaceDE w:val="0"/>
              <w:autoSpaceDN w:val="0"/>
              <w:adjustRightInd w:val="0"/>
              <w:spacing w:after="0" w:line="240" w:lineRule="auto"/>
              <w:rPr>
                <w:rFonts w:ascii="Times New Roman" w:hAnsi="Times New Roman"/>
                <w:sz w:val="20"/>
                <w:szCs w:val="20"/>
              </w:rPr>
            </w:pPr>
            <w:r>
              <w:rPr>
                <w:rFonts w:ascii="Times New Roman" w:hAnsi="Times New Roman"/>
                <w:sz w:val="20"/>
                <w:szCs w:val="20"/>
              </w:rPr>
              <w:t>konsolidácie</w:t>
            </w:r>
          </w:p>
        </w:tc>
        <w:tc>
          <w:tcPr>
            <w:tcW w:w="1910" w:type="dxa"/>
            <w:tcBorders>
              <w:top w:val="single" w:sz="4" w:space="0" w:color="auto"/>
              <w:left w:val="single" w:sz="4" w:space="0" w:color="auto"/>
              <w:bottom w:val="single" w:sz="4" w:space="0" w:color="auto"/>
              <w:right w:val="single" w:sz="4" w:space="0" w:color="auto"/>
            </w:tcBorders>
            <w:hideMark/>
          </w:tcPr>
          <w:p w:rsidR="00485460" w:rsidRDefault="00485460">
            <w:pPr>
              <w:widowControl w:val="0"/>
              <w:autoSpaceDE w:val="0"/>
              <w:autoSpaceDN w:val="0"/>
              <w:adjustRightInd w:val="0"/>
              <w:spacing w:after="0" w:line="240" w:lineRule="auto"/>
              <w:rPr>
                <w:rFonts w:ascii="Times New Roman" w:hAnsi="Times New Roman"/>
                <w:sz w:val="20"/>
                <w:szCs w:val="20"/>
              </w:rPr>
            </w:pPr>
            <w:r>
              <w:rPr>
                <w:rFonts w:ascii="Times New Roman" w:hAnsi="Times New Roman"/>
                <w:sz w:val="20"/>
                <w:szCs w:val="20"/>
              </w:rPr>
              <w:t>Metóda vlastného</w:t>
            </w:r>
          </w:p>
          <w:p w:rsidR="00485460" w:rsidRDefault="00485460">
            <w:pPr>
              <w:widowControl w:val="0"/>
              <w:autoSpaceDE w:val="0"/>
              <w:autoSpaceDN w:val="0"/>
              <w:adjustRightInd w:val="0"/>
              <w:spacing w:after="0" w:line="240" w:lineRule="auto"/>
              <w:rPr>
                <w:rFonts w:ascii="Times New Roman" w:hAnsi="Times New Roman"/>
                <w:sz w:val="20"/>
                <w:szCs w:val="20"/>
              </w:rPr>
            </w:pPr>
            <w:r>
              <w:rPr>
                <w:rFonts w:ascii="Times New Roman" w:hAnsi="Times New Roman"/>
                <w:sz w:val="20"/>
                <w:szCs w:val="20"/>
              </w:rPr>
              <w:t>imania</w:t>
            </w:r>
          </w:p>
        </w:tc>
      </w:tr>
      <w:tr w:rsidR="00485460" w:rsidTr="00485460">
        <w:tc>
          <w:tcPr>
            <w:tcW w:w="1909" w:type="dxa"/>
            <w:tcBorders>
              <w:top w:val="single" w:sz="4" w:space="0" w:color="auto"/>
              <w:left w:val="single" w:sz="4" w:space="0" w:color="auto"/>
              <w:bottom w:val="single" w:sz="4" w:space="0" w:color="auto"/>
              <w:right w:val="nil"/>
            </w:tcBorders>
            <w:hideMark/>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 xml:space="preserve"> Základná škola</w:t>
            </w:r>
          </w:p>
        </w:tc>
        <w:tc>
          <w:tcPr>
            <w:tcW w:w="1909" w:type="dxa"/>
            <w:tcBorders>
              <w:top w:val="single" w:sz="4" w:space="0" w:color="auto"/>
              <w:left w:val="nil"/>
              <w:bottom w:val="single" w:sz="4" w:space="0" w:color="auto"/>
              <w:right w:val="single" w:sz="4" w:space="0" w:color="auto"/>
            </w:tcBorders>
            <w:hideMark/>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 xml:space="preserve"> </w:t>
            </w:r>
          </w:p>
        </w:tc>
        <w:tc>
          <w:tcPr>
            <w:tcW w:w="1909" w:type="dxa"/>
            <w:tcBorders>
              <w:top w:val="single" w:sz="4" w:space="0" w:color="auto"/>
              <w:left w:val="single" w:sz="4" w:space="0" w:color="auto"/>
              <w:bottom w:val="single" w:sz="4" w:space="0" w:color="auto"/>
              <w:right w:val="single" w:sz="4" w:space="0" w:color="auto"/>
            </w:tcBorders>
            <w:hideMark/>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áno</w:t>
            </w:r>
          </w:p>
        </w:tc>
        <w:tc>
          <w:tcPr>
            <w:tcW w:w="1909" w:type="dxa"/>
            <w:tcBorders>
              <w:top w:val="single" w:sz="4" w:space="0" w:color="auto"/>
              <w:left w:val="single" w:sz="4" w:space="0" w:color="auto"/>
              <w:bottom w:val="single" w:sz="4" w:space="0" w:color="auto"/>
              <w:right w:val="single" w:sz="4" w:space="0" w:color="auto"/>
            </w:tcBorders>
            <w:hideMark/>
          </w:tcPr>
          <w:p w:rsidR="00485460" w:rsidRDefault="00485460">
            <w:pPr>
              <w:widowControl w:val="0"/>
              <w:autoSpaceDE w:val="0"/>
              <w:autoSpaceDN w:val="0"/>
              <w:adjustRightInd w:val="0"/>
              <w:spacing w:after="0" w:line="240" w:lineRule="auto"/>
              <w:jc w:val="center"/>
              <w:rPr>
                <w:rFonts w:ascii="Times New Roman" w:hAnsi="Times New Roman"/>
                <w:sz w:val="24"/>
                <w:szCs w:val="24"/>
              </w:rPr>
            </w:pPr>
            <w:r>
              <w:rPr>
                <w:rFonts w:ascii="Times New Roman" w:hAnsi="Times New Roman"/>
                <w:sz w:val="24"/>
                <w:szCs w:val="24"/>
              </w:rPr>
              <w:t>–</w:t>
            </w:r>
          </w:p>
        </w:tc>
        <w:tc>
          <w:tcPr>
            <w:tcW w:w="1910" w:type="dxa"/>
            <w:tcBorders>
              <w:top w:val="single" w:sz="4" w:space="0" w:color="auto"/>
              <w:left w:val="single" w:sz="4" w:space="0" w:color="auto"/>
              <w:bottom w:val="single" w:sz="4" w:space="0" w:color="auto"/>
              <w:right w:val="single" w:sz="4" w:space="0" w:color="auto"/>
            </w:tcBorders>
            <w:hideMark/>
          </w:tcPr>
          <w:p w:rsidR="00485460" w:rsidRDefault="00485460">
            <w:pPr>
              <w:widowControl w:val="0"/>
              <w:autoSpaceDE w:val="0"/>
              <w:autoSpaceDN w:val="0"/>
              <w:adjustRightInd w:val="0"/>
              <w:spacing w:after="0" w:line="240" w:lineRule="auto"/>
              <w:jc w:val="center"/>
              <w:rPr>
                <w:rFonts w:ascii="Times New Roman" w:hAnsi="Times New Roman"/>
                <w:sz w:val="24"/>
                <w:szCs w:val="24"/>
              </w:rPr>
            </w:pPr>
            <w:r>
              <w:rPr>
                <w:rFonts w:ascii="Times New Roman" w:hAnsi="Times New Roman"/>
                <w:sz w:val="24"/>
                <w:szCs w:val="24"/>
              </w:rPr>
              <w:t>–</w:t>
            </w:r>
          </w:p>
        </w:tc>
      </w:tr>
    </w:tbl>
    <w:p w:rsidR="00485460" w:rsidRDefault="00485460" w:rsidP="00485460">
      <w:pPr>
        <w:widowControl w:val="0"/>
        <w:autoSpaceDE w:val="0"/>
        <w:autoSpaceDN w:val="0"/>
        <w:adjustRightInd w:val="0"/>
        <w:spacing w:after="0" w:line="240" w:lineRule="auto"/>
        <w:ind w:left="1080"/>
        <w:rPr>
          <w:rFonts w:ascii="Times New Roman" w:hAnsi="Times New Roman"/>
          <w:sz w:val="24"/>
          <w:szCs w:val="24"/>
        </w:rPr>
      </w:pPr>
    </w:p>
    <w:p w:rsidR="00485460" w:rsidRDefault="00485460" w:rsidP="00485460">
      <w:pPr>
        <w:widowControl w:val="0"/>
        <w:autoSpaceDE w:val="0"/>
        <w:autoSpaceDN w:val="0"/>
        <w:adjustRightInd w:val="0"/>
        <w:spacing w:after="0" w:line="240" w:lineRule="auto"/>
        <w:ind w:left="1080"/>
        <w:rPr>
          <w:rFonts w:ascii="Times New Roman" w:hAnsi="Times New Roman"/>
        </w:rPr>
      </w:pPr>
      <w:r>
        <w:rPr>
          <w:rFonts w:ascii="Times New Roman" w:hAnsi="Times New Roman"/>
        </w:rPr>
        <w:t>Metóda úplnej konsolidácie bola použitá pri zriadenej dcérskej účtovnej jednotke.</w:t>
      </w:r>
    </w:p>
    <w:p w:rsidR="00485460" w:rsidRDefault="00485460" w:rsidP="00485460">
      <w:pPr>
        <w:widowControl w:val="0"/>
        <w:autoSpaceDE w:val="0"/>
        <w:autoSpaceDN w:val="0"/>
        <w:adjustRightInd w:val="0"/>
        <w:spacing w:after="0" w:line="240" w:lineRule="auto"/>
        <w:ind w:left="1080"/>
        <w:rPr>
          <w:rFonts w:ascii="Times New Roman" w:hAnsi="Times New Roman"/>
        </w:rPr>
      </w:pPr>
    </w:p>
    <w:p w:rsidR="00485460" w:rsidRDefault="00485460" w:rsidP="00485460">
      <w:pPr>
        <w:widowControl w:val="0"/>
        <w:autoSpaceDE w:val="0"/>
        <w:autoSpaceDN w:val="0"/>
        <w:adjustRightInd w:val="0"/>
        <w:spacing w:after="0" w:line="240" w:lineRule="auto"/>
        <w:ind w:left="1080"/>
        <w:rPr>
          <w:rFonts w:ascii="Times New Roman" w:hAnsi="Times New Roman"/>
          <w:b/>
          <w:i/>
          <w:sz w:val="24"/>
          <w:szCs w:val="24"/>
        </w:rPr>
      </w:pPr>
      <w:r>
        <w:rPr>
          <w:rFonts w:ascii="Times New Roman" w:hAnsi="Times New Roman"/>
          <w:b/>
          <w:i/>
          <w:sz w:val="24"/>
          <w:szCs w:val="24"/>
        </w:rPr>
        <w:t>Moment prvej konsolidácie kapitálu :</w:t>
      </w:r>
    </w:p>
    <w:p w:rsidR="00485460" w:rsidRDefault="00485460" w:rsidP="00485460">
      <w:pPr>
        <w:widowControl w:val="0"/>
        <w:autoSpaceDE w:val="0"/>
        <w:autoSpaceDN w:val="0"/>
        <w:adjustRightInd w:val="0"/>
        <w:spacing w:after="0" w:line="240" w:lineRule="auto"/>
        <w:ind w:left="1080"/>
        <w:rPr>
          <w:rFonts w:ascii="Times New Roman" w:hAnsi="Times New Roman"/>
          <w:b/>
          <w:i/>
          <w:sz w:val="24"/>
          <w:szCs w:val="24"/>
        </w:rPr>
      </w:pPr>
    </w:p>
    <w:p w:rsidR="00485460" w:rsidRDefault="00485460" w:rsidP="00485460">
      <w:pPr>
        <w:widowControl w:val="0"/>
        <w:autoSpaceDE w:val="0"/>
        <w:autoSpaceDN w:val="0"/>
        <w:adjustRightInd w:val="0"/>
        <w:spacing w:after="0" w:line="240" w:lineRule="auto"/>
        <w:ind w:left="1080"/>
        <w:rPr>
          <w:rFonts w:ascii="Times New Roman" w:hAnsi="Times New Roman"/>
          <w:b/>
          <w:i/>
        </w:rPr>
      </w:pPr>
      <w:r>
        <w:rPr>
          <w:rFonts w:ascii="Times New Roman" w:hAnsi="Times New Roman"/>
        </w:rPr>
        <w:t xml:space="preserve">Pri rozpočtových organizáciách je to deň ich zriadenia  -  </w:t>
      </w:r>
      <w:r>
        <w:rPr>
          <w:rFonts w:ascii="Times New Roman" w:hAnsi="Times New Roman"/>
          <w:b/>
        </w:rPr>
        <w:t>1.9.2014</w:t>
      </w:r>
      <w:r>
        <w:rPr>
          <w:rFonts w:ascii="Times New Roman" w:hAnsi="Times New Roman"/>
          <w:b/>
          <w:i/>
        </w:rPr>
        <w:t>.</w:t>
      </w:r>
    </w:p>
    <w:p w:rsidR="00485460" w:rsidRDefault="00485460" w:rsidP="00485460">
      <w:pPr>
        <w:widowControl w:val="0"/>
        <w:autoSpaceDE w:val="0"/>
        <w:autoSpaceDN w:val="0"/>
        <w:adjustRightInd w:val="0"/>
        <w:spacing w:after="0" w:line="240" w:lineRule="auto"/>
        <w:ind w:left="1080"/>
        <w:rPr>
          <w:rFonts w:ascii="Times New Roman" w:hAnsi="Times New Roman"/>
          <w:b/>
          <w:i/>
          <w:sz w:val="24"/>
          <w:szCs w:val="24"/>
        </w:rPr>
      </w:pPr>
    </w:p>
    <w:p w:rsidR="00485460" w:rsidRDefault="00485460" w:rsidP="00485460">
      <w:pPr>
        <w:widowControl w:val="0"/>
        <w:numPr>
          <w:ilvl w:val="0"/>
          <w:numId w:val="3"/>
        </w:numPr>
        <w:autoSpaceDE w:val="0"/>
        <w:autoSpaceDN w:val="0"/>
        <w:adjustRightInd w:val="0"/>
        <w:spacing w:after="0" w:line="240" w:lineRule="auto"/>
        <w:rPr>
          <w:rFonts w:ascii="Times New Roman" w:hAnsi="Times New Roman"/>
          <w:b/>
          <w:i/>
          <w:sz w:val="24"/>
          <w:szCs w:val="24"/>
        </w:rPr>
      </w:pPr>
      <w:proofErr w:type="spellStart"/>
      <w:r>
        <w:rPr>
          <w:rFonts w:ascii="Times New Roman" w:hAnsi="Times New Roman"/>
          <w:b/>
          <w:i/>
          <w:sz w:val="24"/>
          <w:szCs w:val="24"/>
        </w:rPr>
        <w:t>Goodwill</w:t>
      </w:r>
      <w:proofErr w:type="spellEnd"/>
      <w:r>
        <w:rPr>
          <w:rFonts w:ascii="Times New Roman" w:hAnsi="Times New Roman"/>
          <w:b/>
          <w:i/>
          <w:sz w:val="24"/>
          <w:szCs w:val="24"/>
        </w:rPr>
        <w:t xml:space="preserve"> / záporný </w:t>
      </w:r>
      <w:proofErr w:type="spellStart"/>
      <w:r>
        <w:rPr>
          <w:rFonts w:ascii="Times New Roman" w:hAnsi="Times New Roman"/>
          <w:b/>
          <w:i/>
          <w:sz w:val="24"/>
          <w:szCs w:val="24"/>
        </w:rPr>
        <w:t>goodwill</w:t>
      </w:r>
      <w:proofErr w:type="spellEnd"/>
    </w:p>
    <w:p w:rsidR="00485460" w:rsidRDefault="00485460" w:rsidP="00485460">
      <w:pPr>
        <w:widowControl w:val="0"/>
        <w:autoSpaceDE w:val="0"/>
        <w:autoSpaceDN w:val="0"/>
        <w:adjustRightInd w:val="0"/>
        <w:spacing w:after="0" w:line="240" w:lineRule="auto"/>
        <w:ind w:left="1080"/>
        <w:rPr>
          <w:rFonts w:ascii="Times New Roman" w:hAnsi="Times New Roman"/>
          <w:b/>
          <w:i/>
          <w:sz w:val="24"/>
          <w:szCs w:val="24"/>
        </w:rPr>
      </w:pPr>
      <w:proofErr w:type="spellStart"/>
      <w:r>
        <w:rPr>
          <w:rFonts w:ascii="Times New Roman" w:hAnsi="Times New Roman"/>
        </w:rPr>
        <w:t>Goodwill</w:t>
      </w:r>
      <w:proofErr w:type="spellEnd"/>
      <w:r>
        <w:rPr>
          <w:rFonts w:ascii="Times New Roman" w:hAnsi="Times New Roman"/>
        </w:rPr>
        <w:t xml:space="preserve"> v konsolidovanej účtovnej jednotke nevznikol</w:t>
      </w:r>
      <w:r>
        <w:rPr>
          <w:rFonts w:ascii="Times New Roman" w:hAnsi="Times New Roman"/>
          <w:b/>
          <w:i/>
          <w:sz w:val="24"/>
          <w:szCs w:val="24"/>
        </w:rPr>
        <w:t>.</w:t>
      </w:r>
    </w:p>
    <w:p w:rsidR="00485460" w:rsidRDefault="00485460" w:rsidP="00485460">
      <w:pPr>
        <w:widowControl w:val="0"/>
        <w:numPr>
          <w:ilvl w:val="0"/>
          <w:numId w:val="3"/>
        </w:numPr>
        <w:autoSpaceDE w:val="0"/>
        <w:autoSpaceDN w:val="0"/>
        <w:adjustRightInd w:val="0"/>
        <w:spacing w:after="0" w:line="240" w:lineRule="auto"/>
        <w:rPr>
          <w:rFonts w:ascii="Times New Roman" w:hAnsi="Times New Roman"/>
          <w:b/>
          <w:i/>
          <w:sz w:val="24"/>
          <w:szCs w:val="24"/>
        </w:rPr>
      </w:pPr>
      <w:r>
        <w:rPr>
          <w:rFonts w:ascii="Times New Roman" w:hAnsi="Times New Roman"/>
          <w:b/>
          <w:i/>
          <w:sz w:val="24"/>
          <w:szCs w:val="24"/>
        </w:rPr>
        <w:t>Konsolidácia medzivýsledku</w:t>
      </w:r>
    </w:p>
    <w:p w:rsidR="00485460" w:rsidRDefault="00485460" w:rsidP="00485460">
      <w:pPr>
        <w:widowControl w:val="0"/>
        <w:autoSpaceDE w:val="0"/>
        <w:autoSpaceDN w:val="0"/>
        <w:adjustRightInd w:val="0"/>
        <w:spacing w:after="0" w:line="240" w:lineRule="auto"/>
        <w:ind w:left="1080"/>
        <w:rPr>
          <w:rFonts w:ascii="Times New Roman" w:hAnsi="Times New Roman"/>
          <w:b/>
          <w:i/>
          <w:sz w:val="24"/>
          <w:szCs w:val="24"/>
        </w:rPr>
      </w:pPr>
      <w:r>
        <w:rPr>
          <w:rFonts w:ascii="Times New Roman" w:hAnsi="Times New Roman"/>
          <w:sz w:val="24"/>
          <w:szCs w:val="24"/>
        </w:rPr>
        <w:t>Konsolidácia medzivýsledku na úrovni obce nebola vykonaná, nakoľko nebol realizovaný žiadny predaj majetku a zásob medzi účtovnými jednotkami konsolidovaného celku</w:t>
      </w:r>
      <w:r>
        <w:rPr>
          <w:rFonts w:ascii="Times New Roman" w:hAnsi="Times New Roman"/>
          <w:b/>
          <w:i/>
          <w:sz w:val="24"/>
          <w:szCs w:val="24"/>
        </w:rPr>
        <w:t>.</w:t>
      </w:r>
    </w:p>
    <w:p w:rsidR="00485460" w:rsidRDefault="00485460" w:rsidP="00485460">
      <w:pPr>
        <w:widowControl w:val="0"/>
        <w:autoSpaceDE w:val="0"/>
        <w:autoSpaceDN w:val="0"/>
        <w:adjustRightInd w:val="0"/>
        <w:spacing w:after="0" w:line="240" w:lineRule="auto"/>
        <w:ind w:left="1080"/>
        <w:jc w:val="center"/>
        <w:rPr>
          <w:rFonts w:ascii="Times New Roman" w:hAnsi="Times New Roman"/>
          <w:b/>
          <w:sz w:val="24"/>
          <w:szCs w:val="24"/>
        </w:rPr>
      </w:pPr>
      <w:proofErr w:type="spellStart"/>
      <w:r>
        <w:rPr>
          <w:rFonts w:ascii="Times New Roman" w:hAnsi="Times New Roman"/>
          <w:b/>
          <w:sz w:val="24"/>
          <w:szCs w:val="24"/>
        </w:rPr>
        <w:t>Čl.III</w:t>
      </w:r>
      <w:proofErr w:type="spellEnd"/>
    </w:p>
    <w:p w:rsidR="00485460" w:rsidRDefault="00485460" w:rsidP="00485460">
      <w:pPr>
        <w:widowControl w:val="0"/>
        <w:autoSpaceDE w:val="0"/>
        <w:autoSpaceDN w:val="0"/>
        <w:adjustRightInd w:val="0"/>
        <w:spacing w:after="0" w:line="240" w:lineRule="auto"/>
        <w:ind w:left="1080"/>
        <w:jc w:val="center"/>
        <w:rPr>
          <w:rFonts w:ascii="Times New Roman" w:hAnsi="Times New Roman"/>
          <w:b/>
          <w:sz w:val="24"/>
          <w:szCs w:val="24"/>
        </w:rPr>
      </w:pPr>
      <w:r>
        <w:rPr>
          <w:rFonts w:ascii="Times New Roman" w:hAnsi="Times New Roman"/>
          <w:b/>
          <w:sz w:val="24"/>
          <w:szCs w:val="24"/>
        </w:rPr>
        <w:t>Informácia o údajoch aktív a pasív</w:t>
      </w:r>
    </w:p>
    <w:p w:rsidR="00485460" w:rsidRDefault="00485460" w:rsidP="00485460">
      <w:pPr>
        <w:widowControl w:val="0"/>
        <w:autoSpaceDE w:val="0"/>
        <w:autoSpaceDN w:val="0"/>
        <w:adjustRightInd w:val="0"/>
        <w:spacing w:after="0" w:line="240" w:lineRule="auto"/>
        <w:ind w:left="1080"/>
        <w:jc w:val="center"/>
        <w:rPr>
          <w:rFonts w:ascii="Times New Roman" w:hAnsi="Times New Roman"/>
          <w:b/>
        </w:rPr>
      </w:pPr>
    </w:p>
    <w:p w:rsidR="00485460" w:rsidRDefault="00485460" w:rsidP="00485460">
      <w:pPr>
        <w:widowControl w:val="0"/>
        <w:autoSpaceDE w:val="0"/>
        <w:autoSpaceDN w:val="0"/>
        <w:adjustRightInd w:val="0"/>
        <w:spacing w:after="0" w:line="240" w:lineRule="auto"/>
        <w:ind w:left="1080"/>
        <w:rPr>
          <w:rFonts w:ascii="Times New Roman" w:hAnsi="Times New Roman"/>
        </w:rPr>
      </w:pPr>
      <w:r>
        <w:rPr>
          <w:rFonts w:ascii="Times New Roman" w:hAnsi="Times New Roman"/>
        </w:rPr>
        <w:t>Obsahuje informácie za bežné účtovné obdobie, pričom bežné účtovné obdobie sa vykazuje k 31.12.201</w:t>
      </w:r>
      <w:r w:rsidR="00393580">
        <w:rPr>
          <w:rFonts w:ascii="Times New Roman" w:hAnsi="Times New Roman"/>
        </w:rPr>
        <w:t>6</w:t>
      </w:r>
      <w:r>
        <w:rPr>
          <w:rFonts w:ascii="Times New Roman" w:hAnsi="Times New Roman"/>
        </w:rPr>
        <w:t>,</w:t>
      </w:r>
    </w:p>
    <w:p w:rsidR="00485460" w:rsidRDefault="00485460" w:rsidP="00485460">
      <w:pPr>
        <w:widowControl w:val="0"/>
        <w:autoSpaceDE w:val="0"/>
        <w:autoSpaceDN w:val="0"/>
        <w:adjustRightInd w:val="0"/>
        <w:spacing w:after="0" w:line="240" w:lineRule="auto"/>
        <w:ind w:left="1080"/>
        <w:rPr>
          <w:rFonts w:ascii="Times New Roman" w:hAnsi="Times New Roman"/>
        </w:rPr>
      </w:pPr>
    </w:p>
    <w:p w:rsidR="00485460" w:rsidRDefault="00485460" w:rsidP="00485460">
      <w:pPr>
        <w:widowControl w:val="0"/>
        <w:autoSpaceDE w:val="0"/>
        <w:autoSpaceDN w:val="0"/>
        <w:adjustRightInd w:val="0"/>
        <w:spacing w:after="0" w:line="240" w:lineRule="auto"/>
        <w:ind w:left="1080"/>
        <w:rPr>
          <w:rFonts w:ascii="Times New Roman" w:hAnsi="Times New Roman"/>
          <w:i/>
        </w:rPr>
      </w:pPr>
      <w:r>
        <w:rPr>
          <w:rFonts w:ascii="Times New Roman" w:hAnsi="Times New Roman"/>
          <w:i/>
        </w:rPr>
        <w:t xml:space="preserve">( v zmysle Opatrenia MF SR zo dňa 17. Decembra 2008 </w:t>
      </w:r>
      <w:proofErr w:type="spellStart"/>
      <w:r>
        <w:rPr>
          <w:rFonts w:ascii="Times New Roman" w:hAnsi="Times New Roman"/>
          <w:i/>
        </w:rPr>
        <w:t>č.MF</w:t>
      </w:r>
      <w:proofErr w:type="spellEnd"/>
      <w:r>
        <w:rPr>
          <w:rFonts w:ascii="Times New Roman" w:hAnsi="Times New Roman"/>
          <w:i/>
        </w:rPr>
        <w:t>/27526/2008-31 , §9 ods.7 v konsolidovanej súvahe, konsolidovanom výkaze ziskov a strát a poznámkach sa údaje za bezprostredne predchádzajúce účtovné obdobie nevykazujú, ak konsolidujúca účtovná jednotka zostavuje konsolidovanú účtovnú závierku po prvýkrát. To platí pre konsolidovanú účtovnú závierku účtovnej jednotky verejnej správy, aj pre konsolidovanú účtovnú závierku ústrednej správy).</w:t>
      </w:r>
    </w:p>
    <w:p w:rsidR="00485460" w:rsidRDefault="00485460" w:rsidP="00485460">
      <w:pPr>
        <w:widowControl w:val="0"/>
        <w:autoSpaceDE w:val="0"/>
        <w:autoSpaceDN w:val="0"/>
        <w:adjustRightInd w:val="0"/>
        <w:spacing w:after="0" w:line="240" w:lineRule="auto"/>
        <w:ind w:left="1080"/>
        <w:rPr>
          <w:rFonts w:ascii="Times New Roman" w:hAnsi="Times New Roman"/>
          <w:i/>
        </w:rPr>
      </w:pPr>
    </w:p>
    <w:p w:rsidR="00485460" w:rsidRDefault="00485460" w:rsidP="00485460">
      <w:pPr>
        <w:widowControl w:val="0"/>
        <w:numPr>
          <w:ilvl w:val="0"/>
          <w:numId w:val="4"/>
        </w:numPr>
        <w:autoSpaceDE w:val="0"/>
        <w:autoSpaceDN w:val="0"/>
        <w:adjustRightInd w:val="0"/>
        <w:spacing w:after="0" w:line="240" w:lineRule="auto"/>
        <w:jc w:val="both"/>
        <w:rPr>
          <w:rFonts w:ascii="Times New Roman" w:hAnsi="Times New Roman"/>
          <w:b/>
          <w:i/>
        </w:rPr>
      </w:pPr>
      <w:r>
        <w:rPr>
          <w:rFonts w:ascii="Times New Roman" w:hAnsi="Times New Roman"/>
          <w:b/>
          <w:i/>
        </w:rPr>
        <w:t>Konsolidovaný celok verejnej správy</w:t>
      </w:r>
    </w:p>
    <w:p w:rsidR="00485460" w:rsidRDefault="00485460" w:rsidP="00485460">
      <w:pPr>
        <w:widowControl w:val="0"/>
        <w:autoSpaceDE w:val="0"/>
        <w:autoSpaceDN w:val="0"/>
        <w:adjustRightInd w:val="0"/>
        <w:spacing w:after="0" w:line="240" w:lineRule="auto"/>
        <w:ind w:left="1800"/>
        <w:jc w:val="both"/>
        <w:rPr>
          <w:rFonts w:ascii="Times New Roman" w:hAnsi="Times New Roman"/>
          <w:i/>
        </w:rPr>
      </w:pPr>
    </w:p>
    <w:p w:rsidR="00485460" w:rsidRDefault="00485460" w:rsidP="00485460">
      <w:pPr>
        <w:widowControl w:val="0"/>
        <w:autoSpaceDE w:val="0"/>
        <w:autoSpaceDN w:val="0"/>
        <w:adjustRightInd w:val="0"/>
        <w:spacing w:after="0" w:line="240" w:lineRule="auto"/>
        <w:ind w:left="1800"/>
        <w:rPr>
          <w:rFonts w:ascii="Times New Roman" w:hAnsi="Times New Roman"/>
        </w:rPr>
      </w:pPr>
      <w:r>
        <w:rPr>
          <w:rFonts w:ascii="Times New Roman" w:hAnsi="Times New Roman"/>
        </w:rPr>
        <w:t>Konsolidovaný celok obce Medzany zahŕňa jednu rozpočtovú organizáciu. Jej identifikačné údaje sú nasledovné :</w:t>
      </w:r>
    </w:p>
    <w:p w:rsidR="00485460" w:rsidRDefault="00485460" w:rsidP="00485460">
      <w:pPr>
        <w:widowControl w:val="0"/>
        <w:autoSpaceDE w:val="0"/>
        <w:autoSpaceDN w:val="0"/>
        <w:adjustRightInd w:val="0"/>
        <w:spacing w:after="0" w:line="240" w:lineRule="auto"/>
        <w:ind w:left="1800"/>
        <w:jc w:val="both"/>
        <w:rPr>
          <w:rFonts w:ascii="Times New Roman" w:hAnsi="Times New Roman"/>
        </w:rPr>
      </w:pPr>
      <w:r>
        <w:rPr>
          <w:rFonts w:ascii="Times New Roman" w:hAnsi="Times New Roman"/>
        </w:rPr>
        <w:t>Základná škola Medzany</w:t>
      </w:r>
    </w:p>
    <w:p w:rsidR="00485460" w:rsidRDefault="00485460" w:rsidP="00485460">
      <w:pPr>
        <w:widowControl w:val="0"/>
        <w:autoSpaceDE w:val="0"/>
        <w:autoSpaceDN w:val="0"/>
        <w:adjustRightInd w:val="0"/>
        <w:spacing w:after="0" w:line="240" w:lineRule="auto"/>
        <w:ind w:left="1800"/>
        <w:jc w:val="both"/>
        <w:rPr>
          <w:rFonts w:ascii="Times New Roman" w:hAnsi="Times New Roman"/>
        </w:rPr>
      </w:pPr>
      <w:r>
        <w:rPr>
          <w:rFonts w:ascii="Times New Roman" w:hAnsi="Times New Roman"/>
        </w:rPr>
        <w:t>IČO: 42382378</w:t>
      </w:r>
    </w:p>
    <w:p w:rsidR="00485460" w:rsidRDefault="00485460" w:rsidP="00485460">
      <w:pPr>
        <w:widowControl w:val="0"/>
        <w:autoSpaceDE w:val="0"/>
        <w:autoSpaceDN w:val="0"/>
        <w:adjustRightInd w:val="0"/>
        <w:spacing w:after="0" w:line="240" w:lineRule="auto"/>
        <w:ind w:left="1800"/>
        <w:jc w:val="both"/>
        <w:rPr>
          <w:rFonts w:ascii="Times New Roman" w:hAnsi="Times New Roman"/>
        </w:rPr>
      </w:pPr>
      <w:r>
        <w:rPr>
          <w:rFonts w:ascii="Times New Roman" w:hAnsi="Times New Roman"/>
        </w:rPr>
        <w:t>Medzany 182, 082 21 Medzany</w:t>
      </w:r>
    </w:p>
    <w:p w:rsidR="00485460" w:rsidRDefault="00485460" w:rsidP="00485460">
      <w:pPr>
        <w:widowControl w:val="0"/>
        <w:autoSpaceDE w:val="0"/>
        <w:autoSpaceDN w:val="0"/>
        <w:adjustRightInd w:val="0"/>
        <w:spacing w:after="0" w:line="240" w:lineRule="auto"/>
        <w:ind w:left="1800"/>
        <w:jc w:val="both"/>
        <w:rPr>
          <w:rFonts w:ascii="Times New Roman" w:hAnsi="Times New Roman"/>
        </w:rPr>
      </w:pPr>
    </w:p>
    <w:p w:rsidR="00485460" w:rsidRDefault="00485460" w:rsidP="00485460">
      <w:pPr>
        <w:widowControl w:val="0"/>
        <w:autoSpaceDE w:val="0"/>
        <w:autoSpaceDN w:val="0"/>
        <w:adjustRightInd w:val="0"/>
        <w:spacing w:after="0" w:line="240" w:lineRule="auto"/>
        <w:ind w:left="1800"/>
        <w:jc w:val="both"/>
        <w:rPr>
          <w:rFonts w:ascii="Times New Roman" w:hAnsi="Times New Roman"/>
        </w:rPr>
      </w:pPr>
    </w:p>
    <w:p w:rsidR="00485460" w:rsidRDefault="00485460" w:rsidP="00485460">
      <w:pPr>
        <w:widowControl w:val="0"/>
        <w:numPr>
          <w:ilvl w:val="0"/>
          <w:numId w:val="4"/>
        </w:numPr>
        <w:autoSpaceDE w:val="0"/>
        <w:autoSpaceDN w:val="0"/>
        <w:adjustRightInd w:val="0"/>
        <w:spacing w:after="0" w:line="240" w:lineRule="auto"/>
        <w:jc w:val="both"/>
        <w:rPr>
          <w:rFonts w:ascii="Times New Roman" w:hAnsi="Times New Roman"/>
          <w:b/>
          <w:i/>
        </w:rPr>
      </w:pPr>
      <w:r>
        <w:rPr>
          <w:rFonts w:ascii="Times New Roman" w:hAnsi="Times New Roman"/>
          <w:b/>
          <w:i/>
        </w:rPr>
        <w:t>Prehľad o pohybe vlastného imania</w:t>
      </w:r>
    </w:p>
    <w:p w:rsidR="00485460" w:rsidRDefault="00485460" w:rsidP="00485460">
      <w:pPr>
        <w:widowControl w:val="0"/>
        <w:autoSpaceDE w:val="0"/>
        <w:autoSpaceDN w:val="0"/>
        <w:adjustRightInd w:val="0"/>
        <w:spacing w:after="0" w:line="240" w:lineRule="auto"/>
        <w:ind w:left="1800"/>
        <w:jc w:val="both"/>
        <w:rPr>
          <w:rFonts w:ascii="Times New Roman" w:hAnsi="Times New Roman"/>
        </w:rPr>
      </w:pPr>
      <w:r>
        <w:rPr>
          <w:rFonts w:ascii="Times New Roman" w:hAnsi="Times New Roman"/>
        </w:rPr>
        <w:t>Prehľad o stave vlastného imania konsolidovaného celku obce Medzany je uvedený v tabuľkovej  prílohe konsolidovaných poznámok – tabuľka č.12.</w:t>
      </w:r>
    </w:p>
    <w:p w:rsidR="00485460" w:rsidRDefault="00485460" w:rsidP="00485460">
      <w:pPr>
        <w:widowControl w:val="0"/>
        <w:numPr>
          <w:ilvl w:val="0"/>
          <w:numId w:val="4"/>
        </w:numPr>
        <w:autoSpaceDE w:val="0"/>
        <w:autoSpaceDN w:val="0"/>
        <w:adjustRightInd w:val="0"/>
        <w:spacing w:after="0" w:line="240" w:lineRule="auto"/>
        <w:jc w:val="both"/>
        <w:rPr>
          <w:rFonts w:ascii="Times New Roman" w:hAnsi="Times New Roman"/>
          <w:b/>
          <w:i/>
        </w:rPr>
      </w:pPr>
      <w:r>
        <w:rPr>
          <w:rFonts w:ascii="Times New Roman" w:hAnsi="Times New Roman"/>
          <w:b/>
          <w:i/>
        </w:rPr>
        <w:t>Prehľad o pohybe rezerv</w:t>
      </w:r>
    </w:p>
    <w:p w:rsidR="00485460" w:rsidRDefault="00485460" w:rsidP="00485460">
      <w:pPr>
        <w:widowControl w:val="0"/>
        <w:autoSpaceDE w:val="0"/>
        <w:autoSpaceDN w:val="0"/>
        <w:adjustRightInd w:val="0"/>
        <w:spacing w:after="0" w:line="240" w:lineRule="auto"/>
        <w:ind w:left="1800"/>
        <w:jc w:val="both"/>
        <w:rPr>
          <w:rFonts w:ascii="Times New Roman" w:hAnsi="Times New Roman"/>
        </w:rPr>
      </w:pPr>
      <w:r>
        <w:rPr>
          <w:rFonts w:ascii="Times New Roman" w:hAnsi="Times New Roman"/>
        </w:rPr>
        <w:t xml:space="preserve">Prehľad rezerv  konsolidovaného celku sa uvádza v tabuľkovej prílohe </w:t>
      </w:r>
      <w:r>
        <w:rPr>
          <w:rFonts w:ascii="Times New Roman" w:hAnsi="Times New Roman"/>
        </w:rPr>
        <w:lastRenderedPageBreak/>
        <w:t>konsolidovaných poznámok  -  tabuľka č.13,14.</w:t>
      </w:r>
    </w:p>
    <w:p w:rsidR="00485460" w:rsidRDefault="00485460" w:rsidP="00485460">
      <w:pPr>
        <w:widowControl w:val="0"/>
        <w:numPr>
          <w:ilvl w:val="0"/>
          <w:numId w:val="4"/>
        </w:numPr>
        <w:autoSpaceDE w:val="0"/>
        <w:autoSpaceDN w:val="0"/>
        <w:adjustRightInd w:val="0"/>
        <w:spacing w:after="0" w:line="240" w:lineRule="auto"/>
        <w:jc w:val="both"/>
        <w:rPr>
          <w:rFonts w:ascii="Times New Roman" w:hAnsi="Times New Roman"/>
          <w:b/>
          <w:i/>
        </w:rPr>
      </w:pPr>
      <w:r>
        <w:rPr>
          <w:rFonts w:ascii="Times New Roman" w:hAnsi="Times New Roman"/>
          <w:b/>
          <w:i/>
        </w:rPr>
        <w:t>Prehľad o pohybe dlhodobého majetku</w:t>
      </w:r>
    </w:p>
    <w:p w:rsidR="00485460" w:rsidRDefault="00485460" w:rsidP="00485460">
      <w:pPr>
        <w:widowControl w:val="0"/>
        <w:autoSpaceDE w:val="0"/>
        <w:autoSpaceDN w:val="0"/>
        <w:adjustRightInd w:val="0"/>
        <w:spacing w:after="0" w:line="240" w:lineRule="auto"/>
        <w:ind w:left="1800"/>
        <w:jc w:val="both"/>
        <w:rPr>
          <w:rFonts w:ascii="Times New Roman" w:hAnsi="Times New Roman"/>
        </w:rPr>
      </w:pPr>
      <w:r>
        <w:rPr>
          <w:rFonts w:ascii="Times New Roman" w:hAnsi="Times New Roman"/>
        </w:rPr>
        <w:t>Prehľad o pohybe dlhodobého nehmotného a dlhodobého hmotného majetku od 1. januára 201</w:t>
      </w:r>
      <w:r w:rsidR="00393580">
        <w:rPr>
          <w:rFonts w:ascii="Times New Roman" w:hAnsi="Times New Roman"/>
        </w:rPr>
        <w:t>6</w:t>
      </w:r>
      <w:r>
        <w:rPr>
          <w:rFonts w:ascii="Times New Roman" w:hAnsi="Times New Roman"/>
        </w:rPr>
        <w:t xml:space="preserve"> do 31.decembra  201</w:t>
      </w:r>
      <w:r w:rsidR="00393580">
        <w:rPr>
          <w:rFonts w:ascii="Times New Roman" w:hAnsi="Times New Roman"/>
        </w:rPr>
        <w:t>6</w:t>
      </w:r>
      <w:r>
        <w:rPr>
          <w:rFonts w:ascii="Times New Roman" w:hAnsi="Times New Roman"/>
        </w:rPr>
        <w:t xml:space="preserve"> je uvedený v tabuľkovej časti konsolidovaných poznámok  - tabuľka č.2.</w:t>
      </w:r>
    </w:p>
    <w:p w:rsidR="00485460" w:rsidRDefault="00C36DC4" w:rsidP="00485460">
      <w:pPr>
        <w:widowControl w:val="0"/>
        <w:autoSpaceDE w:val="0"/>
        <w:autoSpaceDN w:val="0"/>
        <w:adjustRightInd w:val="0"/>
        <w:spacing w:after="0" w:line="240" w:lineRule="auto"/>
        <w:ind w:left="1800"/>
        <w:jc w:val="both"/>
        <w:rPr>
          <w:rFonts w:ascii="Times New Roman" w:hAnsi="Times New Roman"/>
        </w:rPr>
      </w:pPr>
      <w:r>
        <w:rPr>
          <w:rFonts w:ascii="Times New Roman" w:hAnsi="Times New Roman"/>
        </w:rPr>
        <w:t xml:space="preserve"> </w:t>
      </w:r>
    </w:p>
    <w:p w:rsidR="00485460" w:rsidRDefault="00485460" w:rsidP="00485460">
      <w:pPr>
        <w:widowControl w:val="0"/>
        <w:autoSpaceDE w:val="0"/>
        <w:autoSpaceDN w:val="0"/>
        <w:adjustRightInd w:val="0"/>
        <w:spacing w:after="0" w:line="240" w:lineRule="auto"/>
        <w:jc w:val="both"/>
        <w:rPr>
          <w:rFonts w:ascii="Times New Roman" w:hAnsi="Times New Roman"/>
          <w:b/>
          <w:bCs/>
        </w:rPr>
      </w:pPr>
    </w:p>
    <w:p w:rsidR="00485460" w:rsidRDefault="00485460" w:rsidP="00485460">
      <w:pPr>
        <w:widowControl w:val="0"/>
        <w:numPr>
          <w:ilvl w:val="0"/>
          <w:numId w:val="5"/>
        </w:numPr>
        <w:autoSpaceDE w:val="0"/>
        <w:autoSpaceDN w:val="0"/>
        <w:adjustRightInd w:val="0"/>
        <w:spacing w:after="0" w:line="240" w:lineRule="auto"/>
        <w:ind w:left="360"/>
        <w:jc w:val="both"/>
        <w:rPr>
          <w:rFonts w:ascii="Times New Roman" w:hAnsi="Times New Roman"/>
          <w:b/>
          <w:bCs/>
          <w:i/>
        </w:rPr>
      </w:pPr>
      <w:r>
        <w:rPr>
          <w:rFonts w:ascii="Times New Roman" w:hAnsi="Times New Roman"/>
          <w:b/>
          <w:bCs/>
          <w:i/>
        </w:rPr>
        <w:t xml:space="preserve">Prehľad o pohybe dlhodobého finančného majetku </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b/>
          <w:bCs/>
        </w:rPr>
        <w:t xml:space="preserve"> </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 xml:space="preserve"> V rámci dlhodobého finančného majetku  vykazuje konsolidovaný celok obce Medzany   3674 akcií Východoslovenskej vodárenskej spoločnosti </w:t>
      </w:r>
      <w:proofErr w:type="spellStart"/>
      <w:r>
        <w:rPr>
          <w:rFonts w:ascii="Times New Roman" w:hAnsi="Times New Roman"/>
        </w:rPr>
        <w:t>a.s</w:t>
      </w:r>
      <w:proofErr w:type="spellEnd"/>
      <w:r>
        <w:rPr>
          <w:rFonts w:ascii="Times New Roman" w:hAnsi="Times New Roman"/>
        </w:rPr>
        <w:t>., ktorých menovitá hodnota jednej akcie je 33,19 €, celková suma je 121 954,46 €. Obstarávacia cena je k 31.12.201</w:t>
      </w:r>
      <w:r w:rsidR="00FD38D0">
        <w:rPr>
          <w:rFonts w:ascii="Times New Roman" w:hAnsi="Times New Roman"/>
        </w:rPr>
        <w:t>6</w:t>
      </w:r>
      <w:r>
        <w:rPr>
          <w:rFonts w:ascii="Times New Roman" w:hAnsi="Times New Roman"/>
        </w:rPr>
        <w:t xml:space="preserve"> v sume 121 954,46 €.</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 xml:space="preserve"> </w:t>
      </w:r>
    </w:p>
    <w:p w:rsidR="00485460" w:rsidRDefault="00485460" w:rsidP="00485460">
      <w:pPr>
        <w:widowControl w:val="0"/>
        <w:numPr>
          <w:ilvl w:val="0"/>
          <w:numId w:val="5"/>
        </w:numPr>
        <w:autoSpaceDE w:val="0"/>
        <w:autoSpaceDN w:val="0"/>
        <w:adjustRightInd w:val="0"/>
        <w:spacing w:after="0" w:line="240" w:lineRule="auto"/>
        <w:jc w:val="both"/>
        <w:rPr>
          <w:rFonts w:ascii="Times New Roman" w:hAnsi="Times New Roman"/>
          <w:b/>
          <w:i/>
        </w:rPr>
      </w:pPr>
      <w:r>
        <w:rPr>
          <w:rFonts w:ascii="Times New Roman" w:hAnsi="Times New Roman"/>
          <w:b/>
          <w:i/>
        </w:rPr>
        <w:t>Zásobách</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Konsolidovaný celok v roku 201</w:t>
      </w:r>
      <w:r w:rsidR="00FD38D0">
        <w:rPr>
          <w:rFonts w:ascii="Times New Roman" w:hAnsi="Times New Roman"/>
        </w:rPr>
        <w:t>6</w:t>
      </w:r>
      <w:r>
        <w:rPr>
          <w:rFonts w:ascii="Times New Roman" w:hAnsi="Times New Roman"/>
        </w:rPr>
        <w:t xml:space="preserve"> netvoril opravné položky, nebol dôvod.</w:t>
      </w:r>
    </w:p>
    <w:p w:rsidR="00485460" w:rsidRDefault="00485460" w:rsidP="00485460">
      <w:pPr>
        <w:widowControl w:val="0"/>
        <w:numPr>
          <w:ilvl w:val="0"/>
          <w:numId w:val="5"/>
        </w:numPr>
        <w:autoSpaceDE w:val="0"/>
        <w:autoSpaceDN w:val="0"/>
        <w:adjustRightInd w:val="0"/>
        <w:spacing w:after="0" w:line="240" w:lineRule="auto"/>
        <w:jc w:val="both"/>
        <w:rPr>
          <w:rFonts w:ascii="Times New Roman" w:hAnsi="Times New Roman"/>
          <w:b/>
          <w:i/>
        </w:rPr>
      </w:pPr>
      <w:r>
        <w:rPr>
          <w:rFonts w:ascii="Times New Roman" w:hAnsi="Times New Roman"/>
          <w:b/>
          <w:i/>
        </w:rPr>
        <w:t>Transferoch</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V rámci zúčtovacích vzťahov medzi subjektami verejnej správy konsolidovaný celok vykazuje v </w:t>
      </w:r>
      <w:r w:rsidR="00393580">
        <w:rPr>
          <w:rFonts w:ascii="Times New Roman" w:hAnsi="Times New Roman"/>
        </w:rPr>
        <w:t>pasív</w:t>
      </w:r>
      <w:r>
        <w:rPr>
          <w:rFonts w:ascii="Times New Roman" w:hAnsi="Times New Roman"/>
        </w:rPr>
        <w:t>ach  úč</w:t>
      </w:r>
      <w:r w:rsidR="00FD38D0">
        <w:rPr>
          <w:rFonts w:ascii="Times New Roman" w:hAnsi="Times New Roman"/>
        </w:rPr>
        <w:t>e</w:t>
      </w:r>
      <w:r>
        <w:rPr>
          <w:rFonts w:ascii="Times New Roman" w:hAnsi="Times New Roman"/>
        </w:rPr>
        <w:t xml:space="preserve">t 357 – ostatné zúčtovanie rozpočtu obce a VÚC . Jedná sa o poskytnuté, ale nevyčerpané normatívne finančné prostriedky pre Základnú školu, ktoré je možné použiť nasledovnom  rozpočtovom roku  do 31. marca  v súlade s ustanovením § 8 odsek 4 a 5 zákona č. 523/2004 </w:t>
      </w:r>
      <w:proofErr w:type="spellStart"/>
      <w:r>
        <w:rPr>
          <w:rFonts w:ascii="Times New Roman" w:hAnsi="Times New Roman"/>
        </w:rPr>
        <w:t>Z.z</w:t>
      </w:r>
      <w:proofErr w:type="spellEnd"/>
      <w:r>
        <w:rPr>
          <w:rFonts w:ascii="Times New Roman" w:hAnsi="Times New Roman"/>
        </w:rPr>
        <w:t>. o rozpočtových pravidlách verejnej správy a o zmene a doplnení niektorých zákonov v znení neskorších predpisov.</w:t>
      </w:r>
    </w:p>
    <w:p w:rsidR="00485460" w:rsidRDefault="00485460" w:rsidP="00485460">
      <w:pPr>
        <w:widowControl w:val="0"/>
        <w:numPr>
          <w:ilvl w:val="0"/>
          <w:numId w:val="5"/>
        </w:numPr>
        <w:autoSpaceDE w:val="0"/>
        <w:autoSpaceDN w:val="0"/>
        <w:adjustRightInd w:val="0"/>
        <w:spacing w:after="0" w:line="240" w:lineRule="auto"/>
        <w:jc w:val="both"/>
        <w:rPr>
          <w:rFonts w:ascii="Times New Roman" w:hAnsi="Times New Roman"/>
          <w:b/>
          <w:i/>
        </w:rPr>
      </w:pPr>
      <w:r>
        <w:rPr>
          <w:rFonts w:ascii="Times New Roman" w:hAnsi="Times New Roman"/>
          <w:b/>
          <w:i/>
        </w:rPr>
        <w:t>Dlhodobých  pohľadávkach</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Konsolidovaný celok za rok 201</w:t>
      </w:r>
      <w:r w:rsidR="00393580">
        <w:rPr>
          <w:rFonts w:ascii="Times New Roman" w:hAnsi="Times New Roman"/>
        </w:rPr>
        <w:t>6</w:t>
      </w:r>
      <w:r>
        <w:rPr>
          <w:rFonts w:ascii="Times New Roman" w:hAnsi="Times New Roman"/>
        </w:rPr>
        <w:t xml:space="preserve"> nevykazuje dlhodobé pohľadávky.</w:t>
      </w:r>
    </w:p>
    <w:p w:rsidR="00485460" w:rsidRDefault="00485460" w:rsidP="00485460">
      <w:pPr>
        <w:widowControl w:val="0"/>
        <w:numPr>
          <w:ilvl w:val="0"/>
          <w:numId w:val="5"/>
        </w:numPr>
        <w:autoSpaceDE w:val="0"/>
        <w:autoSpaceDN w:val="0"/>
        <w:adjustRightInd w:val="0"/>
        <w:spacing w:after="0" w:line="240" w:lineRule="auto"/>
        <w:jc w:val="both"/>
        <w:rPr>
          <w:rFonts w:ascii="Times New Roman" w:hAnsi="Times New Roman"/>
          <w:b/>
          <w:i/>
        </w:rPr>
      </w:pPr>
      <w:r>
        <w:rPr>
          <w:rFonts w:ascii="Times New Roman" w:hAnsi="Times New Roman"/>
          <w:b/>
          <w:i/>
        </w:rPr>
        <w:t>Krátkodobých  pohľadávkach</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Konsolidovaný celok eviduje krátkodobé pohľadávky vo výške</w:t>
      </w:r>
      <w:r w:rsidR="003A262B">
        <w:rPr>
          <w:rFonts w:ascii="Times New Roman" w:hAnsi="Times New Roman"/>
        </w:rPr>
        <w:t xml:space="preserve"> </w:t>
      </w:r>
      <w:r w:rsidR="00393580">
        <w:rPr>
          <w:rFonts w:ascii="Times New Roman" w:hAnsi="Times New Roman"/>
        </w:rPr>
        <w:t>3 080,63</w:t>
      </w:r>
      <w:r>
        <w:rPr>
          <w:rFonts w:ascii="Times New Roman" w:hAnsi="Times New Roman"/>
        </w:rPr>
        <w:t xml:space="preserve"> €, ktoré sa týkajú týchto druhov ekonomických činností obce Medzany:</w:t>
      </w:r>
    </w:p>
    <w:p w:rsidR="00485460" w:rsidRPr="00393580" w:rsidRDefault="00393580" w:rsidP="00393580">
      <w:pPr>
        <w:pStyle w:val="Odsekzoznamu"/>
        <w:widowControl w:val="0"/>
        <w:numPr>
          <w:ilvl w:val="0"/>
          <w:numId w:val="6"/>
        </w:numPr>
        <w:autoSpaceDE w:val="0"/>
        <w:autoSpaceDN w:val="0"/>
        <w:adjustRightInd w:val="0"/>
        <w:spacing w:after="0" w:line="240" w:lineRule="auto"/>
        <w:jc w:val="both"/>
        <w:rPr>
          <w:rFonts w:ascii="Times New Roman" w:hAnsi="Times New Roman"/>
        </w:rPr>
      </w:pPr>
      <w:r>
        <w:rPr>
          <w:rFonts w:ascii="Times New Roman" w:hAnsi="Times New Roman"/>
        </w:rPr>
        <w:t>Iné pohľadávky z nedaňových príjmov vykazovaných na účte 378 v sume 1 562 €</w:t>
      </w:r>
    </w:p>
    <w:p w:rsidR="00485460" w:rsidRDefault="00485460" w:rsidP="00485460">
      <w:pPr>
        <w:widowControl w:val="0"/>
        <w:numPr>
          <w:ilvl w:val="0"/>
          <w:numId w:val="6"/>
        </w:numPr>
        <w:autoSpaceDE w:val="0"/>
        <w:autoSpaceDN w:val="0"/>
        <w:adjustRightInd w:val="0"/>
        <w:spacing w:after="0" w:line="240" w:lineRule="auto"/>
        <w:jc w:val="both"/>
        <w:rPr>
          <w:rFonts w:ascii="Times New Roman" w:hAnsi="Times New Roman"/>
        </w:rPr>
      </w:pPr>
      <w:r>
        <w:rPr>
          <w:rFonts w:ascii="Times New Roman" w:hAnsi="Times New Roman"/>
        </w:rPr>
        <w:t xml:space="preserve">pohľadávky z nedaňových príjmov obcí vykazovaných na účte 318 v sume </w:t>
      </w:r>
      <w:r w:rsidR="00393580">
        <w:rPr>
          <w:rFonts w:ascii="Times New Roman" w:hAnsi="Times New Roman"/>
        </w:rPr>
        <w:t>1 004</w:t>
      </w:r>
      <w:r>
        <w:rPr>
          <w:rFonts w:ascii="Times New Roman" w:hAnsi="Times New Roman"/>
        </w:rPr>
        <w:t xml:space="preserve"> €</w:t>
      </w:r>
    </w:p>
    <w:p w:rsidR="00485460" w:rsidRDefault="00485460" w:rsidP="00485460">
      <w:pPr>
        <w:widowControl w:val="0"/>
        <w:numPr>
          <w:ilvl w:val="0"/>
          <w:numId w:val="6"/>
        </w:numPr>
        <w:autoSpaceDE w:val="0"/>
        <w:autoSpaceDN w:val="0"/>
        <w:adjustRightInd w:val="0"/>
        <w:spacing w:after="0" w:line="240" w:lineRule="auto"/>
        <w:jc w:val="both"/>
        <w:rPr>
          <w:rFonts w:ascii="Times New Roman" w:hAnsi="Times New Roman"/>
        </w:rPr>
      </w:pPr>
      <w:r>
        <w:rPr>
          <w:rFonts w:ascii="Times New Roman" w:hAnsi="Times New Roman"/>
        </w:rPr>
        <w:t xml:space="preserve">pohľadávky z daňových príjmov obce vykazovaných na účte 319 v sume </w:t>
      </w:r>
      <w:r w:rsidR="00393580">
        <w:rPr>
          <w:rFonts w:ascii="Times New Roman" w:hAnsi="Times New Roman"/>
        </w:rPr>
        <w:t>514,63</w:t>
      </w:r>
      <w:r>
        <w:rPr>
          <w:rFonts w:ascii="Times New Roman" w:hAnsi="Times New Roman"/>
        </w:rPr>
        <w:t xml:space="preserve"> €.</w:t>
      </w:r>
    </w:p>
    <w:p w:rsidR="00485460" w:rsidRDefault="00485460" w:rsidP="00485460">
      <w:pPr>
        <w:widowControl w:val="0"/>
        <w:numPr>
          <w:ilvl w:val="0"/>
          <w:numId w:val="5"/>
        </w:numPr>
        <w:autoSpaceDE w:val="0"/>
        <w:autoSpaceDN w:val="0"/>
        <w:adjustRightInd w:val="0"/>
        <w:spacing w:after="0" w:line="240" w:lineRule="auto"/>
        <w:jc w:val="both"/>
        <w:rPr>
          <w:rFonts w:ascii="Times New Roman" w:hAnsi="Times New Roman"/>
          <w:b/>
          <w:i/>
        </w:rPr>
      </w:pPr>
      <w:r>
        <w:rPr>
          <w:rFonts w:ascii="Times New Roman" w:hAnsi="Times New Roman"/>
          <w:b/>
          <w:i/>
        </w:rPr>
        <w:t>Finančných účtoch</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 xml:space="preserve">Celkové finančné zdroje na účtoch, pokladni, na účte cenín predstavujú sumu </w:t>
      </w:r>
      <w:r w:rsidR="00393580">
        <w:rPr>
          <w:rFonts w:ascii="Times New Roman" w:hAnsi="Times New Roman"/>
        </w:rPr>
        <w:t>51 191,56</w:t>
      </w:r>
      <w:r>
        <w:rPr>
          <w:rFonts w:ascii="Times New Roman" w:hAnsi="Times New Roman"/>
        </w:rPr>
        <w:t xml:space="preserve"> €. Ich súčasťou sú nevyčerpané finančné prostriedky zo ŠR</w:t>
      </w:r>
      <w:r w:rsidR="00393580">
        <w:rPr>
          <w:rFonts w:ascii="Times New Roman" w:hAnsi="Times New Roman"/>
        </w:rPr>
        <w:t>.</w:t>
      </w:r>
    </w:p>
    <w:p w:rsidR="00485460" w:rsidRDefault="00485460" w:rsidP="00485460">
      <w:pPr>
        <w:widowControl w:val="0"/>
        <w:numPr>
          <w:ilvl w:val="0"/>
          <w:numId w:val="5"/>
        </w:numPr>
        <w:autoSpaceDE w:val="0"/>
        <w:autoSpaceDN w:val="0"/>
        <w:adjustRightInd w:val="0"/>
        <w:spacing w:after="0" w:line="240" w:lineRule="auto"/>
        <w:jc w:val="both"/>
        <w:rPr>
          <w:rFonts w:ascii="Times New Roman" w:hAnsi="Times New Roman"/>
          <w:b/>
          <w:i/>
        </w:rPr>
      </w:pPr>
      <w:r>
        <w:rPr>
          <w:rFonts w:ascii="Times New Roman" w:hAnsi="Times New Roman"/>
          <w:b/>
          <w:i/>
        </w:rPr>
        <w:t>Poskytnutých finančných výpomociach</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Konsolidovaný celok za rok 201</w:t>
      </w:r>
      <w:r w:rsidR="00393580">
        <w:rPr>
          <w:rFonts w:ascii="Times New Roman" w:hAnsi="Times New Roman"/>
        </w:rPr>
        <w:t>6</w:t>
      </w:r>
      <w:r>
        <w:rPr>
          <w:rFonts w:ascii="Times New Roman" w:hAnsi="Times New Roman"/>
        </w:rPr>
        <w:t xml:space="preserve"> vykazuje finančné výpomoci</w:t>
      </w:r>
      <w:r w:rsidR="00FD38D0">
        <w:rPr>
          <w:rFonts w:ascii="Times New Roman" w:hAnsi="Times New Roman"/>
        </w:rPr>
        <w:t xml:space="preserve"> krátkodobé v sume 1 500 €</w:t>
      </w:r>
      <w:r>
        <w:rPr>
          <w:rFonts w:ascii="Times New Roman" w:hAnsi="Times New Roman"/>
        </w:rPr>
        <w:t>.</w:t>
      </w:r>
    </w:p>
    <w:p w:rsidR="00485460" w:rsidRDefault="00485460" w:rsidP="00485460">
      <w:pPr>
        <w:widowControl w:val="0"/>
        <w:numPr>
          <w:ilvl w:val="0"/>
          <w:numId w:val="5"/>
        </w:numPr>
        <w:autoSpaceDE w:val="0"/>
        <w:autoSpaceDN w:val="0"/>
        <w:adjustRightInd w:val="0"/>
        <w:spacing w:after="0" w:line="240" w:lineRule="auto"/>
        <w:jc w:val="both"/>
        <w:rPr>
          <w:rFonts w:ascii="Times New Roman" w:hAnsi="Times New Roman"/>
          <w:b/>
          <w:i/>
        </w:rPr>
      </w:pPr>
      <w:r>
        <w:rPr>
          <w:rFonts w:ascii="Times New Roman" w:hAnsi="Times New Roman"/>
          <w:b/>
          <w:i/>
        </w:rPr>
        <w:t>Časovom rozlíšení na strane aktív</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Konsolidovaný celok za rok 201</w:t>
      </w:r>
      <w:r w:rsidR="00FD38D0">
        <w:rPr>
          <w:rFonts w:ascii="Times New Roman" w:hAnsi="Times New Roman"/>
        </w:rPr>
        <w:t>6</w:t>
      </w:r>
      <w:r>
        <w:rPr>
          <w:rFonts w:ascii="Times New Roman" w:hAnsi="Times New Roman"/>
        </w:rPr>
        <w:t xml:space="preserve"> vykazuje náklady budúcich období vo výške </w:t>
      </w:r>
      <w:r w:rsidR="00FD38D0">
        <w:rPr>
          <w:rFonts w:ascii="Times New Roman" w:hAnsi="Times New Roman"/>
        </w:rPr>
        <w:t>281,20</w:t>
      </w:r>
      <w:r>
        <w:rPr>
          <w:rFonts w:ascii="Times New Roman" w:hAnsi="Times New Roman"/>
        </w:rPr>
        <w:t xml:space="preserve"> € ( predplatné časopisov,  ostatné náklady budúcich období (tabuľka č.10).</w:t>
      </w:r>
    </w:p>
    <w:p w:rsidR="00485460" w:rsidRDefault="00485460" w:rsidP="00485460">
      <w:pPr>
        <w:widowControl w:val="0"/>
        <w:numPr>
          <w:ilvl w:val="0"/>
          <w:numId w:val="5"/>
        </w:numPr>
        <w:autoSpaceDE w:val="0"/>
        <w:autoSpaceDN w:val="0"/>
        <w:adjustRightInd w:val="0"/>
        <w:spacing w:after="0" w:line="240" w:lineRule="auto"/>
        <w:jc w:val="both"/>
        <w:rPr>
          <w:rFonts w:ascii="Times New Roman" w:hAnsi="Times New Roman"/>
          <w:b/>
          <w:i/>
        </w:rPr>
      </w:pPr>
      <w:r>
        <w:rPr>
          <w:rFonts w:ascii="Times New Roman" w:hAnsi="Times New Roman"/>
          <w:b/>
          <w:i/>
        </w:rPr>
        <w:t>Dlhodobých záväzkoch</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Konsolidovaný celok za rok 201</w:t>
      </w:r>
      <w:r w:rsidR="00FD38D0">
        <w:rPr>
          <w:rFonts w:ascii="Times New Roman" w:hAnsi="Times New Roman"/>
        </w:rPr>
        <w:t>6</w:t>
      </w:r>
      <w:r>
        <w:rPr>
          <w:rFonts w:ascii="Times New Roman" w:hAnsi="Times New Roman"/>
        </w:rPr>
        <w:t xml:space="preserve"> vykazuje dlhodobé záväzky vo výške </w:t>
      </w:r>
      <w:r w:rsidR="00FD38D0">
        <w:rPr>
          <w:rFonts w:ascii="Times New Roman" w:hAnsi="Times New Roman"/>
        </w:rPr>
        <w:t>201</w:t>
      </w:r>
      <w:r w:rsidR="003A262B">
        <w:rPr>
          <w:rFonts w:ascii="Times New Roman" w:hAnsi="Times New Roman"/>
        </w:rPr>
        <w:t> </w:t>
      </w:r>
      <w:r w:rsidR="00FD38D0">
        <w:rPr>
          <w:rFonts w:ascii="Times New Roman" w:hAnsi="Times New Roman"/>
        </w:rPr>
        <w:t>218</w:t>
      </w:r>
      <w:r w:rsidR="003A262B">
        <w:rPr>
          <w:rFonts w:ascii="Times New Roman" w:hAnsi="Times New Roman"/>
        </w:rPr>
        <w:t>,</w:t>
      </w:r>
      <w:r w:rsidR="00FD38D0">
        <w:rPr>
          <w:rFonts w:ascii="Times New Roman" w:hAnsi="Times New Roman"/>
        </w:rPr>
        <w:t>06</w:t>
      </w:r>
      <w:r>
        <w:rPr>
          <w:rFonts w:ascii="Times New Roman" w:hAnsi="Times New Roman"/>
        </w:rPr>
        <w:t xml:space="preserve"> € záväzky zo sociálneho  fondu </w:t>
      </w:r>
      <w:r w:rsidR="00FD38D0">
        <w:rPr>
          <w:rFonts w:ascii="Times New Roman" w:hAnsi="Times New Roman"/>
        </w:rPr>
        <w:t xml:space="preserve"> </w:t>
      </w:r>
      <w:r w:rsidR="002E6F59">
        <w:rPr>
          <w:rFonts w:ascii="Times New Roman" w:hAnsi="Times New Roman"/>
        </w:rPr>
        <w:t xml:space="preserve"> </w:t>
      </w:r>
      <w:r>
        <w:rPr>
          <w:rFonts w:ascii="Times New Roman" w:hAnsi="Times New Roman"/>
        </w:rPr>
        <w:t xml:space="preserve"> a ostatné dlhodobé záväzk</w:t>
      </w:r>
      <w:r w:rsidR="002E6F59">
        <w:rPr>
          <w:rFonts w:ascii="Times New Roman" w:hAnsi="Times New Roman"/>
        </w:rPr>
        <w:t>y ( úver ŠFRB</w:t>
      </w:r>
      <w:r>
        <w:rPr>
          <w:rFonts w:ascii="Times New Roman" w:hAnsi="Times New Roman"/>
        </w:rPr>
        <w:t>).</w:t>
      </w:r>
    </w:p>
    <w:p w:rsidR="00485460" w:rsidRDefault="00485460" w:rsidP="00485460">
      <w:pPr>
        <w:widowControl w:val="0"/>
        <w:numPr>
          <w:ilvl w:val="0"/>
          <w:numId w:val="5"/>
        </w:numPr>
        <w:autoSpaceDE w:val="0"/>
        <w:autoSpaceDN w:val="0"/>
        <w:adjustRightInd w:val="0"/>
        <w:spacing w:after="0" w:line="240" w:lineRule="auto"/>
        <w:jc w:val="both"/>
        <w:rPr>
          <w:rFonts w:ascii="Times New Roman" w:hAnsi="Times New Roman"/>
          <w:b/>
          <w:i/>
        </w:rPr>
      </w:pPr>
      <w:r>
        <w:rPr>
          <w:rFonts w:ascii="Times New Roman" w:hAnsi="Times New Roman"/>
          <w:b/>
          <w:i/>
        </w:rPr>
        <w:t>Krátkodobých záväzkoch</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Prehľad záväzkov z hľadiska ich  vekovej štruktúry a podľa doby splatnosti je uvedený v tabuľkovej časti (tabuľka č.15).</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Konsolidovaný celok za rok 201</w:t>
      </w:r>
      <w:r w:rsidR="00FD38D0">
        <w:rPr>
          <w:rFonts w:ascii="Times New Roman" w:hAnsi="Times New Roman"/>
        </w:rPr>
        <w:t>6</w:t>
      </w:r>
      <w:r>
        <w:rPr>
          <w:rFonts w:ascii="Times New Roman" w:hAnsi="Times New Roman"/>
        </w:rPr>
        <w:t xml:space="preserve"> vykazuje krátkodobé záväzky vo výške </w:t>
      </w:r>
      <w:r w:rsidR="00FD38D0">
        <w:rPr>
          <w:rFonts w:ascii="Times New Roman" w:hAnsi="Times New Roman"/>
        </w:rPr>
        <w:t>50 332,73</w:t>
      </w:r>
      <w:r>
        <w:rPr>
          <w:rFonts w:ascii="Times New Roman" w:hAnsi="Times New Roman"/>
        </w:rPr>
        <w:t xml:space="preserve"> € ( záväzky voči dodávateľom, zamestnancom, orgánom sociálneho a zdravotného poistenia a ostatné záväzky).</w:t>
      </w:r>
    </w:p>
    <w:p w:rsidR="00485460" w:rsidRDefault="00485460" w:rsidP="00485460">
      <w:pPr>
        <w:widowControl w:val="0"/>
        <w:numPr>
          <w:ilvl w:val="0"/>
          <w:numId w:val="5"/>
        </w:numPr>
        <w:autoSpaceDE w:val="0"/>
        <w:autoSpaceDN w:val="0"/>
        <w:adjustRightInd w:val="0"/>
        <w:spacing w:after="0" w:line="240" w:lineRule="auto"/>
        <w:jc w:val="both"/>
        <w:rPr>
          <w:rFonts w:ascii="Times New Roman" w:hAnsi="Times New Roman"/>
          <w:b/>
          <w:i/>
        </w:rPr>
      </w:pPr>
      <w:r>
        <w:rPr>
          <w:rFonts w:ascii="Times New Roman" w:hAnsi="Times New Roman"/>
          <w:b/>
          <w:i/>
        </w:rPr>
        <w:t>Vydaných dlhopisoch</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Konsolidovaný celok za rok 201</w:t>
      </w:r>
      <w:r w:rsidR="00FD38D0">
        <w:rPr>
          <w:rFonts w:ascii="Times New Roman" w:hAnsi="Times New Roman"/>
        </w:rPr>
        <w:t>6</w:t>
      </w:r>
      <w:r>
        <w:rPr>
          <w:rFonts w:ascii="Times New Roman" w:hAnsi="Times New Roman"/>
        </w:rPr>
        <w:t xml:space="preserve"> nevykazuje vydané dlhopisy.</w:t>
      </w:r>
    </w:p>
    <w:p w:rsidR="00485460" w:rsidRDefault="00485460" w:rsidP="00485460">
      <w:pPr>
        <w:widowControl w:val="0"/>
        <w:numPr>
          <w:ilvl w:val="0"/>
          <w:numId w:val="5"/>
        </w:numPr>
        <w:autoSpaceDE w:val="0"/>
        <w:autoSpaceDN w:val="0"/>
        <w:adjustRightInd w:val="0"/>
        <w:spacing w:after="0" w:line="240" w:lineRule="auto"/>
        <w:jc w:val="both"/>
        <w:rPr>
          <w:rFonts w:ascii="Times New Roman" w:hAnsi="Times New Roman"/>
          <w:b/>
          <w:i/>
        </w:rPr>
      </w:pPr>
      <w:r>
        <w:rPr>
          <w:rFonts w:ascii="Times New Roman" w:hAnsi="Times New Roman"/>
          <w:b/>
          <w:i/>
        </w:rPr>
        <w:t>Bankových úveroch a návratných výpomociach</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Prehľad o bankových úveroch sa uvádza v tabuľkovej časti ( tabuľka č.16).</w:t>
      </w:r>
    </w:p>
    <w:p w:rsidR="00485460" w:rsidRDefault="00485460" w:rsidP="00485460">
      <w:pPr>
        <w:widowControl w:val="0"/>
        <w:autoSpaceDE w:val="0"/>
        <w:autoSpaceDN w:val="0"/>
        <w:adjustRightInd w:val="0"/>
        <w:spacing w:after="0" w:line="240" w:lineRule="auto"/>
        <w:jc w:val="both"/>
        <w:rPr>
          <w:rFonts w:ascii="Times New Roman" w:hAnsi="Times New Roman"/>
          <w:i/>
        </w:rPr>
      </w:pPr>
      <w:r>
        <w:rPr>
          <w:rFonts w:ascii="Times New Roman" w:hAnsi="Times New Roman"/>
          <w:b/>
          <w:i/>
        </w:rPr>
        <w:t>p</w:t>
      </w:r>
      <w:r>
        <w:rPr>
          <w:rFonts w:ascii="Times New Roman" w:hAnsi="Times New Roman"/>
          <w:i/>
        </w:rPr>
        <w:t xml:space="preserve">)  </w:t>
      </w:r>
      <w:r>
        <w:rPr>
          <w:rFonts w:ascii="Times New Roman" w:hAnsi="Times New Roman"/>
          <w:b/>
          <w:i/>
        </w:rPr>
        <w:t>Časovom rozlíšení na strane pasív</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Konsolidovaný celok za rok 201</w:t>
      </w:r>
      <w:r w:rsidR="00FD38D0">
        <w:rPr>
          <w:rFonts w:ascii="Times New Roman" w:hAnsi="Times New Roman"/>
        </w:rPr>
        <w:t>6</w:t>
      </w:r>
      <w:r>
        <w:rPr>
          <w:rFonts w:ascii="Times New Roman" w:hAnsi="Times New Roman"/>
        </w:rPr>
        <w:t xml:space="preserve"> vykazuje výnosy budúcich období vo výške </w:t>
      </w:r>
      <w:r w:rsidR="00FD38D0">
        <w:rPr>
          <w:rFonts w:ascii="Times New Roman" w:hAnsi="Times New Roman"/>
        </w:rPr>
        <w:t>802,20</w:t>
      </w:r>
      <w:r>
        <w:rPr>
          <w:rFonts w:ascii="Times New Roman" w:hAnsi="Times New Roman"/>
        </w:rPr>
        <w:t xml:space="preserve"> €  (tabuľka č.18).</w:t>
      </w:r>
    </w:p>
    <w:p w:rsidR="00485460" w:rsidRDefault="00485460" w:rsidP="00485460">
      <w:pPr>
        <w:widowControl w:val="0"/>
        <w:numPr>
          <w:ilvl w:val="0"/>
          <w:numId w:val="7"/>
        </w:numPr>
        <w:autoSpaceDE w:val="0"/>
        <w:autoSpaceDN w:val="0"/>
        <w:adjustRightInd w:val="0"/>
        <w:spacing w:after="0" w:line="240" w:lineRule="auto"/>
        <w:rPr>
          <w:rFonts w:ascii="Times New Roman" w:hAnsi="Times New Roman"/>
          <w:b/>
          <w:i/>
        </w:rPr>
      </w:pPr>
      <w:r>
        <w:rPr>
          <w:rFonts w:ascii="Times New Roman" w:hAnsi="Times New Roman"/>
          <w:b/>
          <w:i/>
        </w:rPr>
        <w:t xml:space="preserve">Nákladoch   </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Detailný rozpis významných nákladov je uvedený v tabuľkovej časti – (tabuľka č.19,20,21).</w:t>
      </w:r>
    </w:p>
    <w:p w:rsidR="00485460" w:rsidRDefault="00485460" w:rsidP="00485460">
      <w:pPr>
        <w:widowControl w:val="0"/>
        <w:numPr>
          <w:ilvl w:val="0"/>
          <w:numId w:val="7"/>
        </w:numPr>
        <w:autoSpaceDE w:val="0"/>
        <w:autoSpaceDN w:val="0"/>
        <w:adjustRightInd w:val="0"/>
        <w:spacing w:after="0" w:line="240" w:lineRule="auto"/>
        <w:jc w:val="both"/>
        <w:rPr>
          <w:rFonts w:ascii="Times New Roman" w:hAnsi="Times New Roman"/>
          <w:b/>
          <w:i/>
        </w:rPr>
      </w:pPr>
      <w:r>
        <w:rPr>
          <w:rFonts w:ascii="Times New Roman" w:hAnsi="Times New Roman"/>
          <w:b/>
          <w:i/>
        </w:rPr>
        <w:t>Výnosoch</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Detailný prehľad o výnosoch na prevádzkovú činnosť za rok 201</w:t>
      </w:r>
      <w:r w:rsidR="00FD38D0">
        <w:rPr>
          <w:rFonts w:ascii="Times New Roman" w:hAnsi="Times New Roman"/>
        </w:rPr>
        <w:t>6</w:t>
      </w:r>
      <w:r>
        <w:rPr>
          <w:rFonts w:ascii="Times New Roman" w:hAnsi="Times New Roman"/>
        </w:rPr>
        <w:t xml:space="preserve"> je uvedený v tabuľkovej časti ( </w:t>
      </w:r>
      <w:r>
        <w:rPr>
          <w:rFonts w:ascii="Times New Roman" w:hAnsi="Times New Roman"/>
        </w:rPr>
        <w:lastRenderedPageBreak/>
        <w:t>tabuľka č.22).</w:t>
      </w:r>
    </w:p>
    <w:p w:rsidR="00485460" w:rsidRDefault="00485460" w:rsidP="00485460">
      <w:pPr>
        <w:widowControl w:val="0"/>
        <w:autoSpaceDE w:val="0"/>
        <w:autoSpaceDN w:val="0"/>
        <w:adjustRightInd w:val="0"/>
        <w:spacing w:after="0" w:line="240" w:lineRule="auto"/>
        <w:jc w:val="both"/>
        <w:rPr>
          <w:rFonts w:ascii="Times New Roman" w:hAnsi="Times New Roman"/>
        </w:rPr>
      </w:pPr>
    </w:p>
    <w:p w:rsidR="00FD38D0" w:rsidRDefault="00FD38D0" w:rsidP="00485460">
      <w:pPr>
        <w:widowControl w:val="0"/>
        <w:autoSpaceDE w:val="0"/>
        <w:autoSpaceDN w:val="0"/>
        <w:adjustRightInd w:val="0"/>
        <w:spacing w:after="0" w:line="240" w:lineRule="auto"/>
        <w:jc w:val="both"/>
        <w:rPr>
          <w:rFonts w:ascii="Times New Roman" w:hAnsi="Times New Roman"/>
        </w:rPr>
      </w:pPr>
    </w:p>
    <w:p w:rsidR="00485460" w:rsidRDefault="00485460" w:rsidP="00485460">
      <w:pPr>
        <w:widowControl w:val="0"/>
        <w:autoSpaceDE w:val="0"/>
        <w:autoSpaceDN w:val="0"/>
        <w:adjustRightInd w:val="0"/>
        <w:spacing w:after="0" w:line="240" w:lineRule="auto"/>
        <w:jc w:val="center"/>
        <w:rPr>
          <w:rFonts w:ascii="Times New Roman" w:hAnsi="Times New Roman"/>
          <w:b/>
        </w:rPr>
      </w:pPr>
      <w:r>
        <w:rPr>
          <w:rFonts w:ascii="Times New Roman" w:hAnsi="Times New Roman"/>
          <w:b/>
        </w:rPr>
        <w:t>Čl. IV</w:t>
      </w:r>
    </w:p>
    <w:p w:rsidR="00485460" w:rsidRDefault="00485460" w:rsidP="00485460">
      <w:pPr>
        <w:widowControl w:val="0"/>
        <w:autoSpaceDE w:val="0"/>
        <w:autoSpaceDN w:val="0"/>
        <w:adjustRightInd w:val="0"/>
        <w:spacing w:after="0" w:line="240" w:lineRule="auto"/>
        <w:jc w:val="center"/>
        <w:rPr>
          <w:rFonts w:ascii="Times New Roman" w:hAnsi="Times New Roman"/>
          <w:b/>
        </w:rPr>
      </w:pPr>
      <w:r>
        <w:rPr>
          <w:rFonts w:ascii="Times New Roman" w:hAnsi="Times New Roman"/>
          <w:b/>
        </w:rPr>
        <w:t>Skutočnosti, ktoré nastali po dni, ku ktorému sa zostavuje účtovná závierka, do dňa jej vystavenia</w:t>
      </w:r>
    </w:p>
    <w:p w:rsidR="00485460" w:rsidRDefault="00485460" w:rsidP="00485460">
      <w:pPr>
        <w:widowControl w:val="0"/>
        <w:autoSpaceDE w:val="0"/>
        <w:autoSpaceDN w:val="0"/>
        <w:adjustRightInd w:val="0"/>
        <w:spacing w:after="0" w:line="240" w:lineRule="auto"/>
        <w:jc w:val="center"/>
        <w:rPr>
          <w:rFonts w:ascii="Times New Roman" w:hAnsi="Times New Roman"/>
          <w:b/>
        </w:rPr>
      </w:pPr>
    </w:p>
    <w:p w:rsidR="00485460" w:rsidRDefault="00485460" w:rsidP="00485460">
      <w:pPr>
        <w:widowControl w:val="0"/>
        <w:autoSpaceDE w:val="0"/>
        <w:autoSpaceDN w:val="0"/>
        <w:adjustRightInd w:val="0"/>
        <w:spacing w:after="0" w:line="240" w:lineRule="auto"/>
        <w:rPr>
          <w:rFonts w:ascii="Times New Roman" w:hAnsi="Times New Roman"/>
        </w:rPr>
      </w:pPr>
      <w:r>
        <w:rPr>
          <w:rFonts w:ascii="Times New Roman" w:hAnsi="Times New Roman"/>
        </w:rPr>
        <w:t>Po 31. decembri 201</w:t>
      </w:r>
      <w:r w:rsidR="00FD38D0">
        <w:rPr>
          <w:rFonts w:ascii="Times New Roman" w:hAnsi="Times New Roman"/>
        </w:rPr>
        <w:t>6</w:t>
      </w:r>
      <w:r>
        <w:rPr>
          <w:rFonts w:ascii="Times New Roman" w:hAnsi="Times New Roman"/>
        </w:rPr>
        <w:t xml:space="preserve"> nenastali také udalosti, ktoré by si vyžadovali zverejnenie alebo vykázanie v konsolidovanej účtovnej závierke za rok 201</w:t>
      </w:r>
      <w:r w:rsidR="00FD38D0">
        <w:rPr>
          <w:rFonts w:ascii="Times New Roman" w:hAnsi="Times New Roman"/>
        </w:rPr>
        <w:t>6</w:t>
      </w:r>
      <w:r>
        <w:rPr>
          <w:rFonts w:ascii="Times New Roman" w:hAnsi="Times New Roman"/>
        </w:rPr>
        <w:t>.</w:t>
      </w:r>
    </w:p>
    <w:p w:rsidR="00485460" w:rsidRDefault="00485460" w:rsidP="00485460">
      <w:pPr>
        <w:widowControl w:val="0"/>
        <w:autoSpaceDE w:val="0"/>
        <w:autoSpaceDN w:val="0"/>
        <w:adjustRightInd w:val="0"/>
        <w:spacing w:after="0" w:line="240" w:lineRule="auto"/>
        <w:jc w:val="both"/>
        <w:rPr>
          <w:rFonts w:ascii="Times New Roman" w:hAnsi="Times New Roman"/>
          <w:sz w:val="24"/>
          <w:szCs w:val="24"/>
        </w:rPr>
      </w:pPr>
    </w:p>
    <w:p w:rsidR="00485460" w:rsidRDefault="00485460" w:rsidP="00485460">
      <w:pPr>
        <w:widowControl w:val="0"/>
        <w:autoSpaceDE w:val="0"/>
        <w:autoSpaceDN w:val="0"/>
        <w:adjustRightInd w:val="0"/>
        <w:spacing w:after="0" w:line="240" w:lineRule="auto"/>
        <w:jc w:val="both"/>
        <w:rPr>
          <w:rFonts w:ascii="Times New Roman" w:hAnsi="Times New Roman"/>
          <w:sz w:val="24"/>
          <w:szCs w:val="24"/>
        </w:rPr>
      </w:pPr>
    </w:p>
    <w:p w:rsidR="00485460" w:rsidRDefault="00485460" w:rsidP="00485460">
      <w:pPr>
        <w:widowControl w:val="0"/>
        <w:autoSpaceDE w:val="0"/>
        <w:autoSpaceDN w:val="0"/>
        <w:adjustRightInd w:val="0"/>
        <w:spacing w:after="0" w:line="240" w:lineRule="auto"/>
        <w:jc w:val="both"/>
        <w:rPr>
          <w:rFonts w:ascii="Times New Roman" w:hAnsi="Times New Roman"/>
          <w:sz w:val="24"/>
          <w:szCs w:val="24"/>
        </w:rPr>
      </w:pPr>
    </w:p>
    <w:p w:rsidR="00485460" w:rsidRDefault="00485460" w:rsidP="00485460">
      <w:pPr>
        <w:widowControl w:val="0"/>
        <w:autoSpaceDE w:val="0"/>
        <w:autoSpaceDN w:val="0"/>
        <w:adjustRightInd w:val="0"/>
        <w:spacing w:after="0" w:line="240" w:lineRule="auto"/>
        <w:jc w:val="both"/>
        <w:rPr>
          <w:rFonts w:ascii="Times New Roman" w:hAnsi="Times New Roman"/>
          <w:sz w:val="24"/>
          <w:szCs w:val="24"/>
        </w:rPr>
      </w:pPr>
    </w:p>
    <w:sectPr w:rsidR="0048546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2E6798C"/>
    <w:multiLevelType w:val="singleLevel"/>
    <w:tmpl w:val="E51E4592"/>
    <w:lvl w:ilvl="0">
      <w:start w:val="4"/>
      <w:numFmt w:val="lowerLetter"/>
      <w:lvlText w:val="%1)"/>
      <w:legacy w:legacy="1" w:legacySpace="0" w:legacyIndent="360"/>
      <w:lvlJc w:val="left"/>
      <w:pPr>
        <w:ind w:left="0" w:firstLine="0"/>
      </w:pPr>
      <w:rPr>
        <w:rFonts w:ascii="Times New Roman" w:hAnsi="Times New Roman" w:cs="Times New Roman" w:hint="default"/>
      </w:rPr>
    </w:lvl>
  </w:abstractNum>
  <w:abstractNum w:abstractNumId="1" w15:restartNumberingAfterBreak="0">
    <w:nsid w:val="43347185"/>
    <w:multiLevelType w:val="hybridMultilevel"/>
    <w:tmpl w:val="9DE003E2"/>
    <w:lvl w:ilvl="0" w:tplc="4E06B418">
      <w:start w:val="1"/>
      <w:numFmt w:val="decimal"/>
      <w:lvlText w:val="%1."/>
      <w:lvlJc w:val="left"/>
      <w:pPr>
        <w:ind w:left="1080" w:hanging="360"/>
      </w:pPr>
      <w:rPr>
        <w:rFonts w:cs="Times New Roman"/>
        <w:b/>
      </w:rPr>
    </w:lvl>
    <w:lvl w:ilvl="1" w:tplc="041B0019">
      <w:start w:val="1"/>
      <w:numFmt w:val="lowerLetter"/>
      <w:lvlText w:val="%2."/>
      <w:lvlJc w:val="left"/>
      <w:pPr>
        <w:ind w:left="1800" w:hanging="360"/>
      </w:pPr>
      <w:rPr>
        <w:rFonts w:cs="Times New Roman"/>
      </w:rPr>
    </w:lvl>
    <w:lvl w:ilvl="2" w:tplc="041B001B">
      <w:start w:val="1"/>
      <w:numFmt w:val="lowerRoman"/>
      <w:lvlText w:val="%3."/>
      <w:lvlJc w:val="right"/>
      <w:pPr>
        <w:ind w:left="2520" w:hanging="180"/>
      </w:pPr>
      <w:rPr>
        <w:rFonts w:cs="Times New Roman"/>
      </w:rPr>
    </w:lvl>
    <w:lvl w:ilvl="3" w:tplc="041B000F">
      <w:start w:val="1"/>
      <w:numFmt w:val="decimal"/>
      <w:lvlText w:val="%4."/>
      <w:lvlJc w:val="left"/>
      <w:pPr>
        <w:ind w:left="3240" w:hanging="360"/>
      </w:pPr>
      <w:rPr>
        <w:rFonts w:cs="Times New Roman"/>
      </w:rPr>
    </w:lvl>
    <w:lvl w:ilvl="4" w:tplc="041B0019">
      <w:start w:val="1"/>
      <w:numFmt w:val="lowerLetter"/>
      <w:lvlText w:val="%5."/>
      <w:lvlJc w:val="left"/>
      <w:pPr>
        <w:ind w:left="3960" w:hanging="360"/>
      </w:pPr>
      <w:rPr>
        <w:rFonts w:cs="Times New Roman"/>
      </w:rPr>
    </w:lvl>
    <w:lvl w:ilvl="5" w:tplc="041B001B">
      <w:start w:val="1"/>
      <w:numFmt w:val="lowerRoman"/>
      <w:lvlText w:val="%6."/>
      <w:lvlJc w:val="right"/>
      <w:pPr>
        <w:ind w:left="4680" w:hanging="180"/>
      </w:pPr>
      <w:rPr>
        <w:rFonts w:cs="Times New Roman"/>
      </w:rPr>
    </w:lvl>
    <w:lvl w:ilvl="6" w:tplc="041B000F">
      <w:start w:val="1"/>
      <w:numFmt w:val="decimal"/>
      <w:lvlText w:val="%7."/>
      <w:lvlJc w:val="left"/>
      <w:pPr>
        <w:ind w:left="5400" w:hanging="360"/>
      </w:pPr>
      <w:rPr>
        <w:rFonts w:cs="Times New Roman"/>
      </w:rPr>
    </w:lvl>
    <w:lvl w:ilvl="7" w:tplc="041B0019">
      <w:start w:val="1"/>
      <w:numFmt w:val="lowerLetter"/>
      <w:lvlText w:val="%8."/>
      <w:lvlJc w:val="left"/>
      <w:pPr>
        <w:ind w:left="6120" w:hanging="360"/>
      </w:pPr>
      <w:rPr>
        <w:rFonts w:cs="Times New Roman"/>
      </w:rPr>
    </w:lvl>
    <w:lvl w:ilvl="8" w:tplc="041B001B">
      <w:start w:val="1"/>
      <w:numFmt w:val="lowerRoman"/>
      <w:lvlText w:val="%9."/>
      <w:lvlJc w:val="right"/>
      <w:pPr>
        <w:ind w:left="6840" w:hanging="180"/>
      </w:pPr>
      <w:rPr>
        <w:rFonts w:cs="Times New Roman"/>
      </w:rPr>
    </w:lvl>
  </w:abstractNum>
  <w:abstractNum w:abstractNumId="2" w15:restartNumberingAfterBreak="0">
    <w:nsid w:val="561953EC"/>
    <w:multiLevelType w:val="hybridMultilevel"/>
    <w:tmpl w:val="E628541E"/>
    <w:lvl w:ilvl="0" w:tplc="B370443A">
      <w:start w:val="1"/>
      <w:numFmt w:val="bullet"/>
      <w:lvlText w:val="-"/>
      <w:lvlJc w:val="left"/>
      <w:pPr>
        <w:ind w:left="720" w:hanging="360"/>
      </w:pPr>
      <w:rPr>
        <w:rFonts w:ascii="Times New Roman" w:eastAsiaTheme="minorEastAsia" w:hAnsi="Times New Roman" w:cs="Times New Roman" w:hint="default"/>
      </w:rPr>
    </w:lvl>
    <w:lvl w:ilvl="1" w:tplc="041B0003">
      <w:start w:val="1"/>
      <w:numFmt w:val="bullet"/>
      <w:lvlText w:val="o"/>
      <w:lvlJc w:val="left"/>
      <w:pPr>
        <w:ind w:left="1440" w:hanging="360"/>
      </w:pPr>
      <w:rPr>
        <w:rFonts w:ascii="Courier New" w:hAnsi="Courier New" w:cs="Times New Roman"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Times New Roman"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Times New Roman" w:hint="default"/>
      </w:rPr>
    </w:lvl>
    <w:lvl w:ilvl="8" w:tplc="041B0005">
      <w:start w:val="1"/>
      <w:numFmt w:val="bullet"/>
      <w:lvlText w:val=""/>
      <w:lvlJc w:val="left"/>
      <w:pPr>
        <w:ind w:left="6480" w:hanging="360"/>
      </w:pPr>
      <w:rPr>
        <w:rFonts w:ascii="Wingdings" w:hAnsi="Wingdings" w:hint="default"/>
      </w:rPr>
    </w:lvl>
  </w:abstractNum>
  <w:abstractNum w:abstractNumId="3" w15:restartNumberingAfterBreak="0">
    <w:nsid w:val="70B35474"/>
    <w:multiLevelType w:val="hybridMultilevel"/>
    <w:tmpl w:val="4E0CAF92"/>
    <w:lvl w:ilvl="0" w:tplc="45DEB334">
      <w:start w:val="1"/>
      <w:numFmt w:val="lowerLetter"/>
      <w:lvlText w:val="%1)"/>
      <w:lvlJc w:val="left"/>
      <w:pPr>
        <w:ind w:left="1800" w:hanging="360"/>
      </w:pPr>
      <w:rPr>
        <w:rFonts w:cs="Times New Roman"/>
      </w:rPr>
    </w:lvl>
    <w:lvl w:ilvl="1" w:tplc="041B0019">
      <w:start w:val="1"/>
      <w:numFmt w:val="lowerLetter"/>
      <w:lvlText w:val="%2."/>
      <w:lvlJc w:val="left"/>
      <w:pPr>
        <w:ind w:left="2520" w:hanging="360"/>
      </w:pPr>
      <w:rPr>
        <w:rFonts w:cs="Times New Roman"/>
      </w:rPr>
    </w:lvl>
    <w:lvl w:ilvl="2" w:tplc="041B001B">
      <w:start w:val="1"/>
      <w:numFmt w:val="lowerRoman"/>
      <w:lvlText w:val="%3."/>
      <w:lvlJc w:val="right"/>
      <w:pPr>
        <w:ind w:left="3240" w:hanging="180"/>
      </w:pPr>
      <w:rPr>
        <w:rFonts w:cs="Times New Roman"/>
      </w:rPr>
    </w:lvl>
    <w:lvl w:ilvl="3" w:tplc="041B000F">
      <w:start w:val="1"/>
      <w:numFmt w:val="decimal"/>
      <w:lvlText w:val="%4."/>
      <w:lvlJc w:val="left"/>
      <w:pPr>
        <w:ind w:left="3960" w:hanging="360"/>
      </w:pPr>
      <w:rPr>
        <w:rFonts w:cs="Times New Roman"/>
      </w:rPr>
    </w:lvl>
    <w:lvl w:ilvl="4" w:tplc="041B0019">
      <w:start w:val="1"/>
      <w:numFmt w:val="lowerLetter"/>
      <w:lvlText w:val="%5."/>
      <w:lvlJc w:val="left"/>
      <w:pPr>
        <w:ind w:left="4680" w:hanging="360"/>
      </w:pPr>
      <w:rPr>
        <w:rFonts w:cs="Times New Roman"/>
      </w:rPr>
    </w:lvl>
    <w:lvl w:ilvl="5" w:tplc="041B001B">
      <w:start w:val="1"/>
      <w:numFmt w:val="lowerRoman"/>
      <w:lvlText w:val="%6."/>
      <w:lvlJc w:val="right"/>
      <w:pPr>
        <w:ind w:left="5400" w:hanging="180"/>
      </w:pPr>
      <w:rPr>
        <w:rFonts w:cs="Times New Roman"/>
      </w:rPr>
    </w:lvl>
    <w:lvl w:ilvl="6" w:tplc="041B000F">
      <w:start w:val="1"/>
      <w:numFmt w:val="decimal"/>
      <w:lvlText w:val="%7."/>
      <w:lvlJc w:val="left"/>
      <w:pPr>
        <w:ind w:left="6120" w:hanging="360"/>
      </w:pPr>
      <w:rPr>
        <w:rFonts w:cs="Times New Roman"/>
      </w:rPr>
    </w:lvl>
    <w:lvl w:ilvl="7" w:tplc="041B0019">
      <w:start w:val="1"/>
      <w:numFmt w:val="lowerLetter"/>
      <w:lvlText w:val="%8."/>
      <w:lvlJc w:val="left"/>
      <w:pPr>
        <w:ind w:left="6840" w:hanging="360"/>
      </w:pPr>
      <w:rPr>
        <w:rFonts w:cs="Times New Roman"/>
      </w:rPr>
    </w:lvl>
    <w:lvl w:ilvl="8" w:tplc="041B001B">
      <w:start w:val="1"/>
      <w:numFmt w:val="lowerRoman"/>
      <w:lvlText w:val="%9."/>
      <w:lvlJc w:val="right"/>
      <w:pPr>
        <w:ind w:left="7560" w:hanging="180"/>
      </w:pPr>
      <w:rPr>
        <w:rFonts w:cs="Times New Roman"/>
      </w:rPr>
    </w:lvl>
  </w:abstractNum>
  <w:abstractNum w:abstractNumId="4" w15:restartNumberingAfterBreak="0">
    <w:nsid w:val="71B33B1C"/>
    <w:multiLevelType w:val="multilevel"/>
    <w:tmpl w:val="E2B0276E"/>
    <w:lvl w:ilvl="0">
      <w:start w:val="1"/>
      <w:numFmt w:val="decimal"/>
      <w:lvlText w:val="%1."/>
      <w:lvlJc w:val="left"/>
      <w:pPr>
        <w:ind w:left="720" w:hanging="360"/>
      </w:pPr>
      <w:rPr>
        <w:rFonts w:cs="Times New Roman"/>
      </w:rPr>
    </w:lvl>
    <w:lvl w:ilvl="1">
      <w:start w:val="1"/>
      <w:numFmt w:val="decimal"/>
      <w:isLgl/>
      <w:lvlText w:val="%1.%2."/>
      <w:lvlJc w:val="left"/>
      <w:pPr>
        <w:ind w:left="720" w:hanging="360"/>
      </w:pPr>
      <w:rPr>
        <w:rFonts w:cs="Times New Roman"/>
      </w:rPr>
    </w:lvl>
    <w:lvl w:ilvl="2">
      <w:start w:val="1"/>
      <w:numFmt w:val="decimal"/>
      <w:isLgl/>
      <w:lvlText w:val="%1.%2.%3."/>
      <w:lvlJc w:val="left"/>
      <w:pPr>
        <w:ind w:left="1080" w:hanging="720"/>
      </w:pPr>
      <w:rPr>
        <w:rFonts w:cs="Times New Roman"/>
      </w:rPr>
    </w:lvl>
    <w:lvl w:ilvl="3">
      <w:start w:val="1"/>
      <w:numFmt w:val="decimal"/>
      <w:isLgl/>
      <w:lvlText w:val="%1.%2.%3.%4."/>
      <w:lvlJc w:val="left"/>
      <w:pPr>
        <w:ind w:left="1080" w:hanging="720"/>
      </w:pPr>
      <w:rPr>
        <w:rFonts w:cs="Times New Roman"/>
      </w:rPr>
    </w:lvl>
    <w:lvl w:ilvl="4">
      <w:start w:val="1"/>
      <w:numFmt w:val="decimal"/>
      <w:isLgl/>
      <w:lvlText w:val="%1.%2.%3.%4.%5."/>
      <w:lvlJc w:val="left"/>
      <w:pPr>
        <w:ind w:left="1440" w:hanging="1080"/>
      </w:pPr>
      <w:rPr>
        <w:rFonts w:cs="Times New Roman"/>
      </w:rPr>
    </w:lvl>
    <w:lvl w:ilvl="5">
      <w:start w:val="1"/>
      <w:numFmt w:val="decimal"/>
      <w:isLgl/>
      <w:lvlText w:val="%1.%2.%3.%4.%5.%6."/>
      <w:lvlJc w:val="left"/>
      <w:pPr>
        <w:ind w:left="1440" w:hanging="1080"/>
      </w:pPr>
      <w:rPr>
        <w:rFonts w:cs="Times New Roman"/>
      </w:rPr>
    </w:lvl>
    <w:lvl w:ilvl="6">
      <w:start w:val="1"/>
      <w:numFmt w:val="decimal"/>
      <w:isLgl/>
      <w:lvlText w:val="%1.%2.%3.%4.%5.%6.%7."/>
      <w:lvlJc w:val="left"/>
      <w:pPr>
        <w:ind w:left="1800" w:hanging="1440"/>
      </w:pPr>
      <w:rPr>
        <w:rFonts w:cs="Times New Roman"/>
      </w:rPr>
    </w:lvl>
    <w:lvl w:ilvl="7">
      <w:start w:val="1"/>
      <w:numFmt w:val="decimal"/>
      <w:isLgl/>
      <w:lvlText w:val="%1.%2.%3.%4.%5.%6.%7.%8."/>
      <w:lvlJc w:val="left"/>
      <w:pPr>
        <w:ind w:left="1800" w:hanging="1440"/>
      </w:pPr>
      <w:rPr>
        <w:rFonts w:cs="Times New Roman"/>
      </w:rPr>
    </w:lvl>
    <w:lvl w:ilvl="8">
      <w:start w:val="1"/>
      <w:numFmt w:val="decimal"/>
      <w:isLgl/>
      <w:lvlText w:val="%1.%2.%3.%4.%5.%6.%7.%8.%9."/>
      <w:lvlJc w:val="left"/>
      <w:pPr>
        <w:ind w:left="2160" w:hanging="1800"/>
      </w:pPr>
      <w:rPr>
        <w:rFonts w:cs="Times New Roman"/>
      </w:rPr>
    </w:lvl>
  </w:abstractNum>
  <w:abstractNum w:abstractNumId="5" w15:restartNumberingAfterBreak="0">
    <w:nsid w:val="7C646B5F"/>
    <w:multiLevelType w:val="hybridMultilevel"/>
    <w:tmpl w:val="A1C6A454"/>
    <w:lvl w:ilvl="0" w:tplc="041B0017">
      <w:start w:val="18"/>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6" w15:restartNumberingAfterBreak="0">
    <w:nsid w:val="7D266D2C"/>
    <w:multiLevelType w:val="hybridMultilevel"/>
    <w:tmpl w:val="23C21432"/>
    <w:lvl w:ilvl="0" w:tplc="5DFE6E12">
      <w:start w:val="1"/>
      <w:numFmt w:val="lowerLetter"/>
      <w:lvlText w:val="%1)"/>
      <w:lvlJc w:val="left"/>
      <w:pPr>
        <w:ind w:left="752" w:hanging="360"/>
      </w:pPr>
      <w:rPr>
        <w:rFonts w:cs="Times New Roman"/>
        <w:sz w:val="24"/>
      </w:rPr>
    </w:lvl>
    <w:lvl w:ilvl="1" w:tplc="041B0019">
      <w:start w:val="1"/>
      <w:numFmt w:val="lowerLetter"/>
      <w:lvlText w:val="%2."/>
      <w:lvlJc w:val="left"/>
      <w:pPr>
        <w:ind w:left="1472" w:hanging="360"/>
      </w:pPr>
      <w:rPr>
        <w:rFonts w:cs="Times New Roman"/>
      </w:rPr>
    </w:lvl>
    <w:lvl w:ilvl="2" w:tplc="041B001B">
      <w:start w:val="1"/>
      <w:numFmt w:val="lowerRoman"/>
      <w:lvlText w:val="%3."/>
      <w:lvlJc w:val="right"/>
      <w:pPr>
        <w:ind w:left="2192" w:hanging="180"/>
      </w:pPr>
      <w:rPr>
        <w:rFonts w:cs="Times New Roman"/>
      </w:rPr>
    </w:lvl>
    <w:lvl w:ilvl="3" w:tplc="041B000F">
      <w:start w:val="1"/>
      <w:numFmt w:val="decimal"/>
      <w:lvlText w:val="%4."/>
      <w:lvlJc w:val="left"/>
      <w:pPr>
        <w:ind w:left="2912" w:hanging="360"/>
      </w:pPr>
      <w:rPr>
        <w:rFonts w:cs="Times New Roman"/>
      </w:rPr>
    </w:lvl>
    <w:lvl w:ilvl="4" w:tplc="041B0019">
      <w:start w:val="1"/>
      <w:numFmt w:val="lowerLetter"/>
      <w:lvlText w:val="%5."/>
      <w:lvlJc w:val="left"/>
      <w:pPr>
        <w:ind w:left="3632" w:hanging="360"/>
      </w:pPr>
      <w:rPr>
        <w:rFonts w:cs="Times New Roman"/>
      </w:rPr>
    </w:lvl>
    <w:lvl w:ilvl="5" w:tplc="041B001B">
      <w:start w:val="1"/>
      <w:numFmt w:val="lowerRoman"/>
      <w:lvlText w:val="%6."/>
      <w:lvlJc w:val="right"/>
      <w:pPr>
        <w:ind w:left="4352" w:hanging="180"/>
      </w:pPr>
      <w:rPr>
        <w:rFonts w:cs="Times New Roman"/>
      </w:rPr>
    </w:lvl>
    <w:lvl w:ilvl="6" w:tplc="041B000F">
      <w:start w:val="1"/>
      <w:numFmt w:val="decimal"/>
      <w:lvlText w:val="%7."/>
      <w:lvlJc w:val="left"/>
      <w:pPr>
        <w:ind w:left="5072" w:hanging="360"/>
      </w:pPr>
      <w:rPr>
        <w:rFonts w:cs="Times New Roman"/>
      </w:rPr>
    </w:lvl>
    <w:lvl w:ilvl="7" w:tplc="041B0019">
      <w:start w:val="1"/>
      <w:numFmt w:val="lowerLetter"/>
      <w:lvlText w:val="%8."/>
      <w:lvlJc w:val="left"/>
      <w:pPr>
        <w:ind w:left="5792" w:hanging="360"/>
      </w:pPr>
      <w:rPr>
        <w:rFonts w:cs="Times New Roman"/>
      </w:rPr>
    </w:lvl>
    <w:lvl w:ilvl="8" w:tplc="041B001B">
      <w:start w:val="1"/>
      <w:numFmt w:val="lowerRoman"/>
      <w:lvlText w:val="%9."/>
      <w:lvlJc w:val="right"/>
      <w:pPr>
        <w:ind w:left="6512" w:hanging="180"/>
      </w:pPr>
      <w:rPr>
        <w:rFonts w:cs="Times New Roman"/>
      </w:r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4"/>
    </w:lvlOverride>
  </w:num>
  <w:num w:numId="6">
    <w:abstractNumId w:val="2"/>
  </w:num>
  <w:num w:numId="7">
    <w:abstractNumId w:val="5"/>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5460"/>
    <w:rsid w:val="002E6F59"/>
    <w:rsid w:val="003148D4"/>
    <w:rsid w:val="00393580"/>
    <w:rsid w:val="003A262B"/>
    <w:rsid w:val="00485460"/>
    <w:rsid w:val="005A3CC9"/>
    <w:rsid w:val="0066143A"/>
    <w:rsid w:val="00843EDE"/>
    <w:rsid w:val="009327E2"/>
    <w:rsid w:val="00C36DC4"/>
    <w:rsid w:val="00C55B6A"/>
    <w:rsid w:val="00D6127E"/>
    <w:rsid w:val="00F978C0"/>
    <w:rsid w:val="00FD38D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7B162AD-639A-4A91-9668-E1E51B0BCE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85460"/>
    <w:pPr>
      <w:spacing w:after="200" w:line="276" w:lineRule="auto"/>
    </w:pPr>
    <w:rPr>
      <w:rFonts w:eastAsiaTheme="minorEastAsia" w:cs="Times New Roman"/>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59"/>
    <w:rsid w:val="00485460"/>
    <w:pPr>
      <w:spacing w:after="0" w:line="240" w:lineRule="auto"/>
    </w:pPr>
    <w:rPr>
      <w:rFonts w:eastAsiaTheme="minorEastAsia" w:cs="Times New Roman"/>
      <w:lang w:eastAsia="sk-SK"/>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393580"/>
    <w:pPr>
      <w:ind w:left="720"/>
      <w:contextualSpacing/>
    </w:pPr>
  </w:style>
  <w:style w:type="paragraph" w:styleId="Textbubliny">
    <w:name w:val="Balloon Text"/>
    <w:basedOn w:val="Normlny"/>
    <w:link w:val="TextbublinyChar"/>
    <w:uiPriority w:val="99"/>
    <w:semiHidden/>
    <w:unhideWhenUsed/>
    <w:rsid w:val="005A3CC9"/>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5A3CC9"/>
    <w:rPr>
      <w:rFonts w:ascii="Segoe UI" w:eastAsiaTheme="minorEastAsia" w:hAnsi="Segoe UI" w:cs="Segoe UI"/>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58526096">
      <w:bodyDiv w:val="1"/>
      <w:marLeft w:val="0"/>
      <w:marRight w:val="0"/>
      <w:marTop w:val="0"/>
      <w:marBottom w:val="0"/>
      <w:divBdr>
        <w:top w:val="none" w:sz="0" w:space="0" w:color="auto"/>
        <w:left w:val="none" w:sz="0" w:space="0" w:color="auto"/>
        <w:bottom w:val="none" w:sz="0" w:space="0" w:color="auto"/>
        <w:right w:val="none" w:sz="0" w:space="0" w:color="auto"/>
      </w:divBdr>
    </w:div>
    <w:div w:id="16576068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TotalTime>
  <Pages>5</Pages>
  <Words>1497</Words>
  <Characters>8535</Characters>
  <Application>Microsoft Office Word</Application>
  <DocSecurity>0</DocSecurity>
  <Lines>71</Lines>
  <Paragraphs>20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10012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VÝROSTEKOVÁ Marta</dc:creator>
  <cp:keywords/>
  <dc:description/>
  <cp:lastModifiedBy>VÝROSTEKOVÁ Marta</cp:lastModifiedBy>
  <cp:revision>5</cp:revision>
  <cp:lastPrinted>2017-06-20T13:35:00Z</cp:lastPrinted>
  <dcterms:created xsi:type="dcterms:W3CDTF">2017-06-18T20:05:00Z</dcterms:created>
  <dcterms:modified xsi:type="dcterms:W3CDTF">2017-06-20T13:38:00Z</dcterms:modified>
</cp:coreProperties>
</file>