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 w:val="14"/>
          <w:szCs w:val="14"/>
          <w:rFonts w:ascii="Calibri" w:hAnsi="Calibri" w:eastAsia="Calibri" w:cs="" w:asciiTheme="minorHAnsi" w:cstheme="minorBidi" w:eastAsiaTheme="minorHAnsi" w:hAnsiTheme="minorHAnsi"/>
          <w:color w:val="00000A"/>
          <w:lang w:val="en-US" w:eastAsia="en-US" w:bidi="ar-SA"/>
        </w:rPr>
      </w:pPr>
      <w:r>
        <w:rPr>
          <w:rFonts w:eastAsia="Calibri" w:cs="" w:cstheme="minorBidi" w:eastAsiaTheme="minorHAnsi"/>
          <w:color w:val="00000A"/>
          <w:sz w:val="14"/>
          <w:szCs w:val="14"/>
          <w:lang w:val="en-US" w:eastAsia="en-US" w:bidi="ar-SA"/>
        </w:rPr>
      </w:r>
      <w:r/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</w:pPr>
      <w:r>
        <w:rPr>
          <w:rFonts w:ascii="Arial Narrow" w:hAnsi="Arial Narrow"/>
          <w:b/>
        </w:rPr>
        <w:t>Poznámky k mikro účtovnej závierke za rok 2016</w:t>
      </w:r>
      <w:r/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  <w:r/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  <w:r/>
    </w:p>
    <w:p>
      <w:pPr>
        <w:pStyle w:val="Normal"/>
        <w:spacing w:lineRule="exact" w:line="240" w:before="7" w:after="0"/>
        <w:jc w:val="both"/>
        <w:rPr>
          <w:sz w:val="22"/>
          <w:sz w:val="22"/>
          <w:szCs w:val="22"/>
          <w:rFonts w:ascii="Arial" w:hAnsi="Arial" w:eastAsia="Calibri" w:cs="Arial" w:eastAsiaTheme="minorHAnsi"/>
          <w:color w:val="00000A"/>
          <w:lang w:val="en-US" w:eastAsia="en-US" w:bidi="ar-SA"/>
        </w:rPr>
      </w:pPr>
      <w:r>
        <w:rPr>
          <w:rFonts w:eastAsia="Calibri" w:cs="Arial" w:eastAsiaTheme="minorHAnsi" w:ascii="Arial" w:hAnsi="Arial"/>
          <w:color w:val="00000A"/>
          <w:sz w:val="22"/>
          <w:szCs w:val="22"/>
          <w:lang w:val="en-US" w:eastAsia="en-US" w:bidi="ar-SA"/>
        </w:rPr>
      </w:r>
      <w:r/>
    </w:p>
    <w:p>
      <w:pPr>
        <w:pStyle w:val="Nadpis1"/>
        <w:spacing w:before="69" w:after="0"/>
        <w:ind w:right="836" w:hanging="0"/>
        <w:jc w:val="center"/>
        <w:rPr>
          <w:sz w:val="22"/>
          <w:b w:val="false"/>
          <w:sz w:val="22"/>
          <w:b w:val="false"/>
          <w:szCs w:val="22"/>
          <w:bCs w:val="false"/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>Článok I</w:t>
      </w:r>
      <w:r/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  <w:r/>
    </w:p>
    <w:p>
      <w:pPr>
        <w:pStyle w:val="Normal"/>
        <w:spacing w:lineRule="exact" w:line="240" w:before="7" w:after="0"/>
        <w:jc w:val="both"/>
        <w:rPr>
          <w:sz w:val="22"/>
          <w:sz w:val="22"/>
          <w:szCs w:val="22"/>
          <w:rFonts w:ascii="Arial" w:hAnsi="Arial" w:eastAsia="Calibri" w:cs="Arial" w:eastAsiaTheme="minorHAnsi"/>
          <w:color w:val="00000A"/>
          <w:lang w:val="sk-SK" w:eastAsia="en-US" w:bidi="ar-SA"/>
        </w:rPr>
      </w:pPr>
      <w:r>
        <w:rPr>
          <w:rFonts w:eastAsia="Calibri" w:cs="Arial" w:eastAsiaTheme="minorHAnsi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808" w:leader="none"/>
        </w:tabs>
        <w:ind w:left="0" w:hanging="0"/>
        <w:rPr>
          <w:sz w:val="22"/>
          <w:sz w:val="22"/>
          <w:szCs w:val="22"/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  <w:r/>
    </w:p>
    <w:p>
      <w:pPr>
        <w:pStyle w:val="Normal"/>
        <w:spacing w:lineRule="exact" w:line="260"/>
        <w:jc w:val="both"/>
        <w:rPr>
          <w:sz w:val="22"/>
          <w:sz w:val="22"/>
          <w:szCs w:val="22"/>
          <w:rFonts w:ascii="Arial" w:hAnsi="Arial" w:eastAsia="Calibri" w:cs="Arial" w:eastAsiaTheme="minorHAnsi"/>
          <w:color w:val="00000A"/>
          <w:lang w:val="sk-SK" w:eastAsia="en-US" w:bidi="ar-SA"/>
        </w:rPr>
      </w:pPr>
      <w:r>
        <w:rPr>
          <w:rFonts w:eastAsia="Calibri" w:cs="Arial" w:eastAsiaTheme="minorHAnsi" w:ascii="Arial" w:hAnsi="Arial"/>
          <w:color w:val="00000A"/>
          <w:sz w:val="22"/>
          <w:szCs w:val="22"/>
          <w:lang w:val="sk-SK" w:eastAsia="en-US" w:bidi="ar-SA"/>
        </w:rPr>
      </w:r>
      <w:r/>
    </w:p>
    <w:tbl>
      <w:tblPr>
        <w:tblStyle w:val="Mriekatabuky"/>
        <w:tblW w:w="9687" w:type="dxa"/>
        <w:jc w:val="left"/>
        <w:tblInd w:w="-35" w:type="dxa"/>
        <w:tblBorders/>
        <w:tblCellMar>
          <w:top w:w="0" w:type="dxa"/>
          <w:left w:w="73" w:type="dxa"/>
          <w:bottom w:w="0" w:type="dxa"/>
          <w:right w:w="108" w:type="dxa"/>
        </w:tblCellMar>
      </w:tblPr>
      <w:tblGrid>
        <w:gridCol w:w="3084"/>
        <w:gridCol w:w="6602"/>
      </w:tblGrid>
      <w:tr>
        <w:trPr/>
        <w:tc>
          <w:tcPr>
            <w:tcW w:w="3084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  <w:r/>
          </w:p>
        </w:tc>
        <w:tc>
          <w:tcPr>
            <w:tcW w:w="6602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</w:pPr>
            <w:r>
              <w:rPr>
                <w:rFonts w:cs="Arial" w:ascii="Arial" w:hAnsi="Arial"/>
              </w:rPr>
              <w:t>KURNOT - MOTOR , s. r. o.</w:t>
            </w:r>
            <w:r/>
          </w:p>
        </w:tc>
      </w:tr>
      <w:tr>
        <w:trPr/>
        <w:tc>
          <w:tcPr>
            <w:tcW w:w="3084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  <w:r/>
          </w:p>
        </w:tc>
        <w:tc>
          <w:tcPr>
            <w:tcW w:w="6602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</w:pPr>
            <w:r>
              <w:rPr>
                <w:rFonts w:cs="Arial" w:ascii="Arial" w:hAnsi="Arial"/>
                <w:lang w:val="sk-SK"/>
              </w:rPr>
              <w:t>46 422 633</w:t>
            </w:r>
            <w:r/>
          </w:p>
        </w:tc>
      </w:tr>
      <w:tr>
        <w:trPr/>
        <w:tc>
          <w:tcPr>
            <w:tcW w:w="3084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  <w:r/>
          </w:p>
        </w:tc>
        <w:tc>
          <w:tcPr>
            <w:tcW w:w="6602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</w:pPr>
            <w:r>
              <w:rPr>
                <w:rFonts w:cs="Arial" w:ascii="Arial" w:hAnsi="Arial"/>
              </w:rPr>
              <w:t>Alejová 2, 040 11 Košice</w:t>
            </w:r>
            <w:r/>
          </w:p>
        </w:tc>
      </w:tr>
    </w:tbl>
    <w:p>
      <w:pPr>
        <w:pStyle w:val="Normal"/>
        <w:spacing w:lineRule="exact" w:line="260"/>
        <w:jc w:val="both"/>
        <w:rPr>
          <w:sz w:val="22"/>
          <w:sz w:val="22"/>
          <w:szCs w:val="22"/>
          <w:rFonts w:ascii="Arial" w:hAnsi="Arial" w:eastAsia="Calibri" w:cs="Arial" w:eastAsiaTheme="minorHAnsi"/>
          <w:color w:val="00000A"/>
          <w:lang w:val="sk-SK" w:eastAsia="en-US" w:bidi="ar-SA"/>
        </w:rPr>
      </w:pPr>
      <w:r>
        <w:rPr>
          <w:rFonts w:eastAsia="Calibri" w:cs="Arial" w:eastAsiaTheme="minorHAnsi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exact" w:line="260"/>
        <w:jc w:val="both"/>
        <w:rPr>
          <w:sz w:val="22"/>
          <w:sz w:val="22"/>
          <w:szCs w:val="22"/>
          <w:rFonts w:ascii="Arial" w:hAnsi="Arial" w:eastAsia="Calibri" w:cs="Arial" w:eastAsiaTheme="minorHAnsi"/>
          <w:color w:val="00000A"/>
          <w:lang w:val="sk-SK" w:eastAsia="en-US" w:bidi="ar-SA"/>
        </w:rPr>
      </w:pPr>
      <w:r>
        <w:rPr>
          <w:rFonts w:eastAsia="Calibri" w:cs="Arial" w:eastAsiaTheme="minorHAnsi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808" w:leader="none"/>
        </w:tabs>
        <w:ind w:left="0" w:hanging="0"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  <w:r/>
    </w:p>
    <w:p>
      <w:pPr>
        <w:pStyle w:val="Telotextu"/>
        <w:tabs>
          <w:tab w:val="left" w:pos="808" w:leader="none"/>
        </w:tabs>
        <w:ind w:left="0" w:hanging="0"/>
      </w:pPr>
      <w:r>
        <w:rPr>
          <w:rFonts w:cs="Arial" w:ascii="Arial" w:hAnsi="Arial"/>
          <w:spacing w:val="-5"/>
          <w:sz w:val="22"/>
          <w:szCs w:val="22"/>
        </w:rPr>
        <w:t xml:space="preserve">    </w:t>
      </w:r>
      <w:r>
        <w:rPr>
          <w:rFonts w:cs="Arial" w:ascii="Arial" w:hAnsi="Arial"/>
          <w:spacing w:val="-5"/>
          <w:sz w:val="22"/>
          <w:szCs w:val="22"/>
        </w:rPr>
        <w:t xml:space="preserve">Bez náplne </w:t>
      </w:r>
      <w:r/>
    </w:p>
    <w:p>
      <w:pPr>
        <w:pStyle w:val="Telotextu"/>
        <w:tabs>
          <w:tab w:val="left" w:pos="808" w:leader="none"/>
        </w:tabs>
        <w:ind w:left="0" w:hanging="0"/>
        <w:rPr>
          <w:sz w:val="22"/>
          <w:spacing w:val="-5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pacing w:val="-5"/>
          <w:sz w:val="22"/>
          <w:szCs w:val="22"/>
          <w:lang w:val="sk-SK" w:eastAsia="en-US" w:bidi="ar-SA"/>
        </w:rPr>
      </w:r>
      <w:r/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  <w:r/>
    </w:p>
    <w:p>
      <w:pPr>
        <w:pStyle w:val="Normal"/>
        <w:spacing w:lineRule="exact" w:line="260"/>
        <w:jc w:val="both"/>
        <w:rPr>
          <w:sz w:val="22"/>
          <w:sz w:val="22"/>
          <w:szCs w:val="22"/>
          <w:rFonts w:ascii="Arial" w:hAnsi="Arial" w:eastAsia="Calibri" w:cs="Arial" w:eastAsiaTheme="minorHAnsi"/>
          <w:color w:val="00000A"/>
          <w:lang w:val="sk-SK" w:eastAsia="en-US" w:bidi="ar-SA"/>
        </w:rPr>
      </w:pPr>
      <w:r>
        <w:rPr>
          <w:rFonts w:eastAsia="Calibri" w:cs="Arial" w:eastAsiaTheme="minorHAnsi" w:ascii="Arial" w:hAnsi="Arial"/>
          <w:color w:val="00000A"/>
          <w:sz w:val="22"/>
          <w:szCs w:val="22"/>
          <w:lang w:val="sk-SK" w:eastAsia="en-US" w:bidi="ar-SA"/>
        </w:rPr>
      </w:r>
      <w:r/>
    </w:p>
    <w:tbl>
      <w:tblPr>
        <w:tblStyle w:val="Mriekatabuky"/>
        <w:tblW w:w="9687" w:type="dxa"/>
        <w:jc w:val="left"/>
        <w:tblInd w:w="-35" w:type="dxa"/>
        <w:tblBorders/>
        <w:tblCellMar>
          <w:top w:w="0" w:type="dxa"/>
          <w:left w:w="73" w:type="dxa"/>
          <w:bottom w:w="0" w:type="dxa"/>
          <w:right w:w="108" w:type="dxa"/>
        </w:tblCellMar>
      </w:tblPr>
      <w:tblGrid>
        <w:gridCol w:w="4210"/>
        <w:gridCol w:w="2126"/>
        <w:gridCol w:w="3351"/>
      </w:tblGrid>
      <w:tr>
        <w:trPr/>
        <w:tc>
          <w:tcPr>
            <w:tcW w:w="4210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center"/>
              <w:rPr>
                <w:b/>
                <w:b/>
                <w:rFonts w:ascii="Arial" w:hAnsi="Arial" w:cs="Arial"/>
              </w:rPr>
            </w:pPr>
            <w:r>
              <w:rPr>
                <w:rFonts w:cs="Arial" w:ascii="Arial" w:hAnsi="Arial"/>
                <w:b/>
              </w:rPr>
              <w:t>Názov</w:t>
            </w:r>
            <w:r/>
          </w:p>
        </w:tc>
        <w:tc>
          <w:tcPr>
            <w:tcW w:w="212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center"/>
              <w:rPr>
                <w:b/>
                <w:b/>
                <w:rFonts w:ascii="Arial" w:hAnsi="Arial" w:cs="Arial"/>
              </w:rPr>
            </w:pPr>
            <w:r>
              <w:rPr>
                <w:rFonts w:cs="Arial" w:ascii="Arial" w:hAnsi="Arial"/>
                <w:b/>
              </w:rPr>
              <w:t>Bežné účtovné</w:t>
            </w:r>
            <w:r/>
          </w:p>
          <w:p>
            <w:pPr>
              <w:pStyle w:val="Normal"/>
              <w:spacing w:lineRule="exact" w:line="260"/>
              <w:jc w:val="center"/>
              <w:rPr>
                <w:b/>
                <w:b/>
                <w:rFonts w:ascii="Arial" w:hAnsi="Arial" w:cs="Arial"/>
              </w:rPr>
            </w:pPr>
            <w:r>
              <w:rPr>
                <w:rFonts w:cs="Arial" w:ascii="Arial" w:hAnsi="Arial"/>
                <w:b/>
              </w:rPr>
              <w:t>obdobie</w:t>
            </w:r>
            <w:r/>
          </w:p>
        </w:tc>
        <w:tc>
          <w:tcPr>
            <w:tcW w:w="3351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center"/>
              <w:rPr>
                <w:b/>
                <w:b/>
                <w:rFonts w:ascii="Arial" w:hAnsi="Arial" w:cs="Arial"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  <w:r/>
          </w:p>
        </w:tc>
      </w:tr>
      <w:tr>
        <w:trPr/>
        <w:tc>
          <w:tcPr>
            <w:tcW w:w="4210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  <w:r/>
          </w:p>
        </w:tc>
        <w:tc>
          <w:tcPr>
            <w:tcW w:w="212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>
                <w:sz w:val="22"/>
                <w:sz w:val="22"/>
                <w:szCs w:val="22"/>
                <w:rFonts w:ascii="Arial" w:hAnsi="Arial" w:eastAsia="Calibri" w:cs="Arial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Arial" w:eastAsiaTheme="minorHAnsi" w:ascii="Arial" w:hAnsi="Arial"/>
                <w:color w:val="00000A"/>
                <w:sz w:val="22"/>
                <w:szCs w:val="22"/>
                <w:lang w:val="sk-SK" w:eastAsia="en-US" w:bidi="ar-SA"/>
              </w:rPr>
            </w:r>
            <w:r/>
          </w:p>
        </w:tc>
        <w:tc>
          <w:tcPr>
            <w:tcW w:w="3351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>
                <w:sz w:val="22"/>
                <w:sz w:val="22"/>
                <w:szCs w:val="22"/>
                <w:rFonts w:ascii="Arial" w:hAnsi="Arial" w:eastAsia="Calibri" w:cs="Arial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Arial" w:eastAsiaTheme="minorHAnsi" w:ascii="Arial" w:hAnsi="Arial"/>
                <w:color w:val="00000A"/>
                <w:sz w:val="22"/>
                <w:szCs w:val="22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exact" w:line="260"/>
        <w:jc w:val="both"/>
      </w:pPr>
      <w:r>
        <w:rPr>
          <w:rFonts w:eastAsia="Calibri" w:cs="Arial" w:ascii="Arial" w:hAnsi="Arial" w:eastAsiaTheme="minorHAnsi"/>
          <w:color w:val="00000A"/>
          <w:sz w:val="22"/>
          <w:szCs w:val="22"/>
          <w:lang w:val="sk-SK" w:eastAsia="en-US" w:bidi="ar-SA"/>
        </w:rPr>
        <w:t>Spoločnosť  neeviduje kmeňových zamestnancov . Hospodársku korešpodenciu a zákazky v priebehu roka zabezpečuje konateľ a spoločník.</w:t>
      </w:r>
      <w:r/>
    </w:p>
    <w:p>
      <w:pPr>
        <w:pStyle w:val="Nadpis1"/>
        <w:ind w:right="839" w:hanging="0"/>
        <w:jc w:val="center"/>
        <w:rPr>
          <w:sz w:val="22"/>
          <w:b w:val="false"/>
          <w:sz w:val="22"/>
          <w:b w:val="false"/>
          <w:szCs w:val="22"/>
          <w:bCs w:val="false"/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>Článok II</w:t>
      </w:r>
      <w:r/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  <w:r/>
    </w:p>
    <w:p>
      <w:pPr>
        <w:pStyle w:val="Normal"/>
        <w:spacing w:lineRule="exact" w:line="260" w:before="11" w:after="0"/>
        <w:jc w:val="both"/>
        <w:rPr>
          <w:sz w:val="22"/>
          <w:sz w:val="22"/>
          <w:szCs w:val="22"/>
          <w:rFonts w:ascii="Arial" w:hAnsi="Arial" w:eastAsia="Calibri" w:cs="Arial" w:eastAsiaTheme="minorHAnsi"/>
          <w:color w:val="00000A"/>
          <w:lang w:val="sk-SK" w:eastAsia="en-US" w:bidi="ar-SA"/>
        </w:rPr>
      </w:pPr>
      <w:r>
        <w:rPr>
          <w:rFonts w:eastAsia="Calibri" w:cs="Arial" w:eastAsiaTheme="minorHAnsi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808" w:leader="none"/>
        </w:tabs>
        <w:ind w:left="0" w:hanging="0"/>
        <w:jc w:val="both"/>
      </w:pPr>
      <w:r>
        <w:rPr>
          <w:rFonts w:cs="Arial" w:ascii="Arial" w:hAnsi="Arial"/>
          <w:spacing w:val="-4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</w:rPr>
        <w:t>Účtovná závierka spoločnosti  k 31 decembru 2016 je zostavená ako riadna účtovná závierka podľa § 17 odst. 6 zákona č. 431/2002 Z. z. o účtovníctve v znení neskorších predpisov , a to za účtovné obdobie od 1 januára do 31 decembra 2016. Účtovná závierka bola zostavená za predpokladu nepretržitého  trvania spoločnosti.</w:t>
      </w:r>
      <w:r/>
    </w:p>
    <w:p>
      <w:pPr>
        <w:pStyle w:val="Telotextu"/>
        <w:tabs>
          <w:tab w:val="left" w:pos="808" w:leader="none"/>
        </w:tabs>
        <w:ind w:left="0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808" w:leader="none"/>
        </w:tabs>
        <w:ind w:left="0" w:hanging="0"/>
        <w:jc w:val="both"/>
        <w:rPr>
          <w:sz w:val="22"/>
          <w:sz w:val="22"/>
          <w:szCs w:val="22"/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  <w:r/>
    </w:p>
    <w:p>
      <w:pPr>
        <w:pStyle w:val="Telotextu"/>
        <w:tabs>
          <w:tab w:val="left" w:pos="808" w:leader="none"/>
        </w:tabs>
        <w:ind w:left="0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tbl>
      <w:tblPr>
        <w:tblStyle w:val="Mriekatabuky"/>
        <w:tblW w:w="9687" w:type="dxa"/>
        <w:jc w:val="left"/>
        <w:tblInd w:w="-35" w:type="dxa"/>
        <w:tblBorders/>
        <w:tblCellMar>
          <w:top w:w="0" w:type="dxa"/>
          <w:left w:w="73" w:type="dxa"/>
          <w:bottom w:w="0" w:type="dxa"/>
          <w:right w:w="108" w:type="dxa"/>
        </w:tblCellMar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center"/>
              <w:rPr>
                <w:sz w:val="22"/>
                <w:b/>
                <w:sz w:val="22"/>
                <w:b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center"/>
              <w:rPr>
                <w:sz w:val="22"/>
                <w:b/>
                <w:sz w:val="22"/>
                <w:b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  <w:r/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  <w:r/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  <w:r/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  <w:r/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  <w:r/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  <w:r/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  <w:r/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  <w:r/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  <w:r/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  <w:r/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  <w:r/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  <w:r/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  <w:r/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elotextu"/>
              <w:tabs>
                <w:tab w:val="left" w:pos="808" w:leader="none"/>
              </w:tabs>
              <w:spacing w:before="0" w:after="140"/>
              <w:ind w:left="0" w:hanging="0"/>
              <w:jc w:val="both"/>
              <w:rPr>
                <w:sz w:val="22"/>
                <w:sz w:val="22"/>
                <w:szCs w:val="22"/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  <w:r/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808" w:leader="none"/>
        </w:tabs>
        <w:ind w:left="0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808" w:leader="none"/>
        </w:tabs>
        <w:ind w:left="0" w:hanging="0"/>
        <w:jc w:val="both"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rovnomerné odpisovanie motorových vozidiel podľa zákona .</w:t>
      </w:r>
      <w:r/>
    </w:p>
    <w:p>
      <w:pPr>
        <w:pStyle w:val="Telotextu"/>
        <w:tabs>
          <w:tab w:val="left" w:pos="808" w:leader="none"/>
        </w:tabs>
        <w:ind w:left="0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808" w:leader="none"/>
        </w:tabs>
        <w:ind w:left="0" w:hanging="0"/>
        <w:jc w:val="both"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Účtovné metódy  a všeobecné  zásady boli počas účtovného obdobia dodržané. </w:t>
      </w:r>
      <w:r/>
    </w:p>
    <w:p>
      <w:pPr>
        <w:pStyle w:val="Telotextu"/>
        <w:tabs>
          <w:tab w:val="left" w:pos="808" w:leader="none"/>
        </w:tabs>
        <w:ind w:left="0" w:hanging="0"/>
        <w:jc w:val="both"/>
        <w:rPr>
          <w:sz w:val="22"/>
          <w:spacing w:val="-5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pacing w:val="-5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808" w:leader="none"/>
        </w:tabs>
        <w:ind w:left="0" w:hanging="0"/>
        <w:jc w:val="both"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  <w:r/>
    </w:p>
    <w:p>
      <w:pPr>
        <w:pStyle w:val="Telotextu"/>
        <w:tabs>
          <w:tab w:val="left" w:pos="808" w:leader="none"/>
        </w:tabs>
        <w:ind w:left="0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808" w:leader="none"/>
        </w:tabs>
        <w:ind w:left="0" w:hanging="0"/>
        <w:jc w:val="both"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  <w:r/>
    </w:p>
    <w:p>
      <w:pPr>
        <w:pStyle w:val="Normal"/>
        <w:spacing w:lineRule="exact" w:line="280" w:before="1" w:after="0"/>
        <w:jc w:val="both"/>
        <w:rPr>
          <w:sz w:val="22"/>
          <w:sz w:val="22"/>
          <w:szCs w:val="22"/>
          <w:rFonts w:ascii="Arial" w:hAnsi="Arial" w:eastAsia="Calibri" w:cs="Arial" w:eastAsiaTheme="minorHAnsi"/>
          <w:color w:val="00000A"/>
          <w:lang w:val="sk-SK" w:eastAsia="en-US" w:bidi="ar-SA"/>
        </w:rPr>
      </w:pPr>
      <w:r>
        <w:rPr>
          <w:rFonts w:eastAsia="Calibri" w:cs="Arial" w:eastAsiaTheme="minorHAnsi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Nadpis1"/>
        <w:ind w:right="157" w:hanging="0"/>
        <w:jc w:val="center"/>
        <w:rPr>
          <w:sz w:val="22"/>
          <w:b w:val="false"/>
          <w:sz w:val="22"/>
          <w:b w:val="false"/>
          <w:szCs w:val="22"/>
          <w:bCs w:val="false"/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>Článok III</w:t>
      </w:r>
      <w:r/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  <w:r/>
    </w:p>
    <w:p>
      <w:pPr>
        <w:pStyle w:val="Normal"/>
        <w:spacing w:lineRule="exact" w:line="260" w:before="11" w:after="0"/>
        <w:jc w:val="both"/>
        <w:rPr>
          <w:sz w:val="22"/>
          <w:sz w:val="22"/>
          <w:szCs w:val="22"/>
          <w:rFonts w:ascii="Arial" w:hAnsi="Arial" w:eastAsia="Calibri" w:cs="Arial" w:eastAsiaTheme="minorHAnsi"/>
          <w:color w:val="00000A"/>
          <w:lang w:val="sk-SK" w:eastAsia="en-US" w:bidi="ar-SA"/>
        </w:rPr>
      </w:pPr>
      <w:r>
        <w:rPr>
          <w:rFonts w:eastAsia="Calibri" w:cs="Arial" w:eastAsiaTheme="minorHAnsi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Bez náplne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pacing w:val="-4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pacing w:val="-4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  <w:r>
        <w:rPr>
          <w:rFonts w:cs="Arial" w:ascii="Arial" w:hAnsi="Arial"/>
          <w:sz w:val="22"/>
          <w:szCs w:val="22"/>
        </w:rPr>
        <w:t>pôžička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</w:pP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o výške 119.710,- Eur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cs="Arial"/>
        </w:rPr>
      </w:pPr>
      <w:r>
        <w:rPr/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  <w:r>
        <w:rPr>
          <w:rFonts w:cs="Arial" w:ascii="Arial" w:hAnsi="Arial"/>
          <w:sz w:val="22"/>
          <w:szCs w:val="22"/>
        </w:rPr>
        <w:t>bez náplne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Bez náplne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 Bez náplne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pacing w:val="-5"/>
          <w:sz w:val="22"/>
          <w:szCs w:val="22"/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pacing w:val="-5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pacing w:val="-5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cs="Arial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 Bez náplne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pacing w:val="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pacing w:val="2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pacing w:val="-8"/>
          <w:sz w:val="22"/>
          <w:szCs w:val="22"/>
          <w:rFonts w:ascii="Arial" w:hAnsi="Arial" w:cs="Arial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pacing w:val="-8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pacing w:val="-8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cs="Arial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cs="Arial"/>
        </w:rPr>
      </w:pPr>
      <w:bookmarkStart w:id="0" w:name="_GoBack"/>
      <w:bookmarkEnd w:id="0"/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sz w:val="22"/>
          <w:sz w:val="22"/>
          <w:szCs w:val="22"/>
          <w:rFonts w:ascii="Arial" w:hAnsi="Arial" w:eastAsia="Times New Roman" w:cs="Arial"/>
          <w:color w:val="00000A"/>
          <w:lang w:val="sk-SK" w:eastAsia="en-US" w:bidi="ar-SA"/>
        </w:rPr>
      </w:pPr>
      <w:r>
        <w:rPr>
          <w:rFonts w:eastAsia="Times New Roman" w:cs="Arial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Telotextu"/>
        <w:tabs>
          <w:tab w:val="left" w:pos="668" w:leader="none"/>
        </w:tabs>
        <w:ind w:left="101" w:right="116" w:hanging="0"/>
        <w:jc w:val="both"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Bez náplne</w:t>
      </w:r>
      <w:r/>
    </w:p>
    <w:p>
      <w:pPr>
        <w:pStyle w:val="Telotextu"/>
        <w:tabs>
          <w:tab w:val="left" w:pos="668" w:leader="none"/>
        </w:tabs>
        <w:spacing w:before="0" w:after="140"/>
        <w:ind w:left="101" w:right="116" w:hanging="0"/>
        <w:jc w:val="both"/>
        <w:rPr>
          <w:sz w:val="24"/>
          <w:sz w:val="24"/>
          <w:szCs w:val="24"/>
          <w:rFonts w:ascii="Times New Roman" w:hAnsi="Times New Roman" w:eastAsia="Times New Roman" w:cs="" w:cstheme="minorBidi"/>
          <w:color w:val="00000A"/>
          <w:lang w:val="sk-SK" w:eastAsia="en-US" w:bidi="ar-SA"/>
        </w:rPr>
      </w:pPr>
      <w:r>
        <w:rPr/>
      </w:r>
      <w:r/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 Narrow">
    <w:charset w:val="00"/>
    <w:family w:val="roman"/>
    <w:pitch w:val="variable"/>
  </w:font>
  <w:font w:name="Arial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 w:val="20"/>
        <w:szCs w:val="20"/>
        <w:rFonts w:ascii="Calibri" w:hAnsi="Calibri" w:eastAsia="Calibri" w:cs="" w:asciiTheme="minorHAnsi" w:cstheme="minorBidi" w:eastAsiaTheme="minorHAnsi" w:hAnsiTheme="minorHAnsi"/>
        <w:color w:val="00000A"/>
        <w:lang w:val="sk-SK" w:eastAsia="en-US" w:bidi="ar-SA"/>
      </w:rPr>
    </w:pPr>
    <w:r>
      <w:rPr>
        <w:rFonts w:eastAsia="Calibri" w:cs="" w:cstheme="minorBidi" w:eastAsiaTheme="minorHAnsi"/>
        <w:color w:val="00000A"/>
        <w:sz w:val="20"/>
        <w:szCs w:val="20"/>
        <w:lang w:val="sk-SK" w:eastAsia="en-US" w:bidi="ar-SA"/>
      </w:rPr>
    </w:r>
    <w:r>
      <mc:AlternateContent>
        <mc:Choice Requires="wps">
          <w:drawing>
            <wp:anchor behindDoc="1" distT="0" distB="0" distL="114300" distR="114300" simplePos="0" locked="0" layoutInCell="1" allowOverlap="1" relativeHeight="5">
              <wp:simplePos x="0" y="0"/>
              <wp:positionH relativeFrom="page">
                <wp:posOffset>6144895</wp:posOffset>
              </wp:positionH>
              <wp:positionV relativeFrom="page">
                <wp:posOffset>10160000</wp:posOffset>
              </wp:positionV>
              <wp:extent cx="541020" cy="17716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165"/>
                      </a:xfrm>
                      <a:prstGeom prst="rect"/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 w:before="0" w:after="140"/>
                            <w:ind w:left="20" w:hanging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width:42.6pt;height:13.95pt;mso-wrap-distance-left:9pt;mso-wrap-distance-right:9pt;mso-wrap-distance-top:0pt;mso-wrap-distance-bottom:0pt;margin-top:800pt;mso-position-vertical-relative:page;margin-left:483.85pt;mso-position-horizontal-relative:page">
              <v:textbox inset="0in,0in,0in,0in">
                <w:txbxContent>
                  <w:p>
                    <w:pPr>
                      <w:pStyle w:val="Telotextu"/>
                      <w:spacing w:lineRule="exact" w:line="265" w:before="0" w:after="140"/>
                      <w:ind w:left="20" w:hanging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  <w:r/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</w:pPr>
    <w:r>
      <w:rPr/>
    </w:r>
    <w:r/>
  </w:p>
  <w:p>
    <w:pPr>
      <w:pStyle w:val="Hlavika"/>
    </w:pPr>
    <w:r>
      <w:rPr/>
    </w:r>
    <w:r/>
  </w:p>
  <w:p>
    <w:pPr>
      <w:pStyle w:val="Hlavika"/>
    </w:pPr>
    <w:r>
      <w:rPr/>
    </w:r>
    <w:r/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46422633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2023369084</w:t>
    </w:r>
    <w:r/>
  </w:p>
  <w:p>
    <w:pPr>
      <w:pStyle w:val="Hlavika"/>
      <w:rPr>
        <w:sz w:val="24"/>
        <w:sz w:val="24"/>
        <w:szCs w:val="24"/>
        <w:rFonts w:ascii="Times New Roman" w:hAnsi="Times New Roman" w:eastAsia="Calibri" w:cs="Times New Roman" w:eastAsiaTheme="minorHAnsi"/>
        <w:color w:val="00000A"/>
        <w:lang w:val="sk-SK" w:eastAsia="en-US" w:bidi="ar-SA"/>
      </w:rPr>
    </w:pPr>
    <w:r>
      <w:rPr>
        <w:rFonts w:eastAsia="Calibri" w:cs="Times New Roman" w:eastAsiaTheme="minorHAnsi" w:ascii="Times New Roman" w:hAnsi="Times New Roman"/>
        <w:color w:val="00000A"/>
        <w:sz w:val="24"/>
        <w:szCs w:val="24"/>
        <w:lang w:val="sk-SK" w:eastAsia="en-US" w:bidi="ar-SA"/>
      </w:rPr>
    </w:r>
    <w:r/>
  </w:p>
  <w:p>
    <w:pPr>
      <w:pStyle w:val="Hlavika"/>
    </w:pPr>
    <w:r>
      <w:rPr/>
    </w:r>
    <w:r/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count="267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header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5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uiPriority w:val="1"/>
    <w:qFormat/>
    <w:pPr>
      <w:widowControl/>
      <w:suppressAutoHyphens w:val="tru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Nadpis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basedOn w:val="DefaultParagraphFont"/>
    <w:link w:val="Hlavika"/>
    <w:rsid w:val="00eb4798"/>
    <w:rPr/>
  </w:style>
  <w:style w:type="character" w:styleId="PtaChar" w:customStyle="1">
    <w:name w:val="Päta Char"/>
    <w:basedOn w:val="DefaultParagraphFont"/>
    <w:link w:val="Pta"/>
    <w:uiPriority w:val="99"/>
    <w:rsid w:val="00eb4798"/>
    <w:rPr/>
  </w:style>
  <w:style w:type="character" w:styleId="ListLabel1">
    <w:name w:val="ListLabel 1"/>
    <w:rPr>
      <w:rFonts w:eastAsia="Times New Roman"/>
      <w:sz w:val="24"/>
      <w:szCs w:val="24"/>
    </w:rPr>
  </w:style>
  <w:style w:type="character" w:styleId="ListLabel2">
    <w:name w:val="ListLabel 2"/>
    <w:rPr>
      <w:rFonts w:eastAsia="Times New Roman"/>
      <w:spacing w:val="-1"/>
      <w:sz w:val="24"/>
      <w:szCs w:val="24"/>
    </w:rPr>
  </w:style>
  <w:style w:type="character" w:styleId="ListLabel3">
    <w:name w:val="ListLabel 3"/>
    <w:rPr>
      <w:rFonts w:eastAsia="Times New Roman"/>
      <w:sz w:val="24"/>
      <w:szCs w:val="24"/>
    </w:rPr>
  </w:style>
  <w:style w:type="character" w:styleId="ListLabel4">
    <w:name w:val="ListLabel 4"/>
    <w:rPr>
      <w:rFonts w:eastAsia="Times New Roman" w:cs="Arial"/>
    </w:rPr>
  </w:style>
  <w:style w:type="character" w:styleId="ListLabel5">
    <w:name w:val="ListLabel 5"/>
    <w:rPr>
      <w:rFonts w:cs="Courier New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uiPriority w:val="1"/>
    <w:qFormat/>
    <w:pPr>
      <w:spacing w:lineRule="auto" w:line="288" w:before="0" w:after="140"/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">
    <w:name w:val="Hlavička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Päta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type="dxa" w:w="0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1416</TotalTime>
  <Application>LibreOffice/4.3.5.2$Windows_x86 LibreOffice_project/3a87456aaa6a95c63eea1c1b3201acedf0751bd5</Application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language>sk-SK</dc:language>
  <cp:lastPrinted>2017-06-25T15:43:47Z</cp:lastPrinted>
  <dcterms:modified xsi:type="dcterms:W3CDTF">2017-06-25T15:44:54Z</dcterms:modified>
  <cp:revision>32</cp:revision>
  <dc:title>Opatrenie</dc:title>
</cp:coreProperties>
</file>