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EC0FDA" w:rsidRDefault="005A2647"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eastAsia="Arial Narrow" w:hAnsi="Arial Narrow" w:cs="Arial Narrow"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>POZNÁMKY K ÚČTOVNEJ ZÁVIERKE 2016</w:t>
      </w:r>
    </w:p>
    <w:p w:rsidR="00EC0FDA" w:rsidRDefault="005A2647"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EC0FDA" w:rsidRDefault="005A2647"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EC0FDA" w:rsidRDefault="005A2647"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v znení Opatrenia č.MF/19927/2015-74 (FS č.12/2015) </w:t>
      </w:r>
    </w:p>
    <w:p w:rsidR="00EC0FDA" w:rsidRDefault="00EC0FDA">
      <w:pPr>
        <w:pStyle w:val="normal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center"/>
        <w:rPr>
          <w:rFonts w:ascii="Arial Narrow" w:eastAsia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EC0FDA" w:rsidRDefault="00EC0FDA">
      <w:pPr>
        <w:pStyle w:val="normal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1)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  <w:sz w:val="22"/>
          <w:szCs w:val="22"/>
        </w:rPr>
        <w:t>:</w:t>
      </w:r>
    </w:p>
    <w:p w:rsidR="00EC0FDA" w:rsidRDefault="00EC0FDA">
      <w:pPr>
        <w:pStyle w:val="normal"/>
        <w:rPr>
          <w:rFonts w:ascii="Arial Narrow" w:eastAsia="Arial Narrow" w:hAnsi="Arial Narrow" w:cs="Arial Narrow"/>
          <w:sz w:val="22"/>
          <w:szCs w:val="22"/>
        </w:rPr>
      </w:pPr>
    </w:p>
    <w:tbl>
      <w:tblPr>
        <w:tblStyle w:val="a"/>
        <w:bidiVisual/>
        <w:tblW w:w="9605" w:type="dxa"/>
        <w:tblInd w:w="-108" w:type="dxa"/>
        <w:tblLayout w:type="fixed"/>
        <w:tblLook w:val="0000"/>
      </w:tblPr>
      <w:tblGrid>
        <w:gridCol w:w="2636"/>
        <w:gridCol w:w="6969"/>
      </w:tblGrid>
      <w:tr w:rsidR="00EC0FDA">
        <w:trPr>
          <w:trHeight w:val="22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JUMA Mont s.r.o.</w:t>
            </w:r>
          </w:p>
        </w:tc>
      </w:tr>
      <w:tr w:rsidR="00EC0FDA">
        <w:trPr>
          <w:trHeight w:val="24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935 21 Tlmače, Továrenská 276/49</w:t>
            </w:r>
          </w:p>
        </w:tc>
      </w:tr>
      <w:tr w:rsidR="00EC0FDA">
        <w:trPr>
          <w:trHeight w:val="120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EC0FDA">
        <w:trPr>
          <w:trHeight w:val="140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Zápis do obchodného registra: 29.04.2015 </w:t>
            </w:r>
          </w:p>
        </w:tc>
      </w:tr>
      <w:tr w:rsidR="00EC0FDA">
        <w:trPr>
          <w:trHeight w:val="160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sz w:val="24"/>
                <w:szCs w:val="24"/>
              </w:rPr>
              <w:t xml:space="preserve">Ostatné špecializované stavebné práce </w:t>
            </w:r>
            <w:proofErr w:type="spellStart"/>
            <w:r>
              <w:rPr>
                <w:sz w:val="24"/>
                <w:szCs w:val="24"/>
              </w:rPr>
              <w:t>i.n</w:t>
            </w:r>
            <w:proofErr w:type="spellEnd"/>
          </w:p>
        </w:tc>
      </w:tr>
      <w:tr w:rsidR="00EC0FDA">
        <w:trPr>
          <w:trHeight w:val="180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JUMA Mont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s.r.o.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>).</w:t>
            </w:r>
          </w:p>
        </w:tc>
      </w:tr>
      <w:tr w:rsidR="00EC0FDA">
        <w:trPr>
          <w:trHeight w:val="180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ind w:right="-425"/>
        <w:jc w:val="both"/>
        <w:rPr>
          <w:rFonts w:ascii="Arial Narrow" w:eastAsia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eastAsia="Arial Narrow" w:hAnsi="Arial Narrow" w:cs="Arial Narrow"/>
          <w:sz w:val="22"/>
          <w:szCs w:val="22"/>
          <w:u w:val="single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  <w:u w:val="single"/>
        </w:rPr>
        <w:t>)</w:t>
      </w: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eastAsia="Arial Narrow" w:hAnsi="Arial Narrow" w:cs="Arial Narrow"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tbl>
      <w:tblPr>
        <w:tblStyle w:val="a0"/>
        <w:bidiVisual/>
        <w:tblW w:w="9568" w:type="dxa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97"/>
        <w:gridCol w:w="2835"/>
        <w:gridCol w:w="3260"/>
        <w:gridCol w:w="1276"/>
      </w:tblGrid>
      <w:tr w:rsidR="00EC0FDA">
        <w:tc>
          <w:tcPr>
            <w:tcW w:w="2197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Áno/Nie</w:t>
            </w:r>
          </w:p>
        </w:tc>
      </w:tr>
      <w:tr w:rsidR="00EC0FDA">
        <w:tc>
          <w:tcPr>
            <w:tcW w:w="2197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EC0FDA" w:rsidRDefault="00EC0FDA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3260" w:type="dxa"/>
          </w:tcPr>
          <w:p w:rsidR="00EC0FDA" w:rsidRDefault="00EC0FDA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nie</w:t>
            </w:r>
          </w:p>
        </w:tc>
      </w:tr>
      <w:tr w:rsidR="00EC0FDA">
        <w:tc>
          <w:tcPr>
            <w:tcW w:w="2197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EC0FDA" w:rsidRDefault="00EC0FDA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3260" w:type="dxa"/>
          </w:tcPr>
          <w:p w:rsidR="00EC0FDA" w:rsidRDefault="00EC0FDA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nie</w:t>
            </w:r>
          </w:p>
        </w:tc>
      </w:tr>
      <w:tr w:rsidR="00EC0FDA">
        <w:tc>
          <w:tcPr>
            <w:tcW w:w="2197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EC0FDA" w:rsidRDefault="00EC0FDA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3260" w:type="dxa"/>
          </w:tcPr>
          <w:p w:rsidR="00EC0FDA" w:rsidRDefault="00EC0FDA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nie</w:t>
            </w:r>
          </w:p>
        </w:tc>
      </w:tr>
    </w:tbl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eastAsia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eastAsia="Arial Narrow" w:hAnsi="Arial Narrow" w:cs="Arial Narrow"/>
          <w:sz w:val="22"/>
          <w:szCs w:val="22"/>
        </w:rPr>
        <w:t>preto zostavuje účtovnú závierku podľa metodiky pre túto veľkostnú skupinu (Opatrenie č.MF/23378/2014-74 v znení neskorších predpisov).</w:t>
      </w:r>
    </w:p>
    <w:p w:rsidR="00EC0FDA" w:rsidRDefault="00EC0FDA">
      <w:pPr>
        <w:pStyle w:val="normal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eastAsia="Arial Narrow" w:hAnsi="Arial Narrow" w:cs="Arial Narrow"/>
          <w:sz w:val="22"/>
          <w:szCs w:val="22"/>
        </w:rPr>
        <w:t xml:space="preserve"> za bezprostredne predchádzajúce účtovné obdobie príslušným orgánom účtovnej jedno</w:t>
      </w:r>
      <w:r>
        <w:rPr>
          <w:rFonts w:ascii="Arial Narrow" w:eastAsia="Arial Narrow" w:hAnsi="Arial Narrow" w:cs="Arial Narrow"/>
          <w:sz w:val="22"/>
          <w:szCs w:val="22"/>
        </w:rPr>
        <w:t>tky: 12.05.2016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EC0FDA" w:rsidRDefault="005A2647">
      <w:pPr>
        <w:pStyle w:val="normal"/>
        <w:ind w:right="-468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sz w:val="22"/>
          <w:szCs w:val="22"/>
        </w:rPr>
        <w:t>Právny dôvod</w:t>
      </w:r>
      <w:r>
        <w:rPr>
          <w:rFonts w:ascii="Arial Narrow" w:eastAsia="Arial Narrow" w:hAnsi="Arial Narrow" w:cs="Arial Narrow"/>
          <w:sz w:val="22"/>
          <w:szCs w:val="22"/>
        </w:rPr>
        <w:t xml:space="preserve"> na zostavenie účtovnej závierky:  riadna ročná uzávierka</w:t>
      </w:r>
    </w:p>
    <w:p w:rsidR="00EC0FDA" w:rsidRDefault="00EC0FDA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Údaje o skupine</w:t>
      </w:r>
      <w:r>
        <w:rPr>
          <w:rFonts w:ascii="Arial Narrow" w:eastAsia="Arial Narrow" w:hAnsi="Arial Narrow" w:cs="Arial Narrow"/>
          <w:sz w:val="22"/>
          <w:szCs w:val="22"/>
        </w:rPr>
        <w:t xml:space="preserve"> účtovných jednotiek v súvislosti </w:t>
      </w:r>
      <w:r>
        <w:rPr>
          <w:rFonts w:ascii="Arial Narrow" w:eastAsia="Arial Narrow" w:hAnsi="Arial Narrow" w:cs="Arial Narrow"/>
          <w:b/>
          <w:sz w:val="22"/>
          <w:szCs w:val="22"/>
        </w:rPr>
        <w:t>s konsolidáciou</w:t>
      </w:r>
      <w:r>
        <w:rPr>
          <w:rFonts w:ascii="Arial Narrow" w:eastAsia="Arial Narrow" w:hAnsi="Arial Narrow" w:cs="Arial Narrow"/>
          <w:sz w:val="22"/>
          <w:szCs w:val="22"/>
        </w:rPr>
        <w:t>: spoločnosť nepatrí do konsolidovaného celku</w:t>
      </w:r>
    </w:p>
    <w:p w:rsidR="00EC0FDA" w:rsidRDefault="00EC0FDA">
      <w:pPr>
        <w:pStyle w:val="normal"/>
        <w:ind w:left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a) Obchodné meno a sídlo účtovnej jednotky, ktorá </w:t>
      </w:r>
      <w:r>
        <w:rPr>
          <w:rFonts w:ascii="Arial Narrow" w:eastAsia="Arial Narrow" w:hAnsi="Arial Narrow" w:cs="Arial Narrow"/>
          <w:sz w:val="22"/>
          <w:szCs w:val="22"/>
        </w:rPr>
        <w:t xml:space="preserve">zostavuje </w:t>
      </w:r>
      <w:r>
        <w:rPr>
          <w:rFonts w:ascii="Arial Narrow" w:eastAsia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sz w:val="22"/>
          <w:szCs w:val="22"/>
        </w:rPr>
        <w:t xml:space="preserve"> za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eastAsia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eastAsia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sz w:val="22"/>
          <w:szCs w:val="22"/>
        </w:rPr>
        <w:t xml:space="preserve"> za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eastAsia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eastAsia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eastAsia="Arial Narrow" w:hAnsi="Arial Narrow" w:cs="Arial Narrow"/>
          <w:sz w:val="22"/>
          <w:szCs w:val="22"/>
        </w:rPr>
        <w:t>:</w:t>
      </w:r>
    </w:p>
    <w:p w:rsidR="00EC0FDA" w:rsidRDefault="00EC0FDA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eastAsia="Arial Narrow" w:hAnsi="Arial Narrow" w:cs="Arial Narrow"/>
          <w:b/>
          <w:sz w:val="22"/>
          <w:szCs w:val="22"/>
        </w:rPr>
        <w:lastRenderedPageBreak/>
        <w:t>konsolidovanú účtovnú závierku</w:t>
      </w:r>
      <w:r>
        <w:rPr>
          <w:rFonts w:ascii="Arial Narrow" w:eastAsia="Arial Narrow" w:hAnsi="Arial Narrow" w:cs="Arial Narrow"/>
          <w:sz w:val="22"/>
          <w:szCs w:val="22"/>
        </w:rPr>
        <w:t xml:space="preserve"> a konsolidovanú výročnú </w:t>
      </w:r>
      <w:r>
        <w:rPr>
          <w:rFonts w:ascii="Arial Narrow" w:eastAsia="Arial Narrow" w:hAnsi="Arial Narrow" w:cs="Arial Narrow"/>
          <w:sz w:val="22"/>
          <w:szCs w:val="22"/>
        </w:rPr>
        <w:t>správu podľa § 22 zákona o účtovníctve, pričom sa uvádzajú:</w:t>
      </w: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eastAsia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sz w:val="22"/>
          <w:szCs w:val="22"/>
        </w:rPr>
        <w:t xml:space="preserve"> podľa osobitných predpisov (IFRS/EÚ):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2. pri</w:t>
      </w:r>
      <w:r>
        <w:rPr>
          <w:rFonts w:ascii="Arial Narrow" w:eastAsia="Arial Narrow" w:hAnsi="Arial Narrow" w:cs="Arial Narrow"/>
          <w:sz w:val="22"/>
          <w:szCs w:val="22"/>
        </w:rPr>
        <w:t xml:space="preserve"> oslobodení podľa § 22 ods. 10 a 12 zákona o účtovníctve obchodné meno a sídlo dcérskych účtovných jednotiek:  </w:t>
      </w:r>
    </w:p>
    <w:p w:rsidR="00EC0FDA" w:rsidRDefault="00EC0FDA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eastAsia="Arial Narrow" w:hAnsi="Arial Narrow" w:cs="Arial Narrow"/>
          <w:sz w:val="22"/>
          <w:szCs w:val="22"/>
        </w:rPr>
        <w:t>:</w:t>
      </w:r>
    </w:p>
    <w:tbl>
      <w:tblPr>
        <w:tblStyle w:val="a1"/>
        <w:bidiVisual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57"/>
        <w:gridCol w:w="2523"/>
        <w:gridCol w:w="2367"/>
      </w:tblGrid>
      <w:tr w:rsidR="00EC0FDA">
        <w:trPr>
          <w:trHeight w:val="520"/>
        </w:trPr>
        <w:tc>
          <w:tcPr>
            <w:tcW w:w="4857" w:type="dxa"/>
            <w:vAlign w:val="center"/>
          </w:tcPr>
          <w:p w:rsidR="00EC0FDA" w:rsidRDefault="005A2647">
            <w:pPr>
              <w:pStyle w:val="normal"/>
              <w:ind w:right="459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C0FDA">
        <w:trPr>
          <w:trHeight w:val="160"/>
        </w:trPr>
        <w:tc>
          <w:tcPr>
            <w:tcW w:w="4857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67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EC0FDA" w:rsidRDefault="00EC0FDA">
      <w:pPr>
        <w:pStyle w:val="normal"/>
        <w:ind w:left="928" w:right="-468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EC0FDA">
      <w:pPr>
        <w:pStyle w:val="normal"/>
        <w:ind w:right="-468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ind w:right="-468"/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Článok II – INFORMÁCIE O ORGÁNOCH SPOLOČNOSTI</w:t>
      </w:r>
    </w:p>
    <w:p w:rsidR="00EC0FDA" w:rsidRDefault="00EC0FDA">
      <w:pPr>
        <w:pStyle w:val="normal"/>
        <w:ind w:right="-468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  <w:u w:val="single"/>
        </w:rPr>
        <w:t>Informácie o orgánoch účtovnej jednotky</w:t>
      </w:r>
      <w:r>
        <w:rPr>
          <w:rFonts w:ascii="Arial Narrow" w:eastAsia="Arial Narrow" w:hAnsi="Arial Narrow" w:cs="Arial Narrow"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eastAsia="Arial Narrow" w:hAnsi="Arial Narrow" w:cs="Arial Narrow"/>
          <w:sz w:val="22"/>
          <w:szCs w:val="22"/>
        </w:rPr>
        <w:t>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2"/>
        <w:bidiVisual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6312"/>
        <w:gridCol w:w="1701"/>
        <w:gridCol w:w="1701"/>
      </w:tblGrid>
      <w:tr w:rsidR="00EC0FDA">
        <w:trPr>
          <w:trHeight w:val="780"/>
          <w:jc w:val="center"/>
        </w:trPr>
        <w:tc>
          <w:tcPr>
            <w:tcW w:w="6312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Orgány účtovne</w:t>
            </w: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j jednotky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C0FDA">
        <w:trPr>
          <w:trHeight w:val="240"/>
          <w:jc w:val="center"/>
        </w:trPr>
        <w:tc>
          <w:tcPr>
            <w:tcW w:w="6312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Štatutárny orgán </w:t>
            </w: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:  Juraj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Psársky</w:t>
            </w:r>
            <w:proofErr w:type="spellEnd"/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konateľ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konateľ</w:t>
            </w:r>
          </w:p>
        </w:tc>
      </w:tr>
      <w:tr w:rsidR="00EC0FDA">
        <w:trPr>
          <w:trHeight w:val="140"/>
          <w:jc w:val="center"/>
        </w:trPr>
        <w:tc>
          <w:tcPr>
            <w:tcW w:w="6312" w:type="dxa"/>
            <w:vAlign w:val="center"/>
          </w:tcPr>
          <w:p w:rsidR="00EC0FDA" w:rsidRDefault="005A2647">
            <w:pPr>
              <w:pStyle w:val="normal"/>
              <w:numPr>
                <w:ilvl w:val="0"/>
                <w:numId w:val="1"/>
              </w:numPr>
              <w:ind w:hanging="360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</w:tr>
      <w:tr w:rsidR="00EC0FDA">
        <w:trPr>
          <w:trHeight w:val="160"/>
          <w:jc w:val="center"/>
        </w:trPr>
        <w:tc>
          <w:tcPr>
            <w:tcW w:w="6312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</w:tr>
      <w:tr w:rsidR="00EC0FDA">
        <w:trPr>
          <w:trHeight w:val="160"/>
          <w:jc w:val="center"/>
        </w:trPr>
        <w:tc>
          <w:tcPr>
            <w:tcW w:w="6312" w:type="dxa"/>
            <w:vAlign w:val="center"/>
          </w:tcPr>
          <w:p w:rsidR="00EC0FDA" w:rsidRDefault="005A2647">
            <w:pPr>
              <w:pStyle w:val="normal"/>
              <w:numPr>
                <w:ilvl w:val="0"/>
                <w:numId w:val="1"/>
              </w:numPr>
              <w:ind w:hanging="360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EC0FDA">
        <w:trPr>
          <w:trHeight w:val="160"/>
          <w:jc w:val="center"/>
        </w:trPr>
        <w:tc>
          <w:tcPr>
            <w:tcW w:w="6312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EC0FDA">
        <w:trPr>
          <w:trHeight w:val="160"/>
          <w:jc w:val="center"/>
        </w:trPr>
        <w:tc>
          <w:tcPr>
            <w:tcW w:w="6312" w:type="dxa"/>
            <w:vAlign w:val="center"/>
          </w:tcPr>
          <w:p w:rsidR="00EC0FDA" w:rsidRDefault="005A2647">
            <w:pPr>
              <w:pStyle w:val="normal"/>
              <w:numPr>
                <w:ilvl w:val="0"/>
                <w:numId w:val="1"/>
              </w:numPr>
              <w:ind w:hanging="360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</w:tbl>
    <w:p w:rsidR="00EC0FDA" w:rsidRDefault="00EC0FDA">
      <w:pPr>
        <w:pStyle w:val="normal"/>
        <w:ind w:right="-468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EC0FDA">
      <w:pPr>
        <w:pStyle w:val="normal"/>
        <w:ind w:right="-468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ind w:right="-141"/>
        <w:jc w:val="center"/>
        <w:rPr>
          <w:rFonts w:ascii="Arial Narrow" w:eastAsia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sz w:val="22"/>
          <w:szCs w:val="22"/>
          <w:u w:val="single"/>
        </w:rPr>
        <w:t>Článok III – INFORMÁCIE O PRIJATÝCH POSTUPOCH</w:t>
      </w:r>
    </w:p>
    <w:p w:rsidR="00EC0FDA" w:rsidRDefault="00EC0FDA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EC0FDA" w:rsidRDefault="005A2647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EC0FDA" w:rsidRDefault="005A2647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 účtovná závierka sa zostavuje za predpokladu, že s.r.o. bude nepretržite pokračovať vo svojej činnosti</w:t>
      </w:r>
    </w:p>
    <w:p w:rsidR="00EC0FDA" w:rsidRDefault="00EC0FDA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2) Informácia o aplikácii účtovných zásad a účtovných metód, ktoré sú dôležité na posúdenie majetku, záväzkov, finančnej situácie a výsledku hospodáre</w:t>
      </w:r>
      <w:r>
        <w:rPr>
          <w:rFonts w:ascii="Arial Narrow" w:eastAsia="Arial Narrow" w:hAnsi="Arial Narrow" w:cs="Arial Narrow"/>
          <w:sz w:val="22"/>
          <w:szCs w:val="22"/>
        </w:rPr>
        <w:t xml:space="preserve">nia. Informácia </w:t>
      </w:r>
      <w:r>
        <w:rPr>
          <w:rFonts w:ascii="Arial Narrow" w:eastAsia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eastAsia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eastAsia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eastAsia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</w:t>
      </w:r>
      <w:r>
        <w:rPr>
          <w:rFonts w:ascii="Arial Narrow" w:eastAsia="Arial Narrow" w:hAnsi="Arial Narrow" w:cs="Arial Narrow"/>
          <w:sz w:val="22"/>
          <w:szCs w:val="22"/>
        </w:rPr>
        <w:t>noty za bezprostredne predchádzajúce účtovné obdobie v jednotlivých súčastiach účtovnej závierky porovnateľné, uvádza sa vysvetlenie v neporovnateľných hodnotách:</w:t>
      </w:r>
    </w:p>
    <w:p w:rsidR="00EC0FDA" w:rsidRDefault="00EC0FDA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eastAsia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eastAsia="Arial Narrow" w:hAnsi="Arial Narrow" w:cs="Arial Narrow"/>
          <w:sz w:val="22"/>
          <w:szCs w:val="22"/>
        </w:rPr>
        <w:t>, pričom sa uvádz</w:t>
      </w:r>
      <w:r>
        <w:rPr>
          <w:rFonts w:ascii="Arial Narrow" w:eastAsia="Arial Narrow" w:hAnsi="Arial Narrow" w:cs="Arial Narrow"/>
          <w:sz w:val="22"/>
          <w:szCs w:val="22"/>
        </w:rPr>
        <w:t xml:space="preserve">a finančný vplyv týchto transakcií na účtovnú jednotku, ak sú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eastAsia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</w:t>
      </w:r>
      <w:r>
        <w:rPr>
          <w:rFonts w:ascii="Arial Narrow" w:eastAsia="Arial Narrow" w:hAnsi="Arial Narrow" w:cs="Arial Narrow"/>
          <w:sz w:val="22"/>
          <w:szCs w:val="22"/>
        </w:rPr>
        <w:t xml:space="preserve">luvy, </w:t>
      </w:r>
      <w:r>
        <w:rPr>
          <w:rFonts w:ascii="Arial Narrow" w:eastAsia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:rsidR="00EC0FDA" w:rsidRDefault="00EC0FDA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eastAsia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EC0FDA" w:rsidRDefault="005A2647">
      <w:pPr>
        <w:pStyle w:val="normal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a) Spôsob oceňovani</w:t>
      </w:r>
      <w:r>
        <w:rPr>
          <w:rFonts w:ascii="Arial Narrow" w:eastAsia="Arial Narrow" w:hAnsi="Arial Narrow" w:cs="Arial Narrow"/>
          <w:sz w:val="22"/>
          <w:szCs w:val="22"/>
        </w:rPr>
        <w:t xml:space="preserve">a majetku a záväzkov (§ 25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):</w:t>
      </w:r>
    </w:p>
    <w:p w:rsidR="00EC0FDA" w:rsidRDefault="00EC0FDA">
      <w:pPr>
        <w:pStyle w:val="normal"/>
        <w:tabs>
          <w:tab w:val="left" w:pos="808"/>
        </w:tabs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a3"/>
        <w:bidiVisual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6"/>
        <w:gridCol w:w="5300"/>
        <w:gridCol w:w="3600"/>
      </w:tblGrid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Spôsob oceňovania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Vlastné náklady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Reálna hodnota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Vlastné náklady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Reálna hodnota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Vlastné náklady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Reálna hodnota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EC0FD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EC0FDA">
        <w:tc>
          <w:tcPr>
            <w:tcW w:w="706" w:type="dxa"/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18.</w:t>
            </w:r>
          </w:p>
        </w:tc>
        <w:tc>
          <w:tcPr>
            <w:tcW w:w="5300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EC0FDA">
        <w:tc>
          <w:tcPr>
            <w:tcW w:w="706" w:type="dxa"/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19.</w:t>
            </w:r>
          </w:p>
        </w:tc>
        <w:tc>
          <w:tcPr>
            <w:tcW w:w="5300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EC0FDA">
        <w:tc>
          <w:tcPr>
            <w:tcW w:w="706" w:type="dxa"/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20.</w:t>
            </w:r>
          </w:p>
        </w:tc>
        <w:tc>
          <w:tcPr>
            <w:tcW w:w="5300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EC0FDA" w:rsidRDefault="005A2647">
            <w:pPr>
              <w:pStyle w:val="normal"/>
              <w:tabs>
                <w:tab w:val="left" w:pos="808"/>
              </w:tabs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Menovitá hodnota</w:t>
            </w:r>
          </w:p>
        </w:tc>
      </w:tr>
    </w:tbl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b) Trvalé zníženie hodnoty majetku nebolo účtované. Prechodné zníženie hodnoty majetku</w:t>
      </w:r>
      <w:r>
        <w:rPr>
          <w:rFonts w:ascii="Arial Narrow" w:eastAsia="Arial Narrow" w:hAnsi="Arial Narrow" w:cs="Arial Narrow"/>
          <w:sz w:val="22"/>
          <w:szCs w:val="22"/>
        </w:rPr>
        <w:t xml:space="preserve"> je zaúčtované formou opravnej položky stanovené odborným odhadom bonity klienta. 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d) Urč</w:t>
      </w:r>
      <w:r>
        <w:rPr>
          <w:rFonts w:ascii="Arial Narrow" w:eastAsia="Arial Narrow" w:hAnsi="Arial Narrow" w:cs="Arial Narrow"/>
          <w:sz w:val="22"/>
          <w:szCs w:val="22"/>
        </w:rPr>
        <w:t xml:space="preserve">enie ocenenia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eastAsia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eastAsia="Arial Narrow" w:hAnsi="Arial Narrow" w:cs="Arial Narrow"/>
          <w:b/>
          <w:sz w:val="22"/>
          <w:szCs w:val="22"/>
        </w:rPr>
        <w:t>reálnou hodnotou</w:t>
      </w:r>
      <w:r>
        <w:rPr>
          <w:rFonts w:ascii="Arial Narrow" w:eastAsia="Arial Narrow" w:hAnsi="Arial Narrow" w:cs="Arial Narrow"/>
          <w:sz w:val="22"/>
          <w:szCs w:val="22"/>
        </w:rPr>
        <w:t>: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eastAsia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eastAsia="Arial Narrow" w:hAnsi="Arial Narrow" w:cs="Arial Narrow"/>
          <w:sz w:val="22"/>
          <w:szCs w:val="22"/>
        </w:rPr>
        <w:t xml:space="preserve">: </w:t>
      </w:r>
    </w:p>
    <w:p w:rsidR="00EC0FDA" w:rsidRDefault="005A2647">
      <w:pPr>
        <w:pStyle w:val="normal"/>
        <w:numPr>
          <w:ilvl w:val="0"/>
          <w:numId w:val="5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eastAsia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swapy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forwardy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), nástroje peňažného trhu (pokladničné poukážky, vkladové listy).</w:t>
      </w:r>
    </w:p>
    <w:p w:rsidR="00EC0FDA" w:rsidRDefault="005A2647">
      <w:pPr>
        <w:pStyle w:val="normal"/>
        <w:numPr>
          <w:ilvl w:val="0"/>
          <w:numId w:val="5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eastAsia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EC0FDA" w:rsidRDefault="005A2647">
      <w:pPr>
        <w:pStyle w:val="normal"/>
        <w:numPr>
          <w:ilvl w:val="0"/>
          <w:numId w:val="5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eastAsia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eastAsia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eastAsia="Arial Narrow" w:hAnsi="Arial Narrow" w:cs="Arial Narrow"/>
          <w:sz w:val="22"/>
          <w:szCs w:val="22"/>
          <w:u w:val="single"/>
        </w:rPr>
        <w:t xml:space="preserve"> na súčasnú hodn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otu</w:t>
      </w:r>
      <w:r>
        <w:rPr>
          <w:rFonts w:ascii="Arial Narrow" w:eastAsia="Arial Narrow" w:hAnsi="Arial Narrow" w:cs="Arial Narrow"/>
          <w:sz w:val="22"/>
          <w:szCs w:val="22"/>
        </w:rPr>
        <w:t xml:space="preserve"> (§ 18/8 PU; § 21/6 PU).</w:t>
      </w:r>
    </w:p>
    <w:p w:rsidR="00EC0FDA" w:rsidRDefault="005A2647">
      <w:pPr>
        <w:pStyle w:val="normal"/>
        <w:numPr>
          <w:ilvl w:val="0"/>
          <w:numId w:val="5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eastAsia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C0FDA" w:rsidRDefault="005A2647">
      <w:pPr>
        <w:pStyle w:val="normal"/>
        <w:numPr>
          <w:ilvl w:val="0"/>
          <w:numId w:val="5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závierkovemu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sz w:val="22"/>
          <w:szCs w:val="22"/>
        </w:rPr>
        <w:lastRenderedPageBreak/>
        <w:t>– le</w:t>
      </w:r>
      <w:r>
        <w:rPr>
          <w:rFonts w:ascii="Arial Narrow" w:eastAsia="Arial Narrow" w:hAnsi="Arial Narrow" w:cs="Arial Narrow"/>
          <w:sz w:val="22"/>
          <w:szCs w:val="22"/>
        </w:rPr>
        <w:t>bo nemala k tomu vecnú náplň.</w:t>
      </w:r>
    </w:p>
    <w:p w:rsidR="00EC0FDA" w:rsidRDefault="005A2647">
      <w:pPr>
        <w:pStyle w:val="normal"/>
        <w:numPr>
          <w:ilvl w:val="0"/>
          <w:numId w:val="5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eastAsia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; § 22/1 PU).</w:t>
      </w:r>
    </w:p>
    <w:p w:rsidR="00EC0FDA" w:rsidRDefault="005A2647">
      <w:pPr>
        <w:pStyle w:val="normal"/>
        <w:numPr>
          <w:ilvl w:val="0"/>
          <w:numId w:val="5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eastAsia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eastAsia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).</w:t>
      </w:r>
    </w:p>
    <w:p w:rsidR="00EC0FDA" w:rsidRDefault="005A2647">
      <w:pPr>
        <w:pStyle w:val="normal"/>
        <w:numPr>
          <w:ilvl w:val="0"/>
          <w:numId w:val="5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eastAsia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eastAsia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).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f) Účtovná jednotka nepoužila dobrovo</w:t>
      </w:r>
      <w:r>
        <w:rPr>
          <w:rFonts w:ascii="Arial Narrow" w:eastAsia="Arial Narrow" w:hAnsi="Arial Narrow" w:cs="Arial Narrow"/>
          <w:sz w:val="22"/>
          <w:szCs w:val="22"/>
        </w:rPr>
        <w:t xml:space="preserve">ľné oceňovanie obchodných podielov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eastAsia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).</w:t>
      </w:r>
    </w:p>
    <w:p w:rsidR="00EC0FDA" w:rsidRDefault="00EC0FDA">
      <w:pPr>
        <w:pStyle w:val="normal"/>
        <w:rPr>
          <w:sz w:val="24"/>
          <w:szCs w:val="24"/>
        </w:rPr>
      </w:pPr>
    </w:p>
    <w:p w:rsidR="00EC0FDA" w:rsidRDefault="005A2647">
      <w:pPr>
        <w:pStyle w:val="normal"/>
        <w:keepNext/>
        <w:tabs>
          <w:tab w:val="left" w:pos="1005"/>
        </w:tabs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g) </w:t>
      </w:r>
      <w:r>
        <w:rPr>
          <w:rFonts w:ascii="Arial Narrow" w:eastAsia="Arial Narrow" w:hAnsi="Arial Narrow" w:cs="Arial Narrow"/>
          <w:b/>
          <w:sz w:val="22"/>
          <w:szCs w:val="22"/>
        </w:rPr>
        <w:t>Tvorba odpisového plánu</w:t>
      </w:r>
      <w:r>
        <w:rPr>
          <w:rFonts w:ascii="Arial Narrow" w:eastAsia="Arial Narrow" w:hAnsi="Arial Narrow" w:cs="Arial Narrow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a4"/>
        <w:bidiVisual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8"/>
        <w:gridCol w:w="1013"/>
        <w:gridCol w:w="2107"/>
        <w:gridCol w:w="2268"/>
      </w:tblGrid>
      <w:tr w:rsidR="00EC0FDA">
        <w:tc>
          <w:tcPr>
            <w:tcW w:w="4218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číslo</w:t>
            </w:r>
          </w:p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doba odpisovania</w:t>
            </w:r>
          </w:p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C0FDA">
        <w:tc>
          <w:tcPr>
            <w:tcW w:w="4218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25</w:t>
            </w:r>
          </w:p>
        </w:tc>
      </w:tr>
      <w:tr w:rsidR="00EC0FDA">
        <w:tc>
          <w:tcPr>
            <w:tcW w:w="4218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25</w:t>
            </w:r>
          </w:p>
        </w:tc>
      </w:tr>
      <w:tr w:rsidR="00EC0FDA">
        <w:tc>
          <w:tcPr>
            <w:tcW w:w="4218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4</w:t>
            </w:r>
          </w:p>
        </w:tc>
      </w:tr>
      <w:tr w:rsidR="00EC0FDA">
        <w:tc>
          <w:tcPr>
            <w:tcW w:w="4218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20</w:t>
            </w:r>
          </w:p>
        </w:tc>
      </w:tr>
      <w:tr w:rsidR="00EC0FDA">
        <w:tc>
          <w:tcPr>
            <w:tcW w:w="4218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14,3</w:t>
            </w:r>
          </w:p>
        </w:tc>
      </w:tr>
      <w:tr w:rsidR="00EC0FDA">
        <w:tc>
          <w:tcPr>
            <w:tcW w:w="4218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14,3</w:t>
            </w:r>
          </w:p>
        </w:tc>
      </w:tr>
      <w:tr w:rsidR="00EC0FDA">
        <w:tc>
          <w:tcPr>
            <w:tcW w:w="4218" w:type="dxa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EC0FDA" w:rsidRDefault="005A2647">
      <w:pPr>
        <w:pStyle w:val="normal"/>
        <w:spacing w:after="120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eastAsia="Arial Narrow" w:hAnsi="Arial Narrow" w:cs="Arial Narrow"/>
          <w:sz w:val="22"/>
          <w:szCs w:val="22"/>
        </w:rPr>
        <w:t xml:space="preserve">: </w:t>
      </w:r>
    </w:p>
    <w:p w:rsidR="00EC0FDA" w:rsidRDefault="005A2647">
      <w:pPr>
        <w:pStyle w:val="normal"/>
        <w:numPr>
          <w:ilvl w:val="0"/>
          <w:numId w:val="2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účtovné odpisy nezávisle na daňových odpisoch</w:t>
      </w:r>
      <w:r>
        <w:rPr>
          <w:rFonts w:ascii="Arial Narrow" w:eastAsia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eastAsia="Arial Narrow" w:hAnsi="Arial Narrow" w:cs="Arial Narrow"/>
          <w:sz w:val="22"/>
          <w:szCs w:val="22"/>
        </w:rPr>
        <w:t>. Účtovné odpisy vychádzajú z predpokladanej doby používania majetku. Dlhodobý nehmotný majetok sa odpisuje počas 4 rokov od jeho obstarania .</w:t>
      </w:r>
    </w:p>
    <w:p w:rsidR="00EC0FDA" w:rsidRDefault="005A2647">
      <w:pPr>
        <w:pStyle w:val="normal"/>
        <w:numPr>
          <w:ilvl w:val="0"/>
          <w:numId w:val="2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eastAsia="Arial Narrow" w:hAnsi="Arial Narrow" w:cs="Arial Narrow"/>
          <w:sz w:val="22"/>
          <w:szCs w:val="22"/>
        </w:rPr>
        <w:t xml:space="preserve"> dlhodobého hmotného majetku a dlhodobého nehmotného majetku. Podrobný účtovný o</w:t>
      </w:r>
      <w:r>
        <w:rPr>
          <w:rFonts w:ascii="Arial Narrow" w:eastAsia="Arial Narrow" w:hAnsi="Arial Narrow" w:cs="Arial Narrow"/>
          <w:sz w:val="22"/>
          <w:szCs w:val="22"/>
        </w:rPr>
        <w:t>dpisový plán po položkách sa vedie v podsystéme POHODA (taktiež daňové odpisy podľa zákona o dani z príjmov).</w:t>
      </w:r>
    </w:p>
    <w:p w:rsidR="00EC0FDA" w:rsidRDefault="005A2647">
      <w:pPr>
        <w:pStyle w:val="normal"/>
        <w:numPr>
          <w:ilvl w:val="0"/>
          <w:numId w:val="2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UJ odpisuje jednotlivé veci alebo relevantné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súbory hnuteľných vecí</w:t>
      </w:r>
      <w:r>
        <w:rPr>
          <w:rFonts w:ascii="Arial Narrow" w:eastAsia="Arial Narrow" w:hAnsi="Arial Narrow" w:cs="Arial Narrow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komponentné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odpisovan</w:t>
      </w:r>
      <w:r>
        <w:rPr>
          <w:rFonts w:ascii="Arial Narrow" w:eastAsia="Arial Narrow" w:hAnsi="Arial Narrow" w:cs="Arial Narrow"/>
          <w:sz w:val="22"/>
          <w:szCs w:val="22"/>
        </w:rPr>
        <w:t>ie (odpisovanie častí majetku - komponentov).</w:t>
      </w:r>
    </w:p>
    <w:p w:rsidR="00EC0FDA" w:rsidRDefault="005A2647">
      <w:pPr>
        <w:pStyle w:val="normal"/>
        <w:numPr>
          <w:ilvl w:val="0"/>
          <w:numId w:val="2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UJ nepoužila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sz w:val="22"/>
          <w:szCs w:val="22"/>
        </w:rPr>
        <w:t xml:space="preserve">dlhodobého majetku z dôvodu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jednorazoveho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trvalého zníženia hodnoty majetku (§ 21/5 PU).</w:t>
      </w:r>
    </w:p>
    <w:p w:rsidR="00EC0FDA" w:rsidRDefault="005A2647">
      <w:pPr>
        <w:pStyle w:val="normal"/>
        <w:numPr>
          <w:ilvl w:val="0"/>
          <w:numId w:val="2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eastAsia="Arial Narrow" w:hAnsi="Arial Narrow" w:cs="Arial Narrow"/>
          <w:sz w:val="22"/>
          <w:szCs w:val="22"/>
        </w:rPr>
        <w:t xml:space="preserve"> - položky pod 2 400 eur jedn</w:t>
      </w:r>
      <w:r>
        <w:rPr>
          <w:rFonts w:ascii="Arial Narrow" w:eastAsia="Arial Narrow" w:hAnsi="Arial Narrow" w:cs="Arial Narrow"/>
          <w:sz w:val="22"/>
          <w:szCs w:val="22"/>
        </w:rPr>
        <w:t>otkovej ceny so životnosťou nad jeden rok (§ 13/2 PU).</w:t>
      </w:r>
    </w:p>
    <w:p w:rsidR="00EC0FDA" w:rsidRDefault="005A2647">
      <w:pPr>
        <w:pStyle w:val="normal"/>
        <w:numPr>
          <w:ilvl w:val="0"/>
          <w:numId w:val="2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eastAsia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EC0FDA" w:rsidRDefault="005A2647">
      <w:pPr>
        <w:pStyle w:val="normal"/>
        <w:numPr>
          <w:ilvl w:val="0"/>
          <w:numId w:val="2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nepoužíva dobrovoľné účtovanie podlimitného technického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 xml:space="preserve"> zhodnotenia</w:t>
      </w:r>
      <w:r>
        <w:rPr>
          <w:rFonts w:ascii="Arial Narrow" w:eastAsia="Arial Narrow" w:hAnsi="Arial Narrow" w:cs="Arial Narrow"/>
          <w:sz w:val="22"/>
          <w:szCs w:val="22"/>
        </w:rPr>
        <w:t xml:space="preserve"> do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odpisovaneho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dlhodobého majetku – technické zhodnotenie pod 1 700 eur za účtovné obdobie (§ 21/3 PU; § 29/2 ZDP).</w:t>
      </w:r>
    </w:p>
    <w:p w:rsidR="00EC0FDA" w:rsidRDefault="005A2647">
      <w:pPr>
        <w:pStyle w:val="normal"/>
        <w:numPr>
          <w:ilvl w:val="0"/>
          <w:numId w:val="2"/>
        </w:numPr>
        <w:spacing w:after="120"/>
        <w:ind w:hanging="360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EC0FDA" w:rsidRDefault="00EC0FDA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keepNext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lastRenderedPageBreak/>
        <w:t xml:space="preserve">h) Informácia </w:t>
      </w:r>
      <w:r>
        <w:rPr>
          <w:rFonts w:ascii="Arial Narrow" w:eastAsia="Arial Narrow" w:hAnsi="Arial Narrow" w:cs="Arial Narrow"/>
          <w:b/>
          <w:sz w:val="22"/>
          <w:szCs w:val="22"/>
        </w:rPr>
        <w:t>o poskytnutých dotáciách</w:t>
      </w:r>
      <w:r>
        <w:rPr>
          <w:rFonts w:ascii="Arial Narrow" w:eastAsia="Arial Narrow" w:hAnsi="Arial Narrow" w:cs="Arial Narrow"/>
          <w:sz w:val="22"/>
          <w:szCs w:val="22"/>
        </w:rPr>
        <w:t xml:space="preserve"> a pri dotáciách na obstaranie majetku sa uvedú zložky majetku a ich ocenenie: </w:t>
      </w:r>
    </w:p>
    <w:p w:rsidR="00EC0FDA" w:rsidRDefault="00EC0FDA">
      <w:pPr>
        <w:pStyle w:val="normal"/>
        <w:keepNext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keepNext/>
        <w:spacing w:after="120"/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b/>
          <w:sz w:val="22"/>
          <w:szCs w:val="22"/>
        </w:rPr>
        <w:t>Informác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ie o oprave </w:t>
      </w:r>
      <w:r>
        <w:rPr>
          <w:rFonts w:ascii="Arial Narrow" w:eastAsia="Arial Narrow" w:hAnsi="Arial Narrow" w:cs="Arial Narrow"/>
          <w:b/>
          <w:sz w:val="22"/>
          <w:szCs w:val="22"/>
          <w:u w:val="single"/>
        </w:rPr>
        <w:t>významných chýb</w:t>
      </w:r>
      <w:r>
        <w:rPr>
          <w:rFonts w:ascii="Arial Narrow" w:eastAsia="Arial Narrow" w:hAnsi="Arial Narrow" w:cs="Arial Narrow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s uvedením sumy vplyvu</w:t>
      </w:r>
      <w:r>
        <w:rPr>
          <w:rFonts w:ascii="Arial Narrow" w:eastAsia="Arial Narrow" w:hAnsi="Arial Narrow" w:cs="Arial Narrow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 xml:space="preserve">nevýznamných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chýb</w:t>
      </w:r>
      <w:r>
        <w:rPr>
          <w:rFonts w:ascii="Arial Narrow" w:eastAsia="Arial Narrow" w:hAnsi="Arial Narrow" w:cs="Arial Narrow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Style w:val="a5"/>
        <w:bidiVisual/>
        <w:tblW w:w="9601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75"/>
        <w:gridCol w:w="1040"/>
        <w:gridCol w:w="1039"/>
        <w:gridCol w:w="1928"/>
        <w:gridCol w:w="2519"/>
      </w:tblGrid>
      <w:tr w:rsidR="00EC0FDA">
        <w:tc>
          <w:tcPr>
            <w:tcW w:w="3075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19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EC0FDA">
        <w:tc>
          <w:tcPr>
            <w:tcW w:w="3075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519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EC0FDA">
        <w:tc>
          <w:tcPr>
            <w:tcW w:w="3075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519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</w:tbl>
    <w:p w:rsidR="00EC0FDA" w:rsidRDefault="00EC0FDA">
      <w:pPr>
        <w:pStyle w:val="normal"/>
        <w:ind w:right="-468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EC0FDA" w:rsidRDefault="005A2647">
      <w:pPr>
        <w:pStyle w:val="normal"/>
        <w:numPr>
          <w:ilvl w:val="0"/>
          <w:numId w:val="3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).</w:t>
      </w:r>
    </w:p>
    <w:p w:rsidR="00EC0FDA" w:rsidRDefault="005A2647">
      <w:pPr>
        <w:pStyle w:val="normal"/>
        <w:numPr>
          <w:ilvl w:val="0"/>
          <w:numId w:val="3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EC0FDA" w:rsidRDefault="005A2647">
      <w:pPr>
        <w:pStyle w:val="normal"/>
        <w:numPr>
          <w:ilvl w:val="0"/>
          <w:numId w:val="3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Významné opravy chýb minulých účtovných období sa účtujú (§ 59/13 PU) - voči minulým výsledkom ho</w:t>
      </w:r>
      <w:r>
        <w:rPr>
          <w:rFonts w:ascii="Arial Narrow" w:eastAsia="Arial Narrow" w:hAnsi="Arial Narrow" w:cs="Arial Narrow"/>
          <w:sz w:val="22"/>
          <w:szCs w:val="22"/>
        </w:rPr>
        <w:t xml:space="preserve">spodárenia (voči vlastnému imaniu na účet 428 alebo 429). </w:t>
      </w:r>
    </w:p>
    <w:p w:rsidR="00EC0FDA" w:rsidRDefault="005A2647">
      <w:pPr>
        <w:pStyle w:val="normal"/>
        <w:numPr>
          <w:ilvl w:val="0"/>
          <w:numId w:val="3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EC0FDA" w:rsidRDefault="005A2647">
      <w:pPr>
        <w:pStyle w:val="normal"/>
        <w:numPr>
          <w:ilvl w:val="0"/>
          <w:numId w:val="3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Pri ukladaní pokuty za nesprávnosti v účtovníctve prihliadne daňový úrad aj na to, či </w:t>
      </w:r>
      <w:r>
        <w:rPr>
          <w:rFonts w:ascii="Arial Narrow" w:eastAsia="Arial Narrow" w:hAnsi="Arial Narrow" w:cs="Arial Narrow"/>
          <w:sz w:val="22"/>
          <w:szCs w:val="22"/>
        </w:rPr>
        <w:t xml:space="preserve">UJ písomne ohlásila obsah a sumu vykonanej opravy chýb minulých účtovných období (§ 38/5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).</w:t>
      </w:r>
    </w:p>
    <w:p w:rsidR="00EC0FDA" w:rsidRDefault="005A2647">
      <w:pPr>
        <w:pStyle w:val="normal"/>
        <w:numPr>
          <w:ilvl w:val="0"/>
          <w:numId w:val="3"/>
        </w:numPr>
        <w:spacing w:after="120"/>
        <w:ind w:left="227" w:hanging="227"/>
        <w:jc w:val="both"/>
        <w:rPr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Opravy chýb minulých účtovných období sa daňovo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vysporiadajú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podľa pravidiel v zákone o dani z príjmov (§ 17/15,29 ZDP) a pravidiel v daňovom poriadku (§ 16). 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ind w:right="-468"/>
        <w:jc w:val="center"/>
        <w:rPr>
          <w:rFonts w:ascii="Arial Narrow" w:eastAsia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sz w:val="22"/>
          <w:szCs w:val="22"/>
          <w:u w:val="single"/>
        </w:rPr>
        <w:t>Článok IV – INFORMÁCIE, KTORÉ VYSVETĽUJÚ A DOPĹŇAJÚ SÚVAHU A VÝKAZ ZISKOV A STRÁT</w:t>
      </w:r>
    </w:p>
    <w:p w:rsidR="00EC0FDA" w:rsidRDefault="00EC0FDA">
      <w:pPr>
        <w:pStyle w:val="normal"/>
        <w:ind w:right="-468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eastAsia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</w:t>
      </w:r>
      <w:r>
        <w:rPr>
          <w:rFonts w:ascii="Arial Narrow" w:eastAsia="Arial Narrow" w:hAnsi="Arial Narrow" w:cs="Arial Narrow"/>
          <w:sz w:val="22"/>
          <w:szCs w:val="22"/>
        </w:rPr>
        <w:t>7a - 17e ZDP)]</w:t>
      </w:r>
    </w:p>
    <w:p w:rsidR="00EC0FDA" w:rsidRDefault="00EC0FDA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  <w:u w:val="single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EC0FDA" w:rsidRDefault="00EC0FDA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). Pre každý druh der</w:t>
      </w:r>
      <w:r>
        <w:rPr>
          <w:rFonts w:ascii="Arial Narrow" w:eastAsia="Arial Narrow" w:hAnsi="Arial Narrow" w:cs="Arial Narrow"/>
          <w:sz w:val="22"/>
          <w:szCs w:val="22"/>
        </w:rPr>
        <w:t>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eastAsia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z ocene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nia reálnou hodnotou</w:t>
      </w:r>
      <w:r>
        <w:rPr>
          <w:rFonts w:ascii="Arial Narrow" w:eastAsia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a6"/>
        <w:bidiVisual/>
        <w:tblW w:w="960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655"/>
        <w:gridCol w:w="1135"/>
        <w:gridCol w:w="1135"/>
        <w:gridCol w:w="1844"/>
        <w:gridCol w:w="1836"/>
      </w:tblGrid>
      <w:tr w:rsidR="00EC0FDA">
        <w:trPr>
          <w:trHeight w:val="140"/>
        </w:trPr>
        <w:tc>
          <w:tcPr>
            <w:tcW w:w="3655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36" w:type="dxa"/>
          </w:tcPr>
          <w:p w:rsidR="00EC0FDA" w:rsidRDefault="005A2647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EC0FDA">
        <w:trPr>
          <w:trHeight w:val="60"/>
        </w:trPr>
        <w:tc>
          <w:tcPr>
            <w:tcW w:w="3655" w:type="dxa"/>
          </w:tcPr>
          <w:p w:rsidR="00EC0FDA" w:rsidRDefault="00EC0FDA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836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EC0FDA">
        <w:trPr>
          <w:trHeight w:val="100"/>
        </w:trPr>
        <w:tc>
          <w:tcPr>
            <w:tcW w:w="3655" w:type="dxa"/>
          </w:tcPr>
          <w:p w:rsidR="00EC0FDA" w:rsidRDefault="00EC0FDA">
            <w:pPr>
              <w:pStyle w:val="normal"/>
              <w:spacing w:after="120"/>
              <w:ind w:right="-471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836" w:type="dxa"/>
          </w:tcPr>
          <w:p w:rsidR="00EC0FDA" w:rsidRDefault="00EC0FDA">
            <w:pPr>
              <w:pStyle w:val="normal"/>
              <w:spacing w:after="120"/>
              <w:ind w:right="-471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</w:tbl>
    <w:p w:rsidR="00EC0FDA" w:rsidRDefault="005A2647">
      <w:pPr>
        <w:pStyle w:val="normal"/>
        <w:spacing w:before="120" w:after="120"/>
        <w:ind w:right="-47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eastAsia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 počas účtovného obdobia – bez náplne.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lastRenderedPageBreak/>
        <w:t>[Vysvetlivky: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eastAsia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závierkovemu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závierkovemu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EC0FDA" w:rsidRDefault="00EC0FDA">
      <w:pPr>
        <w:pStyle w:val="normal"/>
        <w:spacing w:after="120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eastAsia="Arial Narrow" w:hAnsi="Arial Narrow" w:cs="Arial Narrow"/>
          <w:sz w:val="22"/>
          <w:szCs w:val="22"/>
        </w:rPr>
        <w:t xml:space="preserve">:  </w:t>
      </w:r>
    </w:p>
    <w:tbl>
      <w:tblPr>
        <w:tblStyle w:val="a7"/>
        <w:bidiVisual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5"/>
        <w:gridCol w:w="2553"/>
        <w:gridCol w:w="2376"/>
      </w:tblGrid>
      <w:tr w:rsidR="00EC0FDA">
        <w:trPr>
          <w:trHeight w:val="680"/>
          <w:jc w:val="center"/>
        </w:trPr>
        <w:tc>
          <w:tcPr>
            <w:tcW w:w="4785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C0FDA">
        <w:trPr>
          <w:trHeight w:val="200"/>
          <w:jc w:val="center"/>
        </w:trPr>
        <w:tc>
          <w:tcPr>
            <w:tcW w:w="4785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6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</w:tbl>
    <w:p w:rsidR="00EC0FDA" w:rsidRDefault="005A2647">
      <w:pPr>
        <w:pStyle w:val="normal"/>
        <w:spacing w:before="120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dňom (§ 12 PU).]</w:t>
      </w:r>
    </w:p>
    <w:p w:rsidR="00EC0FDA" w:rsidRDefault="005A2647">
      <w:pPr>
        <w:pStyle w:val="normal"/>
        <w:spacing w:before="120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Účtovná jednotka nemá vo svojom účtovníctve záväzky s dobou splatnosti nad 5 rokov</w:t>
      </w:r>
    </w:p>
    <w:p w:rsidR="00EC0FDA" w:rsidRDefault="00EC0FDA">
      <w:pPr>
        <w:pStyle w:val="normal"/>
        <w:spacing w:before="120"/>
        <w:ind w:right="-471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eastAsia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Style w:val="a8"/>
        <w:bidiVisual/>
        <w:tblW w:w="963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96"/>
        <w:gridCol w:w="2831"/>
        <w:gridCol w:w="2411"/>
      </w:tblGrid>
      <w:tr w:rsidR="00EC0FDA">
        <w:trPr>
          <w:jc w:val="center"/>
        </w:trPr>
        <w:tc>
          <w:tcPr>
            <w:tcW w:w="4396" w:type="dxa"/>
            <w:vMerge w:val="restart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Zabezpečené záväzky</w:t>
            </w:r>
          </w:p>
        </w:tc>
        <w:tc>
          <w:tcPr>
            <w:tcW w:w="5242" w:type="dxa"/>
            <w:gridSpan w:val="2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EC0FDA">
        <w:trPr>
          <w:jc w:val="center"/>
        </w:trPr>
        <w:tc>
          <w:tcPr>
            <w:tcW w:w="4396" w:type="dxa"/>
            <w:vMerge/>
            <w:vAlign w:val="center"/>
          </w:tcPr>
          <w:p w:rsidR="00EC0FDA" w:rsidRDefault="00EC0FDA">
            <w:pPr>
              <w:pStyle w:val="normal"/>
              <w:jc w:val="both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831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Spôsob </w:t>
            </w:r>
          </w:p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zabezpečenia</w:t>
            </w:r>
          </w:p>
        </w:tc>
        <w:tc>
          <w:tcPr>
            <w:tcW w:w="2411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Hodnota záväzkov</w:t>
            </w:r>
          </w:p>
        </w:tc>
      </w:tr>
      <w:tr w:rsidR="00EC0FDA">
        <w:trPr>
          <w:trHeight w:val="60"/>
          <w:jc w:val="center"/>
        </w:trPr>
        <w:tc>
          <w:tcPr>
            <w:tcW w:w="4396" w:type="dxa"/>
            <w:vAlign w:val="center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vAlign w:val="center"/>
          </w:tcPr>
          <w:p w:rsidR="00EC0FDA" w:rsidRDefault="005A2647">
            <w:pPr>
              <w:pStyle w:val="normal"/>
              <w:spacing w:line="360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11" w:type="dxa"/>
            <w:vAlign w:val="center"/>
          </w:tcPr>
          <w:p w:rsidR="00EC0FDA" w:rsidRDefault="00EC0FDA">
            <w:pPr>
              <w:pStyle w:val="normal"/>
              <w:spacing w:line="360" w:lineRule="auto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EC0FDA">
        <w:trPr>
          <w:trHeight w:val="100"/>
          <w:jc w:val="center"/>
        </w:trPr>
        <w:tc>
          <w:tcPr>
            <w:tcW w:w="4396" w:type="dxa"/>
            <w:vAlign w:val="center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vAlign w:val="center"/>
          </w:tcPr>
          <w:p w:rsidR="00EC0FDA" w:rsidRDefault="00EC0FDA">
            <w:pPr>
              <w:pStyle w:val="normal"/>
              <w:spacing w:line="360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411" w:type="dxa"/>
            <w:vAlign w:val="center"/>
          </w:tcPr>
          <w:p w:rsidR="00EC0FDA" w:rsidRDefault="00EC0FDA">
            <w:pPr>
              <w:pStyle w:val="normal"/>
              <w:spacing w:line="360" w:lineRule="auto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EC0FDA">
        <w:trPr>
          <w:trHeight w:val="100"/>
          <w:jc w:val="center"/>
        </w:trPr>
        <w:tc>
          <w:tcPr>
            <w:tcW w:w="4396" w:type="dxa"/>
            <w:vAlign w:val="center"/>
          </w:tcPr>
          <w:p w:rsidR="00EC0FDA" w:rsidRDefault="005A2647">
            <w:pPr>
              <w:pStyle w:val="normal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vAlign w:val="center"/>
          </w:tcPr>
          <w:p w:rsidR="00EC0FDA" w:rsidRDefault="005A2647">
            <w:pPr>
              <w:pStyle w:val="normal"/>
              <w:spacing w:line="360" w:lineRule="auto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11" w:type="dxa"/>
            <w:vAlign w:val="center"/>
          </w:tcPr>
          <w:p w:rsidR="00EC0FDA" w:rsidRDefault="00EC0FDA">
            <w:pPr>
              <w:pStyle w:val="normal"/>
              <w:spacing w:line="360" w:lineRule="auto"/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</w:tbl>
    <w:p w:rsidR="00EC0FDA" w:rsidRDefault="00EC0FDA">
      <w:pPr>
        <w:pStyle w:val="normal"/>
        <w:ind w:right="-468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eastAsia="Arial Narrow" w:hAnsi="Arial Narrow" w:cs="Arial Narrow"/>
          <w:sz w:val="22"/>
          <w:szCs w:val="22"/>
        </w:rPr>
        <w:t xml:space="preserve">: 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a) dôvod nadobudnutia vlastných akcií počas účtovného obdobia: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</w:t>
      </w:r>
      <w:r>
        <w:rPr>
          <w:rFonts w:ascii="Arial Narrow" w:eastAsia="Arial Narrow" w:hAnsi="Arial Narrow" w:cs="Arial Narrow"/>
          <w:sz w:val="22"/>
          <w:szCs w:val="22"/>
        </w:rPr>
        <w:t xml:space="preserve">dených vlastných akcií počas účtovného obdobia, pričom sa uvádza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percentualna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hodnota týchto vlastných akcií na upísanom základnom imaní:</w:t>
      </w: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EC0FDA" w:rsidRDefault="005A2647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c) počet, menovitá hodnota a protihodnota, za ktorú sa vlastné akcie nad</w:t>
      </w:r>
      <w:r>
        <w:rPr>
          <w:rFonts w:ascii="Arial Narrow" w:eastAsia="Arial Narrow" w:hAnsi="Arial Narrow" w:cs="Arial Narrow"/>
          <w:sz w:val="22"/>
          <w:szCs w:val="22"/>
        </w:rPr>
        <w:t xml:space="preserve">obudli a ktoré účtovná jednotka má v držbe k poslednému dňu účtovného obdobia; uvádza sa aj ich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percentualny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podiel na upísanom základnom imaní:</w:t>
      </w:r>
    </w:p>
    <w:p w:rsidR="00EC0FDA" w:rsidRDefault="00EC0FDA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  <w:u w:val="single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eastAsia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eastAsia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výnimočný rozs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ah alebo výskyt</w:t>
      </w:r>
      <w:r>
        <w:rPr>
          <w:rFonts w:ascii="Arial Narrow" w:eastAsia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EC0FDA" w:rsidRDefault="00EC0FDA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  <w:u w:val="single"/>
        </w:rPr>
      </w:pPr>
    </w:p>
    <w:p w:rsidR="00EC0FDA" w:rsidRDefault="005A2647">
      <w:pPr>
        <w:pStyle w:val="normal"/>
        <w:spacing w:after="120"/>
        <w:ind w:right="-471"/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Článok V – INFORMÁCIE O INÝCH AKTÍVACH A INÝCH PASÍVACH</w:t>
      </w: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1a) </w:t>
      </w:r>
      <w:r>
        <w:rPr>
          <w:rFonts w:ascii="Arial Narrow" w:eastAsia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eastAsia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</w:t>
      </w:r>
      <w:r>
        <w:rPr>
          <w:rFonts w:ascii="Arial Narrow" w:eastAsia="Arial Narrow" w:hAnsi="Arial Narrow" w:cs="Arial Narrow"/>
          <w:sz w:val="22"/>
          <w:szCs w:val="22"/>
        </w:rPr>
        <w:t>h vznik nezávisí od účtovnej jednotky; týmto majetkom sú – napr. práva zo servisných zmlúv, poistných zmlúv, koncesionárskych zmlúv, licenčných zmlúv: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1b) </w:t>
      </w:r>
      <w:r>
        <w:rPr>
          <w:rFonts w:ascii="Arial Narrow" w:eastAsia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eastAsia="Arial Narrow" w:hAnsi="Arial Narrow" w:cs="Arial Narrow"/>
          <w:sz w:val="22"/>
          <w:szCs w:val="22"/>
        </w:rPr>
        <w:t xml:space="preserve"> – opis a hodnota podmienených záväzkov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vyplývajucich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napr. zo súdnych rozhodnutí,</w:t>
      </w:r>
      <w:r>
        <w:rPr>
          <w:rFonts w:ascii="Arial Narrow" w:eastAsia="Arial Narrow" w:hAnsi="Arial Narrow" w:cs="Arial Narrow"/>
          <w:sz w:val="22"/>
          <w:szCs w:val="22"/>
        </w:rPr>
        <w:t xml:space="preserve"> z 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poskytnutych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záruk, zo všeobecne záväzných právnych predpisov, z ručenia podľa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jednotlivych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druhov ručenia; takými podmienenými záväzkami sú:</w:t>
      </w:r>
    </w:p>
    <w:p w:rsidR="00EC0FDA" w:rsidRDefault="005A2647">
      <w:pPr>
        <w:pStyle w:val="normal"/>
        <w:numPr>
          <w:ilvl w:val="0"/>
          <w:numId w:val="4"/>
        </w:numPr>
        <w:spacing w:after="120"/>
        <w:ind w:left="227" w:hanging="227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</w:t>
      </w:r>
      <w:r>
        <w:rPr>
          <w:rFonts w:ascii="Arial Narrow" w:eastAsia="Arial Narrow" w:hAnsi="Arial Narrow" w:cs="Arial Narrow"/>
          <w:sz w:val="22"/>
          <w:szCs w:val="22"/>
        </w:rPr>
        <w:t>o nenastane jedna alebo viac neistých udalostí v budúcnosti, ktorých vznik nezávisí od účtovnej jednotky:</w:t>
      </w:r>
    </w:p>
    <w:p w:rsidR="00EC0FDA" w:rsidRDefault="005A2647">
      <w:pPr>
        <w:pStyle w:val="normal"/>
        <w:numPr>
          <w:ilvl w:val="0"/>
          <w:numId w:val="4"/>
        </w:numPr>
        <w:ind w:left="227" w:hanging="227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</w:t>
      </w:r>
      <w:r>
        <w:rPr>
          <w:rFonts w:ascii="Arial Narrow" w:eastAsia="Arial Narrow" w:hAnsi="Arial Narrow" w:cs="Arial Narrow"/>
          <w:sz w:val="22"/>
          <w:szCs w:val="22"/>
        </w:rPr>
        <w:t>i bude potrebný úbytok ekonomických úžitkov, alebo výška tejto povinnosti sa nedá spoľahlivo oceniť: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eastAsia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</w:t>
      </w:r>
      <w:r>
        <w:rPr>
          <w:rFonts w:ascii="Arial Narrow" w:eastAsia="Arial Narrow" w:hAnsi="Arial Narrow" w:cs="Arial Narrow"/>
          <w:sz w:val="22"/>
          <w:szCs w:val="22"/>
        </w:rPr>
        <w:t>duktu, uskutočniť investície a veľké opravy: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eastAsia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Style w:val="a9"/>
        <w:bidiVisual/>
        <w:tblW w:w="960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6311"/>
        <w:gridCol w:w="1701"/>
        <w:gridCol w:w="1593"/>
      </w:tblGrid>
      <w:tr w:rsidR="00EC0FDA">
        <w:trPr>
          <w:trHeight w:val="780"/>
          <w:jc w:val="center"/>
        </w:trPr>
        <w:tc>
          <w:tcPr>
            <w:tcW w:w="6311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Názov podsúvahovej položky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593" w:type="dxa"/>
            <w:vAlign w:val="center"/>
          </w:tcPr>
          <w:p w:rsidR="00EC0FDA" w:rsidRDefault="005A264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C0FDA">
        <w:trPr>
          <w:trHeight w:val="260"/>
          <w:jc w:val="center"/>
        </w:trPr>
        <w:tc>
          <w:tcPr>
            <w:tcW w:w="631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</w:tr>
      <w:tr w:rsidR="00EC0FDA">
        <w:trPr>
          <w:trHeight w:val="140"/>
          <w:jc w:val="center"/>
        </w:trPr>
        <w:tc>
          <w:tcPr>
            <w:tcW w:w="631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</w:tr>
      <w:tr w:rsidR="00EC0FDA">
        <w:trPr>
          <w:trHeight w:val="160"/>
          <w:jc w:val="center"/>
        </w:trPr>
        <w:tc>
          <w:tcPr>
            <w:tcW w:w="631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</w:tr>
      <w:tr w:rsidR="00EC0FDA">
        <w:trPr>
          <w:trHeight w:val="160"/>
          <w:jc w:val="center"/>
        </w:trPr>
        <w:tc>
          <w:tcPr>
            <w:tcW w:w="631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EC0FDA">
        <w:trPr>
          <w:trHeight w:val="160"/>
          <w:jc w:val="center"/>
        </w:trPr>
        <w:tc>
          <w:tcPr>
            <w:tcW w:w="631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EC0FDA">
        <w:trPr>
          <w:trHeight w:val="160"/>
          <w:jc w:val="center"/>
        </w:trPr>
        <w:tc>
          <w:tcPr>
            <w:tcW w:w="6311" w:type="dxa"/>
            <w:vAlign w:val="center"/>
          </w:tcPr>
          <w:p w:rsidR="00EC0FDA" w:rsidRDefault="005A2647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EC0FDA" w:rsidRDefault="00EC0FDA">
            <w:pPr>
              <w:pStyle w:val="normal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</w:tbl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EC0FDA">
      <w:pPr>
        <w:pStyle w:val="normal"/>
        <w:ind w:right="-468"/>
        <w:jc w:val="center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ind w:right="-468"/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Článok VI – UDALOSTI, KTORÉ NASTALI PO ZÁVIERKOVOM DNI</w:t>
      </w:r>
    </w:p>
    <w:p w:rsidR="00EC0FDA" w:rsidRDefault="005A2647">
      <w:pPr>
        <w:pStyle w:val="normal"/>
        <w:ind w:right="-468"/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(Následné udalosti)</w:t>
      </w:r>
    </w:p>
    <w:p w:rsidR="00EC0FDA" w:rsidRDefault="00EC0FDA">
      <w:pPr>
        <w:pStyle w:val="normal"/>
        <w:ind w:right="-468"/>
        <w:jc w:val="center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 a ktoré nie sú zohľadnené v súvahe alebo vo výkaze z</w:t>
      </w:r>
      <w:r>
        <w:rPr>
          <w:rFonts w:ascii="Arial Narrow" w:eastAsia="Arial Narrow" w:hAnsi="Arial Narrow" w:cs="Arial Narrow"/>
          <w:sz w:val="22"/>
          <w:szCs w:val="22"/>
        </w:rPr>
        <w:t>iskov a strát, napríklad:</w:t>
      </w: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a)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eastAsia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b) </w:t>
      </w:r>
      <w:r>
        <w:rPr>
          <w:rFonts w:ascii="Arial Narrow" w:eastAsia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eastAsia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c) Zmena spoločníkov účtovnej jednotky: 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d) Prijaté rozhodnutia o predaji účtovnej</w:t>
      </w:r>
      <w:r>
        <w:rPr>
          <w:rFonts w:ascii="Arial Narrow" w:eastAsia="Arial Narrow" w:hAnsi="Arial Narrow" w:cs="Arial Narrow"/>
          <w:sz w:val="22"/>
          <w:szCs w:val="22"/>
        </w:rPr>
        <w:t xml:space="preserve"> jednotky alebo jej časti: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e) Zmeny významných položiek dlhodobého finančného majetku: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 prevádzkarne: 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g) Vydané dlhopisy a iné cenné papiere: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účtovná jednotka nevlastní cenné papiere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b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ascii="Arial Narrow" w:eastAsia="Arial Narrow" w:hAnsi="Arial Narrow" w:cs="Arial Narrow"/>
          <w:b/>
          <w:sz w:val="22"/>
          <w:szCs w:val="22"/>
        </w:rPr>
        <w:t>účtovná jednotka zmenila 03.12.2016</w:t>
      </w:r>
      <w:r>
        <w:rPr>
          <w:rFonts w:ascii="Arial Narrow" w:eastAsia="Arial Narrow" w:hAnsi="Arial Narrow" w:cs="Arial Narrow"/>
          <w:sz w:val="22"/>
          <w:szCs w:val="22"/>
        </w:rPr>
        <w:t xml:space="preserve">   </w:t>
      </w:r>
      <w:r>
        <w:rPr>
          <w:rFonts w:ascii="Arial Narrow" w:eastAsia="Arial Narrow" w:hAnsi="Arial Narrow" w:cs="Arial Narrow"/>
          <w:b/>
          <w:sz w:val="22"/>
          <w:szCs w:val="22"/>
        </w:rPr>
        <w:t>názov na JUMA Mont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s.r.o., miesto podnikania , IČO, DIČ zostalo </w:t>
      </w:r>
      <w:proofErr w:type="spellStart"/>
      <w:r>
        <w:rPr>
          <w:rFonts w:ascii="Arial Narrow" w:eastAsia="Arial Narrow" w:hAnsi="Arial Narrow" w:cs="Arial Narrow"/>
          <w:b/>
          <w:sz w:val="22"/>
          <w:szCs w:val="22"/>
        </w:rPr>
        <w:t>nezmené</w:t>
      </w:r>
      <w:proofErr w:type="spellEnd"/>
      <w:r>
        <w:rPr>
          <w:rFonts w:ascii="Arial Narrow" w:eastAsia="Arial Narrow" w:hAnsi="Arial Narrow" w:cs="Arial Narrow"/>
          <w:b/>
          <w:sz w:val="22"/>
          <w:szCs w:val="22"/>
        </w:rPr>
        <w:t xml:space="preserve"> t.j. zostalo pôvodné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i) M</w:t>
      </w:r>
      <w:r>
        <w:rPr>
          <w:rFonts w:ascii="Arial Narrow" w:eastAsia="Arial Narrow" w:hAnsi="Arial Narrow" w:cs="Arial Narrow"/>
          <w:sz w:val="22"/>
          <w:szCs w:val="22"/>
        </w:rPr>
        <w:t xml:space="preserve">imoriadne udalosti, ak majú vplyv na hospodárenie účtovnej jednotky, napr. živelná pohroma: </w:t>
      </w:r>
    </w:p>
    <w:p w:rsidR="00EC0FDA" w:rsidRDefault="005A2647">
      <w:pPr>
        <w:pStyle w:val="normal"/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   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na hospodárenie účtovnej jednotky nemali vplyv žiadne </w:t>
      </w:r>
      <w:proofErr w:type="spellStart"/>
      <w:r>
        <w:rPr>
          <w:rFonts w:ascii="Arial Narrow" w:eastAsia="Arial Narrow" w:hAnsi="Arial Narrow" w:cs="Arial Narrow"/>
          <w:b/>
          <w:sz w:val="22"/>
          <w:szCs w:val="22"/>
        </w:rPr>
        <w:t>mimiriadne</w:t>
      </w:r>
      <w:proofErr w:type="spellEnd"/>
      <w:r>
        <w:rPr>
          <w:rFonts w:ascii="Arial Narrow" w:eastAsia="Arial Narrow" w:hAnsi="Arial Narrow" w:cs="Arial Narrow"/>
          <w:b/>
          <w:sz w:val="22"/>
          <w:szCs w:val="22"/>
        </w:rPr>
        <w:t xml:space="preserve"> udalosti</w:t>
      </w:r>
    </w:p>
    <w:p w:rsidR="00EC0FDA" w:rsidRDefault="00EC0FDA">
      <w:pPr>
        <w:pStyle w:val="normal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EC0FDA">
      <w:pPr>
        <w:pStyle w:val="normal"/>
        <w:ind w:right="-468"/>
        <w:jc w:val="center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EC0FDA">
      <w:pPr>
        <w:pStyle w:val="normal"/>
        <w:ind w:right="-468"/>
        <w:jc w:val="center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ind w:right="-468"/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Článok VII – OSTATNÉ INFORMÁCIE</w:t>
      </w:r>
    </w:p>
    <w:p w:rsidR="00EC0FDA" w:rsidRDefault="00EC0FDA">
      <w:pPr>
        <w:pStyle w:val="normal"/>
        <w:ind w:right="-468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EC0FDA" w:rsidRDefault="005A2647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1) Informácie o výlučnom práve poskytovať služby vo verejnom záujme: spoločnosť neposkytovala služby vo verejnom</w:t>
      </w:r>
    </w:p>
    <w:p w:rsidR="00EC0FDA" w:rsidRDefault="005A2647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    záujme</w:t>
      </w:r>
    </w:p>
    <w:p w:rsidR="00EC0FDA" w:rsidRDefault="005A2647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2</w:t>
      </w:r>
      <w:r>
        <w:rPr>
          <w:rFonts w:ascii="Arial Narrow" w:eastAsia="Arial Narrow" w:hAnsi="Arial Narrow" w:cs="Arial Narrow"/>
          <w:sz w:val="22"/>
          <w:szCs w:val="22"/>
        </w:rPr>
        <w:t xml:space="preserve">) Informácie o osobitnej kategórii priemyselnej výroby (§ 23d/6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):</w:t>
      </w:r>
    </w:p>
    <w:p w:rsidR="00EC0FDA" w:rsidRDefault="005A2647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    nemá náplň</w:t>
      </w:r>
    </w:p>
    <w:p w:rsidR="00EC0FDA" w:rsidRDefault="005A2647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>):</w:t>
      </w:r>
    </w:p>
    <w:p w:rsidR="00EC0FDA" w:rsidRDefault="005A2647">
      <w:pPr>
        <w:pStyle w:val="normal"/>
        <w:spacing w:after="120"/>
        <w:ind w:right="-47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   uvedený bod nemá náplň</w:t>
      </w:r>
    </w:p>
    <w:sectPr w:rsidR="00EC0FDA" w:rsidSect="00EC0FDA">
      <w:headerReference w:type="default" r:id="rId7"/>
      <w:footerReference w:type="default" r:id="rId8"/>
      <w:pgSz w:w="11907" w:h="16840"/>
      <w:pgMar w:top="1417" w:right="992" w:bottom="1417" w:left="1417" w:header="0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0FDA" w:rsidRDefault="00EC0FDA" w:rsidP="00EC0FDA">
      <w:r>
        <w:separator/>
      </w:r>
    </w:p>
  </w:endnote>
  <w:endnote w:type="continuationSeparator" w:id="1">
    <w:p w:rsidR="00EC0FDA" w:rsidRDefault="00EC0FDA" w:rsidP="00EC0F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FDA" w:rsidRDefault="00EC0FDA">
    <w:pPr>
      <w:pStyle w:val="normal"/>
      <w:tabs>
        <w:tab w:val="center" w:pos="4536"/>
        <w:tab w:val="right" w:pos="9072"/>
      </w:tabs>
      <w:jc w:val="right"/>
      <w:rPr>
        <w:sz w:val="24"/>
        <w:szCs w:val="24"/>
      </w:rPr>
    </w:pPr>
    <w:r>
      <w:rPr>
        <w:sz w:val="24"/>
        <w:szCs w:val="24"/>
      </w:rPr>
      <w:fldChar w:fldCharType="begin"/>
    </w:r>
    <w:r w:rsidR="005A2647">
      <w:rPr>
        <w:sz w:val="24"/>
        <w:szCs w:val="24"/>
      </w:rPr>
      <w:instrText>P</w:instrText>
    </w:r>
    <w:r w:rsidR="005A2647">
      <w:rPr>
        <w:sz w:val="24"/>
        <w:szCs w:val="24"/>
      </w:rPr>
      <w:instrText>AGE</w:instrText>
    </w:r>
    <w:r w:rsidR="005A2647">
      <w:rPr>
        <w:sz w:val="24"/>
        <w:szCs w:val="24"/>
      </w:rPr>
      <w:fldChar w:fldCharType="separate"/>
    </w:r>
    <w:r w:rsidR="005A2647">
      <w:rPr>
        <w:noProof/>
        <w:sz w:val="24"/>
        <w:szCs w:val="24"/>
      </w:rPr>
      <w:t>1</w:t>
    </w:r>
    <w:r>
      <w:rPr>
        <w:sz w:val="24"/>
        <w:szCs w:val="24"/>
      </w:rPr>
      <w:fldChar w:fldCharType="end"/>
    </w:r>
  </w:p>
  <w:p w:rsidR="00EC0FDA" w:rsidRDefault="00EC0FDA">
    <w:pPr>
      <w:pStyle w:val="normal"/>
      <w:tabs>
        <w:tab w:val="center" w:pos="4536"/>
        <w:tab w:val="right" w:pos="9072"/>
      </w:tabs>
      <w:spacing w:after="567"/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0FDA" w:rsidRDefault="00EC0FDA" w:rsidP="00EC0FDA">
      <w:r>
        <w:separator/>
      </w:r>
    </w:p>
  </w:footnote>
  <w:footnote w:type="continuationSeparator" w:id="1">
    <w:p w:rsidR="00EC0FDA" w:rsidRDefault="00EC0FDA" w:rsidP="00EC0F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FDA" w:rsidRDefault="005A2647">
    <w:pPr>
      <w:pStyle w:val="normal"/>
      <w:tabs>
        <w:tab w:val="left" w:pos="2990"/>
        <w:tab w:val="left" w:pos="6348"/>
      </w:tabs>
      <w:spacing w:before="567"/>
      <w:ind w:left="-397"/>
      <w:jc w:val="center"/>
      <w:rPr>
        <w:rFonts w:ascii="Arial" w:eastAsia="Arial" w:hAnsi="Arial" w:cs="Arial"/>
        <w:sz w:val="22"/>
        <w:szCs w:val="22"/>
      </w:rPr>
    </w:pPr>
    <w:r>
      <w:rPr>
        <w:rFonts w:ascii="Arial" w:eastAsia="Arial" w:hAnsi="Arial" w:cs="Arial"/>
        <w:sz w:val="22"/>
        <w:szCs w:val="22"/>
      </w:rPr>
      <w:t xml:space="preserve">Poznámky </w:t>
    </w:r>
    <w:proofErr w:type="spellStart"/>
    <w:r>
      <w:rPr>
        <w:rFonts w:ascii="Arial" w:eastAsia="Arial" w:hAnsi="Arial" w:cs="Arial"/>
        <w:sz w:val="22"/>
        <w:szCs w:val="22"/>
      </w:rPr>
      <w:t>Úč</w:t>
    </w:r>
    <w:proofErr w:type="spellEnd"/>
    <w:r>
      <w:rPr>
        <w:rFonts w:ascii="Arial" w:eastAsia="Arial" w:hAnsi="Arial" w:cs="Arial"/>
        <w:sz w:val="22"/>
        <w:szCs w:val="22"/>
      </w:rPr>
      <w:t xml:space="preserve"> POD 3 – 01                           IČO: </w:t>
    </w:r>
    <w:r>
      <w:rPr>
        <w:rFonts w:ascii="Arial" w:eastAsia="Arial" w:hAnsi="Arial" w:cs="Arial"/>
        <w:sz w:val="22"/>
        <w:szCs w:val="22"/>
      </w:rPr>
      <w:t>48109169</w:t>
    </w:r>
    <w:r>
      <w:rPr>
        <w:rFonts w:ascii="Arial" w:eastAsia="Arial" w:hAnsi="Arial" w:cs="Arial"/>
        <w:sz w:val="22"/>
        <w:szCs w:val="22"/>
      </w:rPr>
      <w:t xml:space="preserve">        DIČ: </w:t>
    </w:r>
    <w:r>
      <w:rPr>
        <w:rFonts w:ascii="Arial" w:eastAsia="Arial" w:hAnsi="Arial" w:cs="Arial"/>
        <w:sz w:val="22"/>
        <w:szCs w:val="22"/>
      </w:rPr>
      <w:t>2120062131</w:t>
    </w:r>
  </w:p>
  <w:p w:rsidR="00EC0FDA" w:rsidRDefault="00EC0FDA">
    <w:pPr>
      <w:pStyle w:val="normal"/>
      <w:tabs>
        <w:tab w:val="center" w:pos="4703"/>
        <w:tab w:val="right" w:pos="9406"/>
      </w:tabs>
      <w:rPr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54735"/>
    <w:multiLevelType w:val="multilevel"/>
    <w:tmpl w:val="EE582BE6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abstractNum w:abstractNumId="1">
    <w:nsid w:val="48BE6AD8"/>
    <w:multiLevelType w:val="multilevel"/>
    <w:tmpl w:val="42FADBAC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abstractNum w:abstractNumId="2">
    <w:nsid w:val="4A1123C1"/>
    <w:multiLevelType w:val="multilevel"/>
    <w:tmpl w:val="B588BF70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abstractNum w:abstractNumId="3">
    <w:nsid w:val="6C39237B"/>
    <w:multiLevelType w:val="multilevel"/>
    <w:tmpl w:val="B652EEAA"/>
    <w:lvl w:ilvl="0">
      <w:start w:val="1"/>
      <w:numFmt w:val="decimal"/>
      <w:lvlText w:val="%1."/>
      <w:lvlJc w:val="left"/>
      <w:pPr>
        <w:ind w:left="360" w:firstLine="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firstLine="72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firstLine="162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firstLine="21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firstLine="288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firstLine="37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firstLine="432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firstLine="504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firstLine="5940"/>
      </w:pPr>
      <w:rPr>
        <w:vertAlign w:val="baseline"/>
      </w:rPr>
    </w:lvl>
  </w:abstractNum>
  <w:abstractNum w:abstractNumId="4">
    <w:nsid w:val="6DFF1EEF"/>
    <w:multiLevelType w:val="multilevel"/>
    <w:tmpl w:val="CCE0539E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0FDA"/>
    <w:rsid w:val="005A2647"/>
    <w:rsid w:val="00EC0F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al"/>
    <w:next w:val="normal"/>
    <w:rsid w:val="00EC0FD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EC0FD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rsid w:val="00EC0FD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EC0FDA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EC0FDA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EC0FDA"/>
    <w:pPr>
      <w:keepNext/>
      <w:keepLines/>
      <w:spacing w:before="200" w:after="40"/>
      <w:contextualSpacing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EC0FDA"/>
  </w:style>
  <w:style w:type="table" w:customStyle="1" w:styleId="TableNormal">
    <w:name w:val="Table Normal"/>
    <w:rsid w:val="00EC0FD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EC0FD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EC0FD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rsid w:val="00EC0FD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"/>
    <w:rsid w:val="00EC0FD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2933</Words>
  <Characters>16721</Characters>
  <Application>Microsoft Office Word</Application>
  <DocSecurity>0</DocSecurity>
  <Lines>139</Lines>
  <Paragraphs>39</Paragraphs>
  <ScaleCrop>false</ScaleCrop>
  <Company>Hewlett-Packard Company</Company>
  <LinksUpToDate>false</LinksUpToDate>
  <CharactersWithSpaces>19615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2017-06-10T20:50:00Z</dcterms:created>
  <dcterms:modified xsi:type="dcterms:W3CDTF">2017-06-10T20:50:00Z</dcterms:modified>
</cp:coreProperties>
</file>