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enter" w:pos="4536" w:leader="none"/>
        </w:tabs>
        <w:jc w:val="center"/>
        <w:rPr>
          <w:rFonts w:ascii="Traditional Arabic" w:hAnsi="Traditional Arabic" w:cs="Traditional Arabic"/>
          <w:color w:val="0033CC"/>
        </w:rPr>
      </w:pPr>
      <w:r>
        <mc:AlternateContent>
          <mc:Choice Requires="wps">
            <w:drawing>
              <wp:anchor behindDoc="0" distT="0" distB="0" distL="113665" distR="114300" simplePos="0" locked="0" layoutInCell="1" allowOverlap="1" relativeHeight="2" wp14:anchorId="3E067EED">
                <wp:simplePos x="0" y="0"/>
                <wp:positionH relativeFrom="column">
                  <wp:posOffset>-4445</wp:posOffset>
                </wp:positionH>
                <wp:positionV relativeFrom="paragraph">
                  <wp:posOffset>-4445</wp:posOffset>
                </wp:positionV>
                <wp:extent cx="300990" cy="255905"/>
                <wp:effectExtent l="122555" t="122555" r="21590" b="28575"/>
                <wp:wrapNone/>
                <wp:docPr id="1" name="AutoShape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0240" cy="255240"/>
                        </a:xfrm>
                        <a:prstGeom prst="cube">
                          <a:avLst>
                            <a:gd name="adj" fmla="val 25000"/>
                          </a:avLst>
                        </a:prstGeom>
                        <a:solidFill>
                          <a:srgbClr val="4f81bd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shapetype_16" coordsize="21600,21600" o:spt="16" adj="5400" path="m0@0l@5@0l@5,21600l,21600xnsem@5@0l21600,l21600@1l@5,21600xnsem0@0l@0,l21600,l@5@0xnsem0@0l@0,l21600,l21600@1l@5,21600l,21600xm0@0l@5@0l21600,m@5@0l@5,21600nfe">
                <v:stroke joinstyle="miter"/>
                <v:formulas>
                  <v:f eqn="val #0"/>
                  <v:f eqn="sum height 0 @0"/>
                  <v:f eqn="prod @1 1 2"/>
                  <v:f eqn="sum @0 height 0"/>
                  <v:f eqn="prod 1 @3 2"/>
                  <v:f eqn="sum width 0 @0"/>
                  <v:f eqn="prod @5 1 2"/>
                  <v:f eqn="sum @0 width 0"/>
                  <v:f eqn="prod 1 @7 2"/>
                </v:formulas>
                <v:path gradientshapeok="t" o:connecttype="rect" textboxrect="0,@0,@5,21600"/>
                <v:handles>
                  <v:h position="0,@0"/>
                </v:handles>
              </v:shapetype>
              <v:shape id="shape_0" ID="AutoShape 2" fillcolor="#4f81bd" stroked="f" style="position:absolute;margin-left:-0.35pt;margin-top:-0.35pt;width:23.6pt;height:20.05pt" wp14:anchorId="3E067EED" type="shapetype_16">
                <w10:wrap type="none"/>
                <v:fill o:detectmouseclick="t" type="solid" color2="#b07e42"/>
                <v:stroke color="#3465a4" joinstyle="round" endcap="flat"/>
              </v:shape>
            </w:pict>
          </mc:Fallback>
        </mc:AlternateContent>
        <mc:AlternateContent>
          <mc:Choice Requires="wps">
            <w:drawing>
              <wp:anchor behindDoc="0" distT="0" distB="0" distL="114300" distR="114300" simplePos="0" locked="0" layoutInCell="1" allowOverlap="1" relativeHeight="3" wp14:anchorId="3DADFFBE">
                <wp:simplePos x="0" y="0"/>
                <wp:positionH relativeFrom="column">
                  <wp:posOffset>0</wp:posOffset>
                </wp:positionH>
                <wp:positionV relativeFrom="paragraph">
                  <wp:posOffset>247650</wp:posOffset>
                </wp:positionV>
                <wp:extent cx="5829935" cy="1270"/>
                <wp:effectExtent l="12700" t="19050" r="25400" b="19050"/>
                <wp:wrapNone/>
                <wp:docPr id="2" name="Line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480" cy="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33cc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19.5pt" to="458.95pt,19.5pt" ID="Line 3" stroked="t" style="position:absolute" wp14:anchorId="3DADFFBE">
                <v:stroke color="#0033cc" weight="9360" joinstyle="round" endcap="flat"/>
                <v:fill o:detectmouseclick="t" on="false"/>
              </v:line>
            </w:pict>
          </mc:Fallback>
        </mc:AlternateContent>
      </w:r>
      <w:r>
        <w:rPr>
          <w:rFonts w:cs="Traditional Arabic" w:ascii="Traditional Arabic" w:hAnsi="Traditional Arabic"/>
          <w:color w:val="0033CC"/>
        </w:rPr>
        <w:t>ALLEA, n.o., Komenského 1310/103, 024 01 Kysucké Nové Mesto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  <w:t>VÝROČNÁ SPRÁVA</w:t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  <w:t>ZA ROK 2016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Kysucké Nové Mesto</w:t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jún 2017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  <w:t>Predkladá:    Ing. Beáta Topoľská</w:t>
      </w:r>
    </w:p>
    <w:p>
      <w:pPr>
        <w:pStyle w:val="Normal"/>
        <w:rPr/>
      </w:pPr>
      <w:r>
        <w:rPr/>
        <w:t xml:space="preserve">                     </w:t>
      </w:r>
      <w:r>
        <w:rPr/>
        <w:t>riaditeľka n. o.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Základné údaje o neziskovej organizácii</w:t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  <w:t>Názov:</w:t>
        <w:tab/>
        <w:tab/>
      </w:r>
      <w:r>
        <w:rPr>
          <w:b/>
          <w:sz w:val="28"/>
          <w:szCs w:val="28"/>
        </w:rPr>
        <w:t>ALLEA, n.o.</w:t>
      </w:r>
    </w:p>
    <w:p>
      <w:pPr>
        <w:pStyle w:val="Normal"/>
        <w:spacing w:lineRule="auto" w:line="360"/>
        <w:jc w:val="both"/>
        <w:rPr>
          <w:b/>
          <w:b/>
          <w:sz w:val="28"/>
          <w:szCs w:val="28"/>
        </w:rPr>
      </w:pPr>
      <w:r>
        <w:rPr>
          <w:sz w:val="28"/>
          <w:szCs w:val="28"/>
        </w:rPr>
        <w:t>Právna forma:</w:t>
        <w:tab/>
      </w:r>
      <w:r>
        <w:rPr>
          <w:b/>
          <w:sz w:val="28"/>
          <w:szCs w:val="28"/>
        </w:rPr>
        <w:t>nezisková organizácia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  <w:t>Sídlo:</w:t>
        <w:tab/>
        <w:tab/>
        <w:tab/>
      </w:r>
      <w:r>
        <w:rPr>
          <w:b/>
          <w:sz w:val="28"/>
          <w:szCs w:val="28"/>
        </w:rPr>
        <w:t>Komenského 1310/103, 024 01 Kysucké Nové Mesto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  <w:t>IČO:</w:t>
        <w:tab/>
        <w:tab/>
        <w:tab/>
      </w:r>
      <w:r>
        <w:rPr>
          <w:b/>
          <w:sz w:val="28"/>
          <w:szCs w:val="28"/>
        </w:rPr>
        <w:t>42165732</w:t>
      </w:r>
    </w:p>
    <w:p>
      <w:pPr>
        <w:pStyle w:val="Normal"/>
        <w:spacing w:lineRule="auto" w:line="360"/>
        <w:jc w:val="both"/>
        <w:rPr>
          <w:b/>
          <w:b/>
          <w:sz w:val="28"/>
          <w:szCs w:val="28"/>
        </w:rPr>
      </w:pPr>
      <w:r>
        <w:rPr>
          <w:sz w:val="28"/>
          <w:szCs w:val="28"/>
        </w:rPr>
        <w:t>DIČ:</w:t>
        <w:tab/>
        <w:tab/>
        <w:tab/>
      </w:r>
      <w:r>
        <w:rPr>
          <w:b/>
          <w:sz w:val="28"/>
          <w:szCs w:val="28"/>
        </w:rPr>
        <w:t>2022724737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Registrácia:</w:t>
        <w:tab/>
        <w:tab/>
        <w:t>dňa 11.10.2008 pod č. OVVS/NO-15/08 ako nezisková organizácia poskytujúce všeobecne prospešné služby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Doba trvania:</w:t>
        <w:tab/>
        <w:t>nezisková organizácia založená na dobu neurčitú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Zakladatelia:</w:t>
        <w:tab/>
        <w:t>Naďa Ďurčeková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ab/>
        <w:t>Ing. Beáta Topoľská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Kontakt:</w:t>
        <w:tab/>
      </w:r>
      <w:r>
        <w:rPr>
          <w:b/>
          <w:sz w:val="28"/>
          <w:szCs w:val="28"/>
        </w:rPr>
        <w:t>Ing. Beáta Topoľská, riaditeľka n.o.</w:t>
      </w:r>
    </w:p>
    <w:p>
      <w:pPr>
        <w:pStyle w:val="Normal"/>
        <w:spacing w:lineRule="auto" w:line="360"/>
        <w:ind w:left="2120" w:hanging="0"/>
        <w:jc w:val="both"/>
        <w:rPr/>
      </w:pPr>
      <w:r>
        <w:rPr>
          <w:b/>
          <w:sz w:val="28"/>
          <w:szCs w:val="28"/>
        </w:rPr>
        <w:t xml:space="preserve">e-mail: </w:t>
      </w:r>
      <w:hyperlink r:id="rId2">
        <w:r>
          <w:rPr>
            <w:rStyle w:val="Internetovodkaz"/>
            <w:b/>
            <w:color w:val="00000A"/>
            <w:sz w:val="28"/>
            <w:szCs w:val="28"/>
            <w:u w:val="none"/>
          </w:rPr>
          <w:t>alleanosk@gmail.com</w:t>
        </w:r>
      </w:hyperlink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História a identifikácia neziskovej organizácie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ALLEA, n.o. vznikla na základe Zakladacej listiny zo dňa 14.8.2008 a podľa zýákona NR SR č. 213/1997 Z.z. o neziskových organizáciách poskytujúcich všetobecne prospešné služby.</w:t>
      </w:r>
    </w:p>
    <w:p>
      <w:pPr>
        <w:pStyle w:val="Normal"/>
        <w:jc w:val="both"/>
        <w:rPr/>
      </w:pPr>
      <w:r>
        <w:rPr/>
        <w:t>Nezisková organizácia ALLEA, n.o. bola právoplatne zaregistrovaná na Obvodno úrade v Žiline. Dňa 10.11.2008 nadobudlo rozhodnutie o registrácii právoplatnosť a bola zapísaná do Registra neziskových organizácií.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Predmetom činnosti neziskovej organizácie je poskytovanie nasledujúcich všeobecne prospešných služieb:</w:t>
      </w:r>
    </w:p>
    <w:p>
      <w:pPr>
        <w:pStyle w:val="Normal"/>
        <w:jc w:val="both"/>
        <w:rPr/>
      </w:pPr>
      <w:r>
        <w:rPr/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celoživotné vzdelávanie a výchova dospelých v oblasti práva, financií, daní a účtovníctva, riadenia a rozvoja ľudských zdrojov, marketingu a obchodu, manažmentu, európskej integrácie, výpočtovej techniky, jazykov, cestovného ruchu a umenia,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kariérne poradenstvo pre študentov základných, stredných a vysokých škôl,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organizovanie rôznych kultúrnych, spoločenských, športových a iných aktivít,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organizovanie víkendových programov (táborov) pre deti  a mládež,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organizovanie turistických jedno aj viacdňových výletov s cieľom prehĺbenia vzťahu detí, mldeže a dospelých k prírode,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organizačné poradenstvo (tvorba grantoých proejktov, analýza ponukových možností, poskytovanie prehľadov grantových schém),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vorba, odborná asistencia, vyplňovanie formulárov a manažovanie európskych projektov,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spracovanie a manažovanie grantových schém, posudzovanie a hodnotenie projektov.</w:t>
      </w:r>
    </w:p>
    <w:p>
      <w:pPr>
        <w:pStyle w:val="Normal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Orgány neziskovej organizácie: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Správna rada  -  je najvyšší orgán</w:t>
      </w:r>
    </w:p>
    <w:p>
      <w:pPr>
        <w:pStyle w:val="Normal"/>
        <w:ind w:left="360" w:hanging="0"/>
        <w:jc w:val="both"/>
        <w:rPr/>
      </w:pPr>
      <w:r>
        <w:rPr/>
        <w:t>Riaditeľ          -  je štatutárnym orgánom</w:t>
      </w:r>
    </w:p>
    <w:p>
      <w:pPr>
        <w:pStyle w:val="Normal"/>
        <w:ind w:left="360" w:hanging="0"/>
        <w:jc w:val="both"/>
        <w:rPr/>
      </w:pPr>
      <w:r>
        <w:rPr/>
        <w:t>Revízor          -  je kontrolný orgán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Správna rada neziskovej organizácie má troch členov, z ktorých na prvom stretnutí bola jednomyseľne zvolená PhDr. Renáta Švarcová za predsedu správnej rady.</w:t>
      </w:r>
    </w:p>
    <w:p>
      <w:pPr>
        <w:pStyle w:val="Normal"/>
        <w:ind w:left="360" w:hanging="0"/>
        <w:jc w:val="both"/>
        <w:rPr/>
      </w:pPr>
      <w:r>
        <w:rPr/>
        <w:t>Členmi správnej rady sú :</w:t>
      </w:r>
    </w:p>
    <w:p>
      <w:pPr>
        <w:pStyle w:val="Normal"/>
        <w:ind w:left="360" w:hanging="0"/>
        <w:jc w:val="both"/>
        <w:rPr/>
      </w:pPr>
      <w:r>
        <w:rPr/>
        <w:t>PhDr. Renáta Švarcová</w:t>
      </w:r>
    </w:p>
    <w:p>
      <w:pPr>
        <w:pStyle w:val="Normal"/>
        <w:ind w:left="360" w:hanging="0"/>
        <w:jc w:val="both"/>
        <w:rPr/>
      </w:pPr>
      <w:r>
        <w:rPr/>
        <w:t>JUDr. Gabriela Marčanová</w:t>
      </w:r>
    </w:p>
    <w:p>
      <w:pPr>
        <w:pStyle w:val="Normal"/>
        <w:ind w:left="360" w:hanging="0"/>
        <w:jc w:val="both"/>
        <w:rPr/>
      </w:pPr>
      <w:r>
        <w:rPr/>
        <w:t>MUDr. Katarína Vargová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Riaditeľom neziskovej organizácie je :</w:t>
      </w:r>
    </w:p>
    <w:p>
      <w:pPr>
        <w:pStyle w:val="Normal"/>
        <w:ind w:left="360" w:hanging="0"/>
        <w:jc w:val="both"/>
        <w:rPr/>
      </w:pPr>
      <w:r>
        <w:rPr/>
        <w:t>Ing. Beáta Topoľská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Revízor neziskovej organizácie:</w:t>
      </w:r>
    </w:p>
    <w:p>
      <w:pPr>
        <w:pStyle w:val="Normal"/>
        <w:ind w:left="360" w:hanging="0"/>
        <w:jc w:val="both"/>
        <w:rPr/>
      </w:pPr>
      <w:r>
        <w:rPr/>
        <w:t>Bc. Jana Závodská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V orgánoch neziskovej organizácie ALLEA, n.o. v priebehu roka 2016 nenastali nijaké personálne ani organizačné zmeny.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</w:t>
      </w:r>
      <w:r>
        <w:rPr/>
        <w:tab/>
        <w:tab/>
        <w:tab/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Prehľad činnosti a hospodárenia neziskovej organizácie v roku 2016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V období od 1.1.2016 do 31.12.2016 vykonala nezisková organizcáia všetky všeobecne prospešné služby uvedené v zakladacej listine a štatúre. Zrealizovala najmä nasledujúce činnosti: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celoživotné vzdelávanie a výchova dospelých – realizácia vzdelávacieho podujatia v oblasti možností čerpania finančných prostriedkov, realizácie projektov a k problematike verejného o</w:t>
      </w:r>
      <w:r>
        <w:rPr/>
        <w:t>b</w:t>
      </w:r>
      <w:r>
        <w:rPr/>
        <w:t>starávania v apríli 2016 v  Château Gbeľany,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kariérne poradenstvo – pokračovala spolupráca pri poskytovaní kariérneho poradenstva vysokoškolským študentom v spolupráci s Vedecko-technologickým inkubátorom Žilinskej Univerzity,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/>
        <w:t>organizovanie rôznych kultúrnych, spoločenských, športových a iných aktivít – pomocné činnosti pri organizovaní súťaže Klobúčik hop! pre sociálne slabšie skupiny obce Stráne v júni 2016,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organizovanie víkendových programov pre deti a mládež – siedmy tematicky zameraný víkendový pobyt pre deti, mládež a dospelých v Kalinčiakove vrátane návštevy kúpaliska Margita a Ilona v Leviciach a iných športových aktivít,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organizovanie výletov – jednodňový turistický výlet do Slovenského raja – Suchá Belá v júli 2016, jednodňový turistický výlet na Chatu pod Suchým v decembri 2016,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Mikulášske posedenie pre deti členov Rybárskeho zväzu, miestna organizácia Kysucké Nové Mesto,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organizačné poradenstvo, asistencia a manažovanie – gratny a projekty – subjekty súkromného sektora, samospráva (Mesto Vráble).</w:t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  <w:t>V marci 2016 ALLEA, n.o. obdržala od Ministerstva pôdohospodárstva a rozvoja vidieka SR Oznámenie o schválení obsahového námetu vzdelávacej a informačnej aktivity s názvom Podnikanie vo vidieckom cestovnom ruchu. V priebehu roka 2016 nedošlo k vyhláseniu avizovanej výzvy na predkladanie žiadostí o nenávratný finančný príspevok, ktorej povinnosu prílohou má byť predmetné kladné oznámenie. Do dňa predloženia výročnej správy Ministerstvo Pôdohospodárstva a rzovoja vidieka SR neinformovalo o ďalšom postupe subjektov, ktoré majú schválené obsahové námety a môžu v prípade vyhlásenia výzvy žiadať o nenávratný finančý príspevok na vzdelávacie aktivity.</w:t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  <w:t>V roku 2016 sa ALLEA, n.o. zaregistrovala do zoznamu subjketov, ktoré môžu byť v roku 2017 prijímateľmi 2% dane z príjmov.</w:t>
      </w:r>
    </w:p>
    <w:p>
      <w:pPr>
        <w:pStyle w:val="Normal"/>
        <w:jc w:val="both"/>
        <w:rPr>
          <w:lang w:val="en-US"/>
        </w:rPr>
      </w:pPr>
      <w:bookmarkStart w:id="0" w:name="_GoBack"/>
      <w:bookmarkStart w:id="1" w:name="_GoBack"/>
      <w:bookmarkEnd w:id="1"/>
      <w:r>
        <w:rPr>
          <w:lang w:val="en-US"/>
        </w:rPr>
      </w:r>
    </w:p>
    <w:p>
      <w:pPr>
        <w:pStyle w:val="ListParagraph"/>
        <w:jc w:val="both"/>
        <w:rPr>
          <w:lang w:val="en-US"/>
        </w:rPr>
      </w:pPr>
      <w:r>
        <w:rPr>
          <w:lang w:val="en-US"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Prehľad o peňažných príjmoch podľa zdrojov a peňažných výdavkoch neziskovej organizácie za rok 2016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2"/>
        </w:numPr>
        <w:jc w:val="both"/>
        <w:rPr>
          <w:b/>
          <w:b/>
          <w:highlight w:val="yellow"/>
        </w:rPr>
      </w:pPr>
      <w:r>
        <w:rPr>
          <w:b/>
        </w:rPr>
        <w:t xml:space="preserve">Peňažné príjmy </w:t>
      </w:r>
    </w:p>
    <w:p>
      <w:pPr>
        <w:pStyle w:val="Normal"/>
        <w:numPr>
          <w:ilvl w:val="0"/>
          <w:numId w:val="4"/>
        </w:numPr>
        <w:jc w:val="both"/>
        <w:rPr/>
      </w:pPr>
      <w:r>
        <w:rPr/>
        <w:t>úhrada pohľadávok za poskytované služby:</w:t>
        <w:tab/>
        <w:tab/>
        <w:t xml:space="preserve"> EUR                      </w:t>
      </w:r>
      <w:r>
        <w:rPr/>
        <w:t>1020,</w:t>
      </w:r>
      <w:r>
        <w:rPr/>
        <w:t xml:space="preserve">00 </w:t>
      </w:r>
    </w:p>
    <w:p>
      <w:pPr>
        <w:pStyle w:val="Normal"/>
        <w:numPr>
          <w:ilvl w:val="0"/>
          <w:numId w:val="4"/>
        </w:numPr>
        <w:jc w:val="both"/>
        <w:rPr/>
      </w:pPr>
      <w:r>
        <w:rPr/>
        <w:t>kreditné bankové úroky:</w:t>
        <w:tab/>
        <w:tab/>
        <w:tab/>
        <w:tab/>
        <w:t xml:space="preserve"> EUR</w:t>
      </w:r>
      <w:r>
        <w:rPr>
          <w:b/>
        </w:rPr>
        <w:tab/>
      </w:r>
      <w:r>
        <w:rPr/>
        <w:t xml:space="preserve">                          0,7</w:t>
      </w:r>
      <w:r>
        <w:rPr/>
        <w:t>2</w:t>
      </w:r>
      <w:r>
        <w:rPr>
          <w:b/>
        </w:rPr>
        <w:t xml:space="preserve">  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ind w:firstLine="360"/>
        <w:jc w:val="both"/>
        <w:rPr/>
      </w:pPr>
      <w:r>
        <w:rPr/>
        <w:t>Nezisková organizácia neprijala v roku 201</w:t>
      </w:r>
      <w:r>
        <w:rPr/>
        <w:t>6</w:t>
      </w:r>
      <w:r>
        <w:rPr/>
        <w:t xml:space="preserve"> žiadne dary.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2"/>
        </w:numPr>
        <w:jc w:val="both"/>
        <w:rPr>
          <w:b/>
          <w:b/>
          <w:highlight w:val="yellow"/>
        </w:rPr>
      </w:pPr>
      <w:r>
        <w:rPr>
          <w:b/>
        </w:rPr>
        <w:t>Peňažné výdavky</w:t>
      </w:r>
    </w:p>
    <w:p>
      <w:pPr>
        <w:pStyle w:val="Normal"/>
        <w:numPr>
          <w:ilvl w:val="0"/>
          <w:numId w:val="3"/>
        </w:numPr>
        <w:jc w:val="both"/>
        <w:rPr/>
      </w:pPr>
      <w:r>
        <w:rPr/>
        <w:t>spotreba materiálu:</w:t>
        <w:tab/>
        <w:tab/>
        <w:tab/>
        <w:tab/>
        <w:tab/>
        <w:t xml:space="preserve"> EUR                        </w:t>
      </w:r>
      <w:r>
        <w:rPr/>
        <w:t>55,33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/>
        <w:t>reprezentačné:</w:t>
        <w:tab/>
        <w:tab/>
        <w:tab/>
        <w:tab/>
        <w:tab/>
        <w:tab/>
        <w:t xml:space="preserve"> EUR                            0,00</w:t>
      </w:r>
    </w:p>
    <w:p>
      <w:pPr>
        <w:pStyle w:val="Normal"/>
        <w:numPr>
          <w:ilvl w:val="0"/>
          <w:numId w:val="3"/>
        </w:numPr>
        <w:jc w:val="both"/>
        <w:rPr/>
      </w:pPr>
      <w:r>
        <w:rPr/>
        <w:t>poštovné, kolkové známky a overovanie:</w:t>
        <w:tab/>
        <w:t xml:space="preserve">             EUR                           </w:t>
      </w:r>
      <w:r>
        <w:rPr/>
        <w:t>14,40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/>
        <w:t>prenájom priestorov:</w:t>
        <w:tab/>
        <w:tab/>
        <w:tab/>
        <w:tab/>
        <w:t xml:space="preserve">             EUR                            0,00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/>
        <w:t>bankové a servisné poplatky:</w:t>
        <w:tab/>
        <w:tab/>
        <w:tab/>
        <w:t xml:space="preserve">   </w:t>
        <w:tab/>
        <w:t xml:space="preserve"> EUR                         103,36 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/>
        <w:t>zrážková daň z úrokov:</w:t>
        <w:tab/>
        <w:tab/>
        <w:tab/>
        <w:tab/>
        <w:t xml:space="preserve"> EUR                             0,10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2"/>
        </w:numPr>
        <w:jc w:val="both"/>
        <w:rPr>
          <w:b/>
          <w:b/>
          <w:highlight w:val="yellow"/>
        </w:rPr>
      </w:pPr>
      <w:r>
        <w:rPr>
          <w:b/>
        </w:rPr>
        <w:t>Mzdové a sociálne náklady</w:t>
      </w:r>
    </w:p>
    <w:p>
      <w:pPr>
        <w:pStyle w:val="Normal"/>
        <w:numPr>
          <w:ilvl w:val="0"/>
          <w:numId w:val="3"/>
        </w:numPr>
        <w:jc w:val="both"/>
        <w:rPr/>
      </w:pPr>
      <w:r>
        <w:rPr/>
        <w:t xml:space="preserve">predpis miezd (dohody v zmysle Zákonníka práce): EUR            </w:t>
        <w:tab/>
        <w:t xml:space="preserve">          </w:t>
      </w:r>
      <w:r>
        <w:rPr/>
        <w:t>650,00</w:t>
      </w:r>
    </w:p>
    <w:p>
      <w:pPr>
        <w:pStyle w:val="Normal"/>
        <w:numPr>
          <w:ilvl w:val="0"/>
          <w:numId w:val="3"/>
        </w:numPr>
        <w:jc w:val="both"/>
        <w:rPr/>
      </w:pPr>
      <w:r>
        <w:rPr/>
        <w:t>zákonné sociálne poistenie:</w:t>
        <w:tab/>
        <w:tab/>
        <w:tab/>
        <w:tab/>
        <w:t xml:space="preserve"> EUR                         </w:t>
      </w:r>
      <w:r>
        <w:rPr/>
        <w:t>234,03</w:t>
      </w:r>
    </w:p>
    <w:p>
      <w:pPr>
        <w:pStyle w:val="Normal"/>
        <w:numPr>
          <w:ilvl w:val="0"/>
          <w:numId w:val="3"/>
        </w:numPr>
        <w:jc w:val="both"/>
        <w:rPr/>
      </w:pPr>
      <w:r>
        <w:rPr/>
        <w:t>daň zo závislej činnosti:</w:t>
        <w:tab/>
        <w:tab/>
        <w:tab/>
        <w:tab/>
        <w:t xml:space="preserve"> EUR</w:t>
        <w:tab/>
        <w:tab/>
        <w:t xml:space="preserve">          </w:t>
      </w:r>
      <w:r>
        <w:rPr/>
        <w:t>106,08</w:t>
      </w:r>
      <w:r>
        <w:rPr/>
        <w:tab/>
        <w:tab/>
        <w:tab/>
        <w:tab/>
        <w:tab/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  <w:highlight w:val="yellow"/>
        </w:rPr>
      </w:pPr>
      <w:r>
        <w:rPr>
          <w:b/>
        </w:rPr>
        <w:t xml:space="preserve"> </w:t>
      </w:r>
      <w:r>
        <w:rPr>
          <w:b/>
        </w:rPr>
        <w:t>Stav a pohyb majetku a záväzkov neziskovej organizácie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  <w:highlight w:val="yellow"/>
        </w:rPr>
      </w:pPr>
      <w:r>
        <w:rPr>
          <w:b/>
        </w:rPr>
        <w:t>Inventarizovaný majetok, záväzky a vlastné imanie k 31.12.2016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Pokladnica:</w:t>
        <w:tab/>
        <w:tab/>
        <w:t xml:space="preserve">   EUR                                             </w:t>
      </w:r>
      <w:r>
        <w:rPr/>
        <w:t>341,55</w:t>
      </w:r>
    </w:p>
    <w:p>
      <w:pPr>
        <w:pStyle w:val="Normal"/>
        <w:jc w:val="both"/>
        <w:rPr/>
      </w:pPr>
      <w:r>
        <w:rPr/>
        <w:t>Bankové účty:</w:t>
        <w:tab/>
        <w:tab/>
        <w:t xml:space="preserve">   EUR                                             </w:t>
      </w:r>
      <w:r>
        <w:rPr/>
        <w:t>13705,38</w:t>
      </w:r>
    </w:p>
    <w:p>
      <w:pPr>
        <w:pStyle w:val="Normal"/>
        <w:jc w:val="both"/>
        <w:rPr/>
      </w:pPr>
      <w:r>
        <w:rPr/>
        <w:t>Dodávatelia:</w:t>
        <w:tab/>
        <w:tab/>
        <w:t xml:space="preserve">   EUR                                             </w:t>
      </w:r>
      <w:r>
        <w:rPr/>
        <w:t>0</w:t>
      </w:r>
    </w:p>
    <w:p>
      <w:pPr>
        <w:pStyle w:val="Normal"/>
        <w:jc w:val="both"/>
        <w:rPr/>
      </w:pPr>
      <w:r>
        <w:rPr/>
        <w:t>Ostatné záväzky:</w:t>
        <w:tab/>
        <w:t xml:space="preserve">   EUR                                              </w:t>
      </w:r>
      <w:r>
        <w:rPr/>
        <w:t>0</w:t>
      </w:r>
    </w:p>
    <w:p>
      <w:pPr>
        <w:pStyle w:val="Normal"/>
        <w:jc w:val="both"/>
        <w:rPr/>
      </w:pPr>
      <w:r>
        <w:rPr/>
        <w:t>Základné imanie:</w:t>
        <w:tab/>
        <w:t xml:space="preserve">   EUR                                              </w:t>
      </w:r>
      <w:r>
        <w:rPr/>
        <w:t>66,39</w:t>
      </w:r>
    </w:p>
    <w:p>
      <w:pPr>
        <w:pStyle w:val="Normal"/>
        <w:jc w:val="both"/>
        <w:rPr/>
      </w:pPr>
      <w:r>
        <w:rPr/>
        <w:t>Odberatelia:</w:t>
        <w:tab/>
        <w:tab/>
        <w:t xml:space="preserve">   EUR                                              </w:t>
      </w:r>
      <w:r>
        <w:rPr/>
        <w:t>960</w:t>
      </w:r>
    </w:p>
    <w:p>
      <w:pPr>
        <w:pStyle w:val="Normal"/>
        <w:jc w:val="both"/>
        <w:rPr/>
      </w:pPr>
      <w:r>
        <w:rPr/>
        <w:t xml:space="preserve">Nerozdelený zisk m.r.:  EUR                                               </w:t>
      </w:r>
      <w:r>
        <w:rPr/>
        <w:t>32378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Majetok neziskovej organizácie tvoria len peňažné prostriedky v pokladni a na bankovom účte organizácie. </w:t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    </w:t>
      </w:r>
    </w:p>
    <w:p>
      <w:pPr>
        <w:pStyle w:val="Normal"/>
        <w:jc w:val="both"/>
        <w:rPr/>
      </w:pPr>
      <w:r>
        <w:rPr/>
        <w:t>Nezisková organizácie vedie účtovníctvo podľa zákona č. 431/2002 Z.z. o účtovníctve v znení neskorších predpisov. Ročná účtovná závierka a daňové priznanie boli spracované dodávateľským spôsobom.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>Záver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 xml:space="preserve">Výročná správa neziskovej organizácie ALLEA, n.o za rok 2016 bude zverejnená po schválení správnou radou vo verejnej časti registra účtovných závierok najneskôr do 15.7.2017 a zároveň bude k dispozícii v sídle neziskovej organizácie.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Spracovala:</w:t>
      </w:r>
    </w:p>
    <w:p>
      <w:pPr>
        <w:pStyle w:val="Normal"/>
        <w:jc w:val="both"/>
        <w:rPr/>
      </w:pPr>
      <w:r>
        <w:rPr/>
        <w:t>Ing. Beáta Topoľská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raditional Arabic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50cc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sk-SK" w:val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ovodkaz">
    <w:name w:val="Internetový odkaz"/>
    <w:basedOn w:val="DefaultParagraphFont"/>
    <w:uiPriority w:val="99"/>
    <w:unhideWhenUsed/>
    <w:rsid w:val="00d26def"/>
    <w:rPr>
      <w:color w:val="0000FF" w:themeColor="hyperlink"/>
      <w:u w:val="single"/>
    </w:rPr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eastAsia="Times New Roman" w:cs="Times New Roman"/>
    </w:rPr>
  </w:style>
  <w:style w:type="character" w:styleId="ListLabel3">
    <w:name w:val="ListLabel 3"/>
    <w:qFormat/>
    <w:rPr>
      <w:rFonts w:eastAsia="Times New Roman" w:cs="Times New Roman"/>
    </w:rPr>
  </w:style>
  <w:style w:type="character" w:styleId="ListLabel4">
    <w:name w:val="ListLabel 4"/>
    <w:qFormat/>
    <w:rPr>
      <w:rFonts w:eastAsia="Times New Roman" w:cs="Times New Roman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eastAsia="Times New Roman" w:cs="Times New Roman"/>
      <w:b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semiHidden/>
    <w:unhideWhenUsed/>
    <w:qFormat/>
    <w:rsid w:val="00250ccb"/>
    <w:pPr>
      <w:spacing w:beforeAutospacing="1" w:afterAutospacing="1"/>
    </w:pPr>
    <w:rPr/>
  </w:style>
  <w:style w:type="paragraph" w:styleId="ListParagraph">
    <w:name w:val="List Paragraph"/>
    <w:basedOn w:val="Normal"/>
    <w:uiPriority w:val="34"/>
    <w:qFormat/>
    <w:rsid w:val="00250ccb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alleanosk@gmail.com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Application>LibreOffice/5.2.4.2$Windows_x86 LibreOffice_project/3d5603e1122f0f102b62521720ab13a38a4e0eb0</Application>
  <Pages>5</Pages>
  <Words>866</Words>
  <Characters>5578</Characters>
  <CharactersWithSpaces>7135</CharactersWithSpaces>
  <Paragraphs>90</Paragraphs>
  <Company>PU Prešov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2017-06-17T14:06:00Z</dcterms:created>
  <dc:creator>strakova</dc:creator>
  <dc:description/>
  <dc:language>sk-SK</dc:language>
  <cp:lastModifiedBy/>
  <dcterms:modified xsi:type="dcterms:W3CDTF">2017-06-28T07:13:48Z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PU Prešov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