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lny"/>
        <w:jc w:val="center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 xml:space="preserve">Poznámky k účtovnej závierke </w:t>
      </w:r>
    </w:p>
    <w:p>
      <w:pPr>
        <w:pStyle w:val="Normlny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lny"/>
        <w:jc w:val="center"/>
        <w:rPr/>
      </w:pPr>
      <w:r>
        <w:rPr>
          <w:rFonts w:cs="Arial" w:ascii="Arial" w:hAnsi="Arial"/>
        </w:rPr>
        <w:t xml:space="preserve">Poznámky k </w:t>
      </w:r>
      <w:r>
        <w:rPr>
          <w:rFonts w:cs="Arial" w:ascii="Arial" w:hAnsi="Arial"/>
        </w:rPr>
        <w:t>6</w:t>
      </w:r>
      <w:r>
        <w:rPr>
          <w:rFonts w:cs="Arial" w:ascii="Arial" w:hAnsi="Arial"/>
        </w:rPr>
        <w:t>.</w:t>
      </w:r>
      <w:r>
        <w:rPr>
          <w:rFonts w:cs="Arial" w:ascii="Arial" w:hAnsi="Arial"/>
        </w:rPr>
        <w:t>6.</w:t>
      </w:r>
      <w:r>
        <w:rPr>
          <w:rFonts w:cs="Arial" w:ascii="Arial" w:hAnsi="Arial"/>
        </w:rPr>
        <w:t>201</w:t>
      </w:r>
      <w:r>
        <w:rPr>
          <w:rFonts w:cs="Arial" w:ascii="Arial" w:hAnsi="Arial"/>
        </w:rPr>
        <w:t>7</w:t>
      </w:r>
    </w:p>
    <w:p>
      <w:pPr>
        <w:pStyle w:val="Normlny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lny"/>
        <w:rPr>
          <w:rFonts w:ascii="Arial" w:hAnsi="Arial" w:cs="Arial"/>
        </w:rPr>
      </w:pPr>
      <w:r>
        <w:rPr>
          <w:rFonts w:cs="Arial" w:ascii="Arial" w:hAnsi="Arial"/>
        </w:rPr>
        <w:t>Identifikačné údaje o j účtovnej jednotke a informácie o činnosti účtovnej jednotky</w:t>
      </w:r>
    </w:p>
    <w:p>
      <w:pPr>
        <w:pStyle w:val="Normlny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10260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5"/>
        <w:gridCol w:w="4771"/>
        <w:gridCol w:w="108"/>
        <w:gridCol w:w="4874"/>
        <w:gridCol w:w="481"/>
      </w:tblGrid>
      <w:tr>
        <w:trPr/>
        <w:tc>
          <w:tcPr>
            <w:tcW w:w="479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lny"/>
              <w:spacing w:lineRule="auto" w:line="3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 účtovnej jednotky</w:t>
            </w:r>
          </w:p>
        </w:tc>
        <w:tc>
          <w:tcPr>
            <w:tcW w:w="546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spacing w:lineRule="auto" w:line="3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Geo-mer s.r.o.</w:t>
            </w:r>
          </w:p>
        </w:tc>
      </w:tr>
      <w:tr>
        <w:trPr/>
        <w:tc>
          <w:tcPr>
            <w:tcW w:w="479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lny"/>
              <w:spacing w:lineRule="auto" w:line="3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 ÚJ</w:t>
            </w:r>
          </w:p>
        </w:tc>
        <w:tc>
          <w:tcPr>
            <w:tcW w:w="546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spacing w:lineRule="auto" w:line="3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Veternícka 181/90, Kremnica</w:t>
            </w:r>
          </w:p>
        </w:tc>
      </w:tr>
      <w:tr>
        <w:trPr/>
        <w:tc>
          <w:tcPr>
            <w:tcW w:w="479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lny"/>
              <w:spacing w:lineRule="auto" w:line="3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Dátum založenia/zriadenia</w:t>
            </w:r>
          </w:p>
        </w:tc>
        <w:tc>
          <w:tcPr>
            <w:tcW w:w="546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spacing w:lineRule="auto" w:line="3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  <w:tr>
        <w:trPr/>
        <w:tc>
          <w:tcPr>
            <w:tcW w:w="479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lny"/>
              <w:spacing w:lineRule="auto" w:line="3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</w:t>
            </w:r>
          </w:p>
        </w:tc>
        <w:tc>
          <w:tcPr>
            <w:tcW w:w="546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spacing w:lineRule="auto" w:line="3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316365</w:t>
            </w:r>
          </w:p>
        </w:tc>
      </w:tr>
      <w:tr>
        <w:trPr/>
        <w:tc>
          <w:tcPr>
            <w:tcW w:w="479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lny"/>
              <w:spacing w:lineRule="auto" w:line="3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DIČ</w:t>
            </w:r>
          </w:p>
        </w:tc>
        <w:tc>
          <w:tcPr>
            <w:tcW w:w="546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spacing w:lineRule="auto" w:line="3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2020461938</w:t>
            </w:r>
          </w:p>
        </w:tc>
      </w:tr>
      <w:tr>
        <w:trPr/>
        <w:tc>
          <w:tcPr>
            <w:tcW w:w="479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lny"/>
              <w:spacing w:lineRule="auto" w:line="3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Hlavná činnosť ÚJ</w:t>
            </w:r>
          </w:p>
        </w:tc>
        <w:tc>
          <w:tcPr>
            <w:tcW w:w="546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Geodetické práce</w:t>
            </w:r>
          </w:p>
        </w:tc>
      </w:tr>
      <w:tr>
        <w:trPr/>
        <w:tc>
          <w:tcPr>
            <w:tcW w:w="479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lny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Právny dôvod na zostavenie účtovnej závierky</w:t>
            </w:r>
          </w:p>
        </w:tc>
        <w:tc>
          <w:tcPr>
            <w:tcW w:w="546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/>
            </w:pPr>
            <w:r>
              <w:rPr>
                <w:rStyle w:val="Predvolenpsmoodseku"/>
                <w:rFonts w:cs="Arial" w:ascii="Arial" w:hAnsi="Arial"/>
              </w:rPr>
              <w:t xml:space="preserve">    </w:t>
            </w:r>
            <w:r>
              <w:rPr>
                <w:rStyle w:val="Predvolenpsmoodseku"/>
                <w:rFonts w:cs="Arial" w:ascii="Arial" w:hAnsi="Arial"/>
              </w:rPr>
              <w:t>riadna</w:t>
            </w:r>
          </w:p>
          <w:p>
            <w:pPr>
              <w:pStyle w:val="Normlny"/>
              <w:rPr/>
            </w:pPr>
            <w:r>
              <w:rPr/>
            </w:r>
          </w:p>
        </w:tc>
      </w:tr>
      <w:tr>
        <w:trPr/>
        <w:tc>
          <w:tcPr>
            <w:tcW w:w="25" w:type="dxa"/>
            <w:tcBorders/>
            <w:shd w:color="auto" w:fill="auto" w:val="clear"/>
            <w:tcMar>
              <w:left w:w="10" w:type="dxa"/>
              <w:right w:w="10" w:type="dxa"/>
            </w:tcMar>
          </w:tcPr>
          <w:p>
            <w:pPr>
              <w:pStyle w:val="Normlny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487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Zápis v obchodnom registri</w:t>
            </w:r>
          </w:p>
        </w:tc>
        <w:tc>
          <w:tcPr>
            <w:tcW w:w="4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>
                <w:rStyle w:val="Predvolenpsmoodseku"/>
                <w:rFonts w:ascii="Arial" w:hAnsi="Arial" w:cs="Arial"/>
                <w:sz w:val="22"/>
                <w:szCs w:val="22"/>
                <w:lang w:eastAsia="ar-SA"/>
              </w:rPr>
            </w:pPr>
            <w:r>
              <w:rPr>
                <w:rStyle w:val="Predvolenpsmoodseku"/>
                <w:rFonts w:cs="Arial" w:ascii="Arial" w:hAnsi="Arial"/>
              </w:rPr>
              <w:t xml:space="preserve">OR OS v Banskej Bystrici č. </w:t>
            </w:r>
            <w:r>
              <w:rPr>
                <w:rStyle w:val="Predvolenpsmoodseku"/>
                <w:rFonts w:cs="Arial" w:ascii="Arial" w:hAnsi="Arial"/>
                <w:sz w:val="22"/>
                <w:szCs w:val="22"/>
                <w:lang w:eastAsia="ar-SA"/>
              </w:rPr>
              <w:t xml:space="preserve">28844/S                                    </w:t>
            </w:r>
          </w:p>
          <w:p>
            <w:pPr>
              <w:pStyle w:val="Normlny"/>
              <w:rPr/>
            </w:pPr>
            <w:r>
              <w:rPr/>
            </w:r>
          </w:p>
        </w:tc>
        <w:tc>
          <w:tcPr>
            <w:tcW w:w="481" w:type="dxa"/>
            <w:tcBorders/>
            <w:shd w:color="auto" w:fill="auto" w:val="clear"/>
            <w:tcMar>
              <w:left w:w="10" w:type="dxa"/>
              <w:right w:w="10" w:type="dxa"/>
            </w:tcMar>
          </w:tcPr>
          <w:p>
            <w:pPr>
              <w:pStyle w:val="Normlny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</w:tbl>
    <w:p>
      <w:pPr>
        <w:pStyle w:val="Normlny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lny"/>
        <w:rPr>
          <w:rFonts w:ascii="Arial" w:hAnsi="Arial" w:cs="Arial"/>
        </w:rPr>
      </w:pPr>
      <w:r>
        <w:rPr>
          <w:rFonts w:cs="Arial" w:ascii="Arial" w:hAnsi="Arial"/>
        </w:rPr>
        <w:t>Informácie o vedúcich predstaviteľoch a o organizačnej štruktúre ÚJ</w:t>
      </w:r>
    </w:p>
    <w:p>
      <w:pPr>
        <w:pStyle w:val="Normlny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10260" w:type="dxa"/>
        <w:jc w:val="left"/>
        <w:tblInd w:w="2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lny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Štatutárny orgán /meno a priezvisko/ ÚJ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>
                <w:rFonts w:ascii="Arial" w:hAnsi="Arial" w:cs="Arial"/>
                <w:sz w:val="22"/>
                <w:szCs w:val="22"/>
                <w:lang w:eastAsia="ar-SA"/>
              </w:rPr>
            </w:pPr>
            <w:r>
              <w:rPr>
                <w:rFonts w:cs="Arial" w:ascii="Arial" w:hAnsi="Arial"/>
                <w:sz w:val="22"/>
                <w:szCs w:val="22"/>
                <w:lang w:eastAsia="ar-SA"/>
              </w:rPr>
              <w:t>100% vlastníkom spoločnosti je Ing. Milan Kyselica – konateľ spoločnosti</w:t>
            </w:r>
          </w:p>
          <w:p>
            <w:pPr>
              <w:pStyle w:val="Normlny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</w:tbl>
    <w:p>
      <w:pPr>
        <w:pStyle w:val="Normlny"/>
        <w:jc w:val="center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lny"/>
        <w:jc w:val="center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lny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lny"/>
        <w:rPr/>
      </w:pPr>
      <w:r>
        <w:rPr>
          <w:rFonts w:cs="Arial" w:ascii="Arial" w:hAnsi="Arial"/>
        </w:rPr>
        <w:t xml:space="preserve">Dátum zostavenia </w:t>
      </w:r>
      <w:r>
        <w:rPr>
          <w:rFonts w:cs="Arial" w:ascii="Arial" w:hAnsi="Arial"/>
        </w:rPr>
        <w:t>mimoriadnej</w:t>
      </w:r>
      <w:r>
        <w:rPr>
          <w:rFonts w:cs="Arial" w:ascii="Arial" w:hAnsi="Arial"/>
        </w:rPr>
        <w:t xml:space="preserve"> účtovnej závierky účtovnej jednotky : </w:t>
      </w:r>
      <w:r>
        <w:rPr>
          <w:rFonts w:cs="Arial" w:ascii="Arial" w:hAnsi="Arial"/>
        </w:rPr>
        <w:t>6..6.</w:t>
      </w:r>
      <w:r>
        <w:rPr>
          <w:rFonts w:cs="Arial" w:ascii="Arial" w:hAnsi="Arial"/>
        </w:rPr>
        <w:t>201</w:t>
      </w:r>
      <w:r>
        <w:rPr>
          <w:rFonts w:cs="Arial" w:ascii="Arial" w:hAnsi="Arial"/>
        </w:rPr>
        <w:t>7</w:t>
      </w:r>
    </w:p>
    <w:p>
      <w:pPr>
        <w:pStyle w:val="Normlny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lny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lny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lny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lny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lny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lny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lny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lny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lny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lny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lny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lny"/>
        <w:rPr>
          <w:rFonts w:ascii="Arial" w:hAnsi="Arial" w:cs="Arial"/>
        </w:rPr>
      </w:pPr>
      <w:r>
        <w:rPr>
          <w:rFonts w:cs="Arial" w:ascii="Arial" w:hAnsi="Arial"/>
        </w:rPr>
        <w:t>V eurách</w:t>
      </w:r>
    </w:p>
    <w:tbl>
      <w:tblPr>
        <w:tblW w:w="15398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0"/>
        <w:gridCol w:w="2663"/>
        <w:gridCol w:w="85"/>
        <w:gridCol w:w="1317"/>
        <w:gridCol w:w="956"/>
        <w:gridCol w:w="837"/>
        <w:gridCol w:w="958"/>
        <w:gridCol w:w="993"/>
        <w:gridCol w:w="85"/>
        <w:gridCol w:w="1317"/>
        <w:gridCol w:w="957"/>
        <w:gridCol w:w="838"/>
        <w:gridCol w:w="838"/>
        <w:gridCol w:w="994"/>
        <w:gridCol w:w="84"/>
        <w:gridCol w:w="1077"/>
        <w:gridCol w:w="995"/>
        <w:gridCol w:w="363"/>
      </w:tblGrid>
      <w:tr>
        <w:trPr/>
        <w:tc>
          <w:tcPr>
            <w:tcW w:w="270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Názov účtovnej jednotky</w:t>
            </w:r>
          </w:p>
        </w:tc>
        <w:tc>
          <w:tcPr>
            <w:tcW w:w="5146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Obstarávacia cena</w:t>
            </w:r>
          </w:p>
        </w:tc>
        <w:tc>
          <w:tcPr>
            <w:tcW w:w="5029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Oprávky a opravné položky</w:t>
            </w:r>
          </w:p>
        </w:tc>
        <w:tc>
          <w:tcPr>
            <w:tcW w:w="215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Zostatková hodnota</w:t>
            </w:r>
          </w:p>
        </w:tc>
        <w:tc>
          <w:tcPr>
            <w:tcW w:w="363" w:type="dxa"/>
            <w:tcBorders/>
            <w:shd w:color="auto" w:fill="auto" w:val="clear"/>
            <w:tcMar>
              <w:left w:w="10" w:type="dxa"/>
              <w:right w:w="10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40" w:type="dxa"/>
            <w:tcBorders/>
            <w:shd w:color="auto" w:fill="auto" w:val="clear"/>
            <w:tcMar>
              <w:left w:w="10" w:type="dxa"/>
              <w:right w:w="10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27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 xml:space="preserve">Geo-mer </w:t>
            </w:r>
            <w:r>
              <w:rPr>
                <w:rFonts w:cs="Arial" w:ascii="Arial" w:hAnsi="Arial"/>
                <w:sz w:val="16"/>
                <w:szCs w:val="16"/>
              </w:rPr>
              <w:t>s.r.o.</w:t>
            </w: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31.12. bezprostredne predchádzajúceho účtovného obdobia </w:t>
            </w:r>
          </w:p>
        </w:tc>
        <w:tc>
          <w:tcPr>
            <w:tcW w:w="9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Prírastky </w:t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8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Úbytky</w:t>
            </w:r>
          </w:p>
        </w:tc>
        <w:tc>
          <w:tcPr>
            <w:tcW w:w="9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Presuny</w:t>
            </w:r>
          </w:p>
        </w:tc>
        <w:tc>
          <w:tcPr>
            <w:tcW w:w="107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31.12. bežného účtovného obdobia</w:t>
            </w: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31.12. bezprostredne predchádzajúceho účtovného obdobia</w:t>
            </w:r>
          </w:p>
        </w:tc>
        <w:tc>
          <w:tcPr>
            <w:tcW w:w="9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Prírastky</w:t>
            </w:r>
          </w:p>
        </w:tc>
        <w:tc>
          <w:tcPr>
            <w:tcW w:w="8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Úbytky</w:t>
            </w:r>
          </w:p>
        </w:tc>
        <w:tc>
          <w:tcPr>
            <w:tcW w:w="8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Presuny</w:t>
            </w:r>
          </w:p>
        </w:tc>
        <w:tc>
          <w:tcPr>
            <w:tcW w:w="107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31.12.bežného účtovného obdobia</w:t>
            </w:r>
          </w:p>
        </w:tc>
        <w:tc>
          <w:tcPr>
            <w:tcW w:w="1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31.12.bezprostredne predchádzajúceho účtovného obdobia</w:t>
            </w:r>
          </w:p>
        </w:tc>
        <w:tc>
          <w:tcPr>
            <w:tcW w:w="13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31.12. bežného účtovného obdobia</w:t>
            </w:r>
          </w:p>
        </w:tc>
      </w:tr>
      <w:tr>
        <w:trPr>
          <w:trHeight w:val="289" w:hRule="atLeast"/>
        </w:trPr>
        <w:tc>
          <w:tcPr>
            <w:tcW w:w="40" w:type="dxa"/>
            <w:tcBorders/>
            <w:shd w:color="auto" w:fill="auto" w:val="clear"/>
            <w:tcMar>
              <w:left w:w="10" w:type="dxa"/>
              <w:right w:w="10" w:type="dxa"/>
            </w:tcMar>
          </w:tcPr>
          <w:p>
            <w:pPr>
              <w:pStyle w:val="Normlny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27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Dlhodobý hmotný majetok</w:t>
            </w: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9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8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9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07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9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8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8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07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40" w:type="dxa"/>
            <w:tcBorders/>
            <w:shd w:color="auto" w:fill="auto" w:val="clear"/>
            <w:tcMar>
              <w:left w:w="10" w:type="dxa"/>
              <w:right w:w="10" w:type="dxa"/>
            </w:tcMar>
          </w:tcPr>
          <w:p>
            <w:pPr>
              <w:pStyle w:val="Normlny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27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  <w:t>Dlhodobý hmotný majetok spolu</w:t>
            </w: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9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8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9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107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9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8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8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107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1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13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</w:tr>
      <w:tr>
        <w:trPr/>
        <w:tc>
          <w:tcPr>
            <w:tcW w:w="40" w:type="dxa"/>
            <w:tcBorders/>
            <w:shd w:color="auto" w:fill="auto" w:val="clear"/>
            <w:tcMar>
              <w:left w:w="10" w:type="dxa"/>
              <w:right w:w="10" w:type="dxa"/>
            </w:tcMar>
          </w:tcPr>
          <w:p>
            <w:pPr>
              <w:pStyle w:val="Normlny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27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Podielové cenné papiere a podiely </w:t>
            </w: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9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8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9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07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9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8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8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07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40" w:type="dxa"/>
            <w:tcBorders/>
            <w:shd w:color="auto" w:fill="auto" w:val="clear"/>
            <w:tcMar>
              <w:left w:w="10" w:type="dxa"/>
              <w:right w:w="10" w:type="dxa"/>
            </w:tcMar>
          </w:tcPr>
          <w:p>
            <w:pPr>
              <w:pStyle w:val="Normlny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27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Ostatný dlhodobý finančný majetok</w:t>
            </w: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9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8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9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07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9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8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8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07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40" w:type="dxa"/>
            <w:tcBorders/>
            <w:shd w:color="auto" w:fill="auto" w:val="clear"/>
            <w:tcMar>
              <w:left w:w="10" w:type="dxa"/>
              <w:right w:w="10" w:type="dxa"/>
            </w:tcMar>
          </w:tcPr>
          <w:p>
            <w:pPr>
              <w:pStyle w:val="Normlny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27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  <w:t>Dlhodobý finančný majetok spolu</w:t>
            </w: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9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8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9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107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9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8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8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107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1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13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</w:tr>
      <w:tr>
        <w:trPr>
          <w:trHeight w:val="307" w:hRule="atLeast"/>
        </w:trPr>
        <w:tc>
          <w:tcPr>
            <w:tcW w:w="40" w:type="dxa"/>
            <w:tcBorders/>
            <w:shd w:color="auto" w:fill="auto" w:val="clear"/>
            <w:tcMar>
              <w:left w:w="10" w:type="dxa"/>
              <w:right w:w="10" w:type="dxa"/>
            </w:tcMar>
          </w:tcPr>
          <w:p>
            <w:pPr>
              <w:pStyle w:val="Normlny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27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  <w:t>Neobežný majetok spolu</w:t>
            </w: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9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8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9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107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9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8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8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107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1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13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</w:tr>
      <w:tr>
        <w:trPr/>
        <w:tc>
          <w:tcPr>
            <w:tcW w:w="40" w:type="dxa"/>
            <w:tcBorders/>
            <w:shd w:color="auto" w:fill="auto" w:val="clear"/>
            <w:tcMar>
              <w:left w:w="10" w:type="dxa"/>
              <w:right w:w="10" w:type="dxa"/>
            </w:tcMar>
          </w:tcPr>
          <w:p>
            <w:pPr>
              <w:pStyle w:val="Normlny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27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  <w:t>Zásoby</w:t>
            </w: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9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8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9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107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9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8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8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107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1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  <w:tc>
          <w:tcPr>
            <w:tcW w:w="13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jc w:val="center"/>
              <w:rPr>
                <w:rFonts w:ascii="Arial" w:hAnsi="Arial" w:cs="Arial"/>
                <w:b/>
                <w:b/>
                <w:sz w:val="16"/>
                <w:szCs w:val="16"/>
              </w:rPr>
            </w:pPr>
            <w:r>
              <w:rPr>
                <w:rFonts w:cs="Arial" w:ascii="Arial" w:hAnsi="Arial"/>
                <w:b/>
                <w:sz w:val="16"/>
                <w:szCs w:val="16"/>
              </w:rPr>
            </w:r>
          </w:p>
        </w:tc>
      </w:tr>
    </w:tbl>
    <w:p>
      <w:pPr>
        <w:pStyle w:val="Normlny"/>
        <w:rPr/>
      </w:pPr>
      <w:r>
        <w:rPr/>
      </w:r>
    </w:p>
    <w:p>
      <w:pPr>
        <w:pStyle w:val="Normlny"/>
        <w:ind w:left="885" w:hanging="0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Nakupovaný materiál a tovar je oceňovaný obstarávacími cenami, zásoby sú účtované spôsobom  „B“.</w:t>
      </w:r>
    </w:p>
    <w:p>
      <w:pPr>
        <w:pStyle w:val="Normlny"/>
        <w:ind w:left="885" w:hanging="0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Peňažné prostriedky sa oceňujú nominálnymi hodnotami.</w:t>
      </w:r>
    </w:p>
    <w:p>
      <w:pPr>
        <w:pStyle w:val="Normlny"/>
        <w:ind w:left="885" w:hanging="0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Dlhodobý majetok sa oceňuje obstarávacími cenami.</w:t>
      </w:r>
    </w:p>
    <w:p>
      <w:pPr>
        <w:pStyle w:val="Normlny"/>
        <w:ind w:left="885" w:hanging="0"/>
        <w:rPr/>
      </w:pPr>
      <w:r>
        <w:rPr>
          <w:rStyle w:val="Predvolenpsmoodseku"/>
          <w:sz w:val="22"/>
          <w:szCs w:val="22"/>
          <w:lang w:eastAsia="ar-SA"/>
        </w:rPr>
        <w:t>K  </w:t>
      </w:r>
      <w:r>
        <w:rPr>
          <w:rStyle w:val="Predvolenpsmoodseku"/>
          <w:sz w:val="22"/>
          <w:szCs w:val="22"/>
          <w:lang w:eastAsia="ar-SA"/>
        </w:rPr>
        <w:t>6.6</w:t>
      </w:r>
      <w:r>
        <w:rPr>
          <w:rStyle w:val="Predvolenpsmoodseku"/>
          <w:sz w:val="22"/>
          <w:szCs w:val="22"/>
          <w:lang w:eastAsia="ar-SA"/>
        </w:rPr>
        <w:t>.201</w:t>
      </w:r>
      <w:r>
        <w:rPr>
          <w:rStyle w:val="Predvolenpsmoodseku"/>
          <w:sz w:val="22"/>
          <w:szCs w:val="22"/>
          <w:lang w:eastAsia="ar-SA"/>
        </w:rPr>
        <w:t>7</w:t>
      </w:r>
      <w:r>
        <w:rPr>
          <w:rStyle w:val="Predvolenpsmoodseku"/>
          <w:sz w:val="22"/>
          <w:szCs w:val="22"/>
          <w:lang w:eastAsia="ar-SA"/>
        </w:rPr>
        <w:t xml:space="preserve"> spoločnosť neeviduje </w:t>
      </w:r>
      <w:r>
        <w:rPr>
          <w:rStyle w:val="Predvolenpsmoodseku"/>
          <w:sz w:val="22"/>
          <w:szCs w:val="22"/>
          <w:lang w:eastAsia="ar-SA"/>
        </w:rPr>
        <w:t>skladové zásoby.</w:t>
      </w:r>
    </w:p>
    <w:p>
      <w:pPr>
        <w:pStyle w:val="Normlny"/>
        <w:ind w:left="885" w:hanging="0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Spoločnosť účtuje v sústave podvojného účtovníctva.</w:t>
      </w:r>
    </w:p>
    <w:p>
      <w:pPr>
        <w:pStyle w:val="Normlny"/>
        <w:ind w:left="885" w:hanging="0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</w:r>
    </w:p>
    <w:p>
      <w:pPr>
        <w:pStyle w:val="Normlny"/>
        <w:ind w:left="708" w:firstLine="60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 xml:space="preserve">Samostatne hnuteľné veci, ktorých obstarávacia cena je nižšia ako 1.700,- € a doba použitia dlhšia ako jeden rok spoločnosť považuje ako krátkodobý    </w:t>
      </w:r>
    </w:p>
    <w:p>
      <w:pPr>
        <w:pStyle w:val="Normlny"/>
        <w:ind w:left="708" w:firstLine="60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hmotný majetok. Odpisuje sa v plnej výške obstarávacej ceny  100 % do nákladov pri zaradení do používania.</w:t>
      </w:r>
    </w:p>
    <w:p>
      <w:pPr>
        <w:pStyle w:val="Normlny"/>
        <w:rPr/>
      </w:pPr>
      <w:r>
        <w:rPr>
          <w:rStyle w:val="Predvolenpsmoodseku"/>
          <w:sz w:val="22"/>
          <w:szCs w:val="22"/>
          <w:lang w:eastAsia="ar-SA"/>
        </w:rPr>
        <w:t xml:space="preserve">              </w:t>
      </w:r>
      <w:r>
        <w:rPr>
          <w:rStyle w:val="Predvolenpsmoodseku"/>
          <w:sz w:val="22"/>
          <w:szCs w:val="22"/>
          <w:lang w:eastAsia="ar-SA"/>
        </w:rPr>
        <w:t>Dlhodobý hmotný majetok je odpisovaný rovnomerným spôsobom</w:t>
      </w:r>
      <w:r>
        <w:rPr>
          <w:rStyle w:val="Predvolenpsmoodseku"/>
          <w:rFonts w:cs="Arial" w:ascii="Arial" w:hAnsi="Arial"/>
          <w:sz w:val="22"/>
          <w:szCs w:val="22"/>
          <w:lang w:eastAsia="ar-SA"/>
        </w:rPr>
        <w:t>.</w:t>
      </w:r>
    </w:p>
    <w:p>
      <w:pPr>
        <w:pStyle w:val="Normlny"/>
        <w:ind w:left="885" w:hanging="0"/>
        <w:rPr>
          <w:rFonts w:ascii="Arial" w:hAnsi="Arial" w:cs="Arial"/>
          <w:sz w:val="22"/>
          <w:szCs w:val="22"/>
          <w:lang w:eastAsia="ar-SA"/>
        </w:rPr>
      </w:pPr>
      <w:r>
        <w:rPr>
          <w:rFonts w:cs="Arial" w:ascii="Arial" w:hAnsi="Arial"/>
          <w:sz w:val="22"/>
          <w:szCs w:val="22"/>
          <w:lang w:eastAsia="ar-SA"/>
        </w:rPr>
      </w:r>
    </w:p>
    <w:p>
      <w:pPr>
        <w:pStyle w:val="Normlny"/>
        <w:ind w:left="885" w:hanging="0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</w:r>
    </w:p>
    <w:p>
      <w:pPr>
        <w:pStyle w:val="Normlny"/>
        <w:ind w:left="885" w:hanging="0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Spoločnosť nevlastní cenné papiere a účastiny.</w:t>
      </w:r>
    </w:p>
    <w:p>
      <w:pPr>
        <w:pStyle w:val="Normlny"/>
        <w:rPr/>
      </w:pPr>
      <w:r>
        <w:rPr/>
      </w:r>
    </w:p>
    <w:p>
      <w:pPr>
        <w:pStyle w:val="Normlny"/>
        <w:rPr/>
      </w:pPr>
      <w:r>
        <w:rPr/>
        <w:tab/>
        <w:t xml:space="preserve">  Spoločnosť do 19.10.2015 bola vedená pod názvom FIDESS, s.r.o., Sklabinská 141/1, Martin</w:t>
      </w:r>
    </w:p>
    <w:p>
      <w:pPr>
        <w:pStyle w:val="Normlny"/>
        <w:rPr/>
      </w:pPr>
      <w:r>
        <w:rPr/>
      </w:r>
    </w:p>
    <w:p>
      <w:pPr>
        <w:pStyle w:val="Normlny"/>
        <w:rPr/>
      </w:pPr>
      <w:r>
        <w:rPr/>
      </w:r>
    </w:p>
    <w:p>
      <w:pPr>
        <w:pStyle w:val="Normlny"/>
        <w:rPr/>
      </w:pPr>
      <w:r>
        <w:rPr/>
      </w:r>
    </w:p>
    <w:p>
      <w:pPr>
        <w:pStyle w:val="Normlny"/>
        <w:rPr/>
      </w:pPr>
      <w:r>
        <w:rPr/>
      </w:r>
    </w:p>
    <w:p>
      <w:pPr>
        <w:pStyle w:val="Normlny"/>
        <w:rPr/>
      </w:pPr>
      <w:r>
        <w:rPr/>
      </w:r>
    </w:p>
    <w:p>
      <w:pPr>
        <w:pStyle w:val="Normlny"/>
        <w:rPr/>
      </w:pPr>
      <w:r>
        <w:rPr/>
      </w:r>
    </w:p>
    <w:p>
      <w:pPr>
        <w:pStyle w:val="Normlny"/>
        <w:rPr/>
      </w:pPr>
      <w:r>
        <w:rPr/>
      </w:r>
    </w:p>
    <w:p>
      <w:pPr>
        <w:pStyle w:val="Normlny"/>
        <w:rPr/>
      </w:pPr>
      <w:r>
        <w:rPr/>
      </w:r>
    </w:p>
    <w:p>
      <w:pPr>
        <w:pStyle w:val="Normlny"/>
        <w:rPr/>
      </w:pPr>
      <w:r>
        <w:rPr/>
      </w:r>
    </w:p>
    <w:tbl>
      <w:tblPr>
        <w:tblW w:w="14144" w:type="dxa"/>
        <w:jc w:val="left"/>
        <w:tblInd w:w="13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4144"/>
      </w:tblGrid>
      <w:tr>
        <w:trPr/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>
                <w:b/>
                <w:b/>
              </w:rPr>
            </w:pPr>
            <w:r>
              <w:rPr>
                <w:b/>
              </w:rPr>
              <w:t xml:space="preserve">Pohľadávky </w:t>
            </w:r>
          </w:p>
          <w:p>
            <w:pPr>
              <w:pStyle w:val="Normlny"/>
              <w:rPr/>
            </w:pPr>
            <w:r>
              <w:rPr/>
              <w:t>v eurách</w:t>
            </w:r>
          </w:p>
        </w:tc>
      </w:tr>
      <w:tr>
        <w:trPr/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/>
            </w:pPr>
            <w:r>
              <w:rPr/>
              <w:t xml:space="preserve">                                                                                                                                   </w:t>
            </w:r>
            <w:r>
              <w:rPr/>
              <w:t>Hodnota k 31.12.                         Hodnota k 31.12.</w:t>
            </w:r>
          </w:p>
          <w:p>
            <w:pPr>
              <w:pStyle w:val="Normlny"/>
              <w:rPr/>
            </w:pPr>
            <w:r>
              <w:rPr/>
              <w:t xml:space="preserve">                                                                                                                                   </w:t>
            </w:r>
            <w:r>
              <w:rPr/>
              <w:t>bežného účtovného                      bezprostredne predchádzajúceho</w:t>
            </w:r>
          </w:p>
          <w:p>
            <w:pPr>
              <w:pStyle w:val="Normlny"/>
              <w:rPr/>
            </w:pPr>
            <w:r>
              <w:rPr/>
              <w:t xml:space="preserve">                                                                                                                                   </w:t>
            </w:r>
            <w:r>
              <w:rPr/>
              <w:t>obdobia                                        účtovného obdobia</w:t>
            </w:r>
          </w:p>
        </w:tc>
      </w:tr>
      <w:tr>
        <w:trPr/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/>
            </w:pPr>
            <w:r>
              <w:rPr>
                <w:rStyle w:val="Predvolenpsmoodseku"/>
                <w:b/>
              </w:rPr>
              <w:t>Pohľadávky – podľa doby splatnosti</w:t>
            </w:r>
          </w:p>
          <w:p>
            <w:pPr>
              <w:pStyle w:val="Normlny"/>
              <w:rPr/>
            </w:pPr>
            <w:r>
              <w:rPr/>
              <w:t xml:space="preserve">Pohľadávky v lehote splatnosti                                                                                  </w:t>
            </w:r>
            <w:r>
              <w:rPr/>
              <w:t>419</w:t>
            </w:r>
            <w:r>
              <w:rPr/>
              <w:t xml:space="preserve">                                                </w:t>
            </w:r>
            <w:r>
              <w:rPr/>
              <w:t>185</w:t>
            </w:r>
          </w:p>
          <w:p>
            <w:pPr>
              <w:pStyle w:val="Normlny"/>
              <w:rPr/>
            </w:pPr>
            <w:r>
              <w:rPr/>
              <w:t xml:space="preserve">Pohľadávky po lehote splatnosti                                                  </w:t>
            </w:r>
          </w:p>
        </w:tc>
      </w:tr>
      <w:tr>
        <w:trPr/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/>
            </w:pPr>
            <w:r>
              <w:rPr/>
              <w:t xml:space="preserve">Spolu                                                                                                                         </w:t>
            </w:r>
            <w:r>
              <w:rPr/>
              <w:t>419</w:t>
            </w:r>
            <w:r>
              <w:rPr/>
              <w:t xml:space="preserve">                                                </w:t>
            </w:r>
            <w:r>
              <w:rPr/>
              <w:t>185</w:t>
            </w:r>
          </w:p>
        </w:tc>
      </w:tr>
    </w:tbl>
    <w:p>
      <w:pPr>
        <w:pStyle w:val="Normlny"/>
        <w:rPr/>
      </w:pPr>
      <w:r>
        <w:rPr/>
      </w:r>
    </w:p>
    <w:p>
      <w:pPr>
        <w:pStyle w:val="Normlny"/>
        <w:rPr/>
      </w:pPr>
      <w:r>
        <w:rPr/>
        <w:t xml:space="preserve"> </w:t>
      </w:r>
    </w:p>
    <w:p>
      <w:pPr>
        <w:pStyle w:val="Normlny"/>
        <w:rPr/>
      </w:pPr>
      <w:r>
        <w:rPr/>
      </w:r>
    </w:p>
    <w:tbl>
      <w:tblPr>
        <w:tblW w:w="14144" w:type="dxa"/>
        <w:jc w:val="left"/>
        <w:tblInd w:w="13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4144"/>
      </w:tblGrid>
      <w:tr>
        <w:trPr/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>
                <w:b/>
                <w:b/>
              </w:rPr>
            </w:pPr>
            <w:r>
              <w:rPr>
                <w:b/>
              </w:rPr>
              <w:t>Vlastné imanie</w:t>
            </w:r>
          </w:p>
          <w:p>
            <w:pPr>
              <w:pStyle w:val="Normlny"/>
              <w:rPr/>
            </w:pPr>
            <w:r>
              <w:rPr/>
              <w:t>v eurách</w:t>
            </w:r>
          </w:p>
        </w:tc>
      </w:tr>
      <w:tr>
        <w:trPr>
          <w:trHeight w:val="966" w:hRule="atLeast"/>
        </w:trPr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/>
            </w:pPr>
            <w:r>
              <w:rPr/>
              <w:t>Názov položky                                                                              Hodnota k 31.12.             Zvýšenie             Zníženie             Presun                Hodnota k 31.12.</w:t>
            </w:r>
          </w:p>
          <w:p>
            <w:pPr>
              <w:pStyle w:val="Normlny"/>
              <w:rPr/>
            </w:pPr>
            <w:r>
              <w:rPr/>
              <w:t xml:space="preserve">                                                                                                      </w:t>
            </w:r>
            <w:r>
              <w:rPr/>
              <w:t>bezprostredne                                                                                                    bežného účtovného</w:t>
            </w:r>
          </w:p>
          <w:p>
            <w:pPr>
              <w:pStyle w:val="Normlny"/>
              <w:rPr/>
            </w:pPr>
            <w:r>
              <w:rPr/>
              <w:t xml:space="preserve">                                                                                                      </w:t>
            </w:r>
            <w:r>
              <w:rPr/>
              <w:t>predchádzajúceho                                                                                              obdobia</w:t>
            </w:r>
          </w:p>
          <w:p>
            <w:pPr>
              <w:pStyle w:val="Normlny"/>
              <w:rPr/>
            </w:pPr>
            <w:r>
              <w:rPr/>
              <w:t xml:space="preserve">                                                                                                      </w:t>
            </w:r>
            <w:r>
              <w:rPr/>
              <w:t xml:space="preserve">účtovného obdobia  </w:t>
            </w:r>
          </w:p>
        </w:tc>
      </w:tr>
      <w:tr>
        <w:trPr/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/>
            </w:pPr>
            <w:r>
              <w:rPr/>
              <w:t>Základné imanie                                                                              6640                                                                                                               6640</w:t>
            </w:r>
          </w:p>
        </w:tc>
      </w:tr>
      <w:tr>
        <w:trPr/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/>
            </w:pPr>
            <w:r>
              <w:rPr/>
              <w:t xml:space="preserve">Výsledok hospodárenia za účtovné obd.                                         </w:t>
            </w:r>
            <w:r>
              <w:rPr/>
              <w:t>956</w:t>
            </w:r>
            <w:r>
              <w:rPr/>
              <w:t xml:space="preserve">                                                                                                              </w:t>
            </w:r>
            <w:r>
              <w:rPr/>
              <w:t>-49</w:t>
            </w:r>
          </w:p>
        </w:tc>
      </w:tr>
      <w:tr>
        <w:trPr/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/>
            </w:pPr>
            <w:r>
              <w:rPr/>
              <w:t xml:space="preserve">Záväzky z prenájmu – leasing                                                         </w:t>
            </w:r>
          </w:p>
        </w:tc>
      </w:tr>
    </w:tbl>
    <w:p>
      <w:pPr>
        <w:pStyle w:val="Normlny"/>
        <w:rPr/>
      </w:pPr>
      <w:r>
        <w:rPr/>
      </w:r>
    </w:p>
    <w:p>
      <w:pPr>
        <w:pStyle w:val="Normlny"/>
        <w:rPr/>
      </w:pPr>
      <w:r>
        <w:rPr/>
      </w:r>
    </w:p>
    <w:p>
      <w:pPr>
        <w:pStyle w:val="Normlny"/>
        <w:rPr/>
      </w:pPr>
      <w:r>
        <w:rPr/>
      </w:r>
    </w:p>
    <w:tbl>
      <w:tblPr>
        <w:tblW w:w="14144" w:type="dxa"/>
        <w:jc w:val="left"/>
        <w:tblInd w:w="13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4144"/>
      </w:tblGrid>
      <w:tr>
        <w:trPr/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>
                <w:b/>
                <w:b/>
              </w:rPr>
            </w:pPr>
            <w:r>
              <w:rPr>
                <w:b/>
              </w:rPr>
              <w:t>Záväzky</w:t>
            </w:r>
          </w:p>
          <w:p>
            <w:pPr>
              <w:pStyle w:val="Normlny"/>
              <w:rPr/>
            </w:pPr>
            <w:r>
              <w:rPr/>
              <w:t>v eurách</w:t>
            </w:r>
          </w:p>
        </w:tc>
      </w:tr>
      <w:tr>
        <w:trPr/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/>
            </w:pPr>
            <w:r>
              <w:rPr/>
              <w:t xml:space="preserve">                                                                                                             </w:t>
            </w:r>
            <w:r>
              <w:rPr/>
              <w:t>Výška k 31.12.                                       Výška k 31.12.</w:t>
            </w:r>
          </w:p>
          <w:p>
            <w:pPr>
              <w:pStyle w:val="Normlny"/>
              <w:rPr/>
            </w:pPr>
            <w:r>
              <w:rPr/>
              <w:t xml:space="preserve">                                                                                                             </w:t>
            </w:r>
            <w:r>
              <w:rPr/>
              <w:t xml:space="preserve">bežného účtovného obdobia                   bezprostredne predchádzajúceho obdobia  </w:t>
            </w:r>
          </w:p>
        </w:tc>
      </w:tr>
      <w:tr>
        <w:trPr/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>
                <w:b/>
                <w:b/>
              </w:rPr>
            </w:pPr>
            <w:r>
              <w:rPr>
                <w:b/>
              </w:rPr>
              <w:t>Záväzky -  podľa doby splatnosti</w:t>
            </w:r>
          </w:p>
        </w:tc>
      </w:tr>
      <w:tr>
        <w:trPr>
          <w:trHeight w:val="351" w:hRule="atLeast"/>
        </w:trPr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/>
            </w:pPr>
            <w:r>
              <w:rPr/>
              <w:t xml:space="preserve">Záväzky v lehote splatnosti                                                                   </w:t>
            </w:r>
            <w:r>
              <w:rPr/>
              <w:t xml:space="preserve">3006                                                      </w:t>
            </w:r>
            <w:r>
              <w:rPr/>
              <w:t xml:space="preserve">2868                                                                                                          </w:t>
            </w:r>
          </w:p>
        </w:tc>
      </w:tr>
      <w:tr>
        <w:trPr/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/>
            </w:pPr>
            <w:r>
              <w:rPr/>
              <w:t xml:space="preserve">Dlhodobé záväzky                                                                                            </w:t>
            </w:r>
          </w:p>
        </w:tc>
      </w:tr>
      <w:tr>
        <w:trPr/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/>
            </w:pPr>
            <w:r>
              <w:rPr/>
              <w:t xml:space="preserve">  </w:t>
            </w:r>
            <w:r>
              <w:rPr/>
              <w:t xml:space="preserve">Spolu                                                                                                    </w:t>
            </w:r>
            <w:r>
              <w:rPr/>
              <w:t>3006</w:t>
            </w:r>
            <w:r>
              <w:rPr/>
              <w:t xml:space="preserve">                                                     </w:t>
            </w:r>
            <w:r>
              <w:rPr/>
              <w:t>2868</w:t>
            </w:r>
            <w:r>
              <w:rPr/>
              <w:t xml:space="preserve">                                                    </w:t>
            </w:r>
          </w:p>
        </w:tc>
      </w:tr>
      <w:tr>
        <w:trPr/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>
                <w:b/>
                <w:b/>
              </w:rPr>
            </w:pPr>
            <w:r>
              <w:rPr>
                <w:b/>
              </w:rPr>
              <w:t>Záväzky podľa doby splatnosti</w:t>
            </w:r>
          </w:p>
        </w:tc>
      </w:tr>
      <w:tr>
        <w:trPr/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lny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lny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lny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lny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lny"/>
              <w:rPr>
                <w:b/>
                <w:b/>
              </w:rPr>
            </w:pPr>
            <w:r>
              <w:rPr>
                <w:b/>
              </w:rPr>
              <w:t xml:space="preserve">Náklady </w:t>
            </w:r>
          </w:p>
          <w:p>
            <w:pPr>
              <w:pStyle w:val="Normlny"/>
              <w:rPr/>
            </w:pPr>
            <w:r>
              <w:rPr/>
              <w:t>v eurách</w:t>
            </w:r>
          </w:p>
        </w:tc>
      </w:tr>
      <w:tr>
        <w:trPr/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/>
            </w:pPr>
            <w:r>
              <w:rPr/>
              <w:t>Popis nákladov                                                                           Spolu k 31.12. bežného                                K 31.12.</w:t>
            </w:r>
          </w:p>
          <w:p>
            <w:pPr>
              <w:pStyle w:val="Normlny"/>
              <w:rPr/>
            </w:pPr>
            <w:r>
              <w:rPr/>
              <w:t xml:space="preserve">                                                                                                    </w:t>
            </w:r>
            <w:r>
              <w:rPr/>
              <w:t>účtovného obdobia                                       bezprostredne predchádzajúceho obdobia</w:t>
            </w:r>
          </w:p>
        </w:tc>
      </w:tr>
      <w:tr>
        <w:trPr/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/>
            </w:pPr>
            <w:r>
              <w:rPr/>
              <w:t xml:space="preserve">Tovar                                                                                        </w:t>
            </w:r>
          </w:p>
        </w:tc>
      </w:tr>
      <w:tr>
        <w:trPr/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/>
            </w:pPr>
            <w:r>
              <w:rPr/>
              <w:t xml:space="preserve">Služby                                                                                        </w:t>
            </w:r>
            <w:r>
              <w:rPr/>
              <w:t>1767</w:t>
            </w:r>
            <w:r>
              <w:rPr/>
              <w:t xml:space="preserve">                                                          </w:t>
            </w:r>
            <w:r>
              <w:rPr/>
              <w:t>7633</w:t>
            </w:r>
            <w:r>
              <w:rPr/>
              <w:t xml:space="preserve">  </w:t>
            </w:r>
          </w:p>
        </w:tc>
      </w:tr>
    </w:tbl>
    <w:p>
      <w:pPr>
        <w:pStyle w:val="Normlny"/>
        <w:rPr/>
      </w:pPr>
      <w:r>
        <w:rPr/>
      </w:r>
    </w:p>
    <w:tbl>
      <w:tblPr>
        <w:tblW w:w="14144" w:type="dxa"/>
        <w:jc w:val="left"/>
        <w:tblInd w:w="13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4144"/>
      </w:tblGrid>
      <w:tr>
        <w:trPr/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>
                <w:b/>
                <w:b/>
              </w:rPr>
            </w:pPr>
            <w:r>
              <w:rPr>
                <w:b/>
              </w:rPr>
              <w:t xml:space="preserve">Výnosy </w:t>
            </w:r>
          </w:p>
          <w:p>
            <w:pPr>
              <w:pStyle w:val="Normlny"/>
              <w:rPr/>
            </w:pPr>
            <w:r>
              <w:rPr/>
              <w:t>v eurách</w:t>
            </w:r>
          </w:p>
        </w:tc>
      </w:tr>
      <w:tr>
        <w:trPr/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/>
            </w:pPr>
            <w:r>
              <w:rPr/>
              <w:t>Popis výnosov                                                                                  Spolu k 31.12.bežného                               K 31.12.</w:t>
            </w:r>
          </w:p>
          <w:p>
            <w:pPr>
              <w:pStyle w:val="Normlny"/>
              <w:rPr/>
            </w:pPr>
            <w:r>
              <w:rPr/>
              <w:t xml:space="preserve">                                                                                                         </w:t>
            </w:r>
            <w:r>
              <w:rPr/>
              <w:t>účtovného obdobia                                     bezprostredne predchádzajúceho obdobia</w:t>
            </w:r>
          </w:p>
        </w:tc>
      </w:tr>
      <w:tr>
        <w:trPr/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/>
            </w:pPr>
            <w:r>
              <w:rPr/>
              <w:t xml:space="preserve">Tržby z predaja tovaru                                                                     </w:t>
            </w:r>
          </w:p>
        </w:tc>
      </w:tr>
      <w:tr>
        <w:trPr/>
        <w:tc>
          <w:tcPr>
            <w:tcW w:w="141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103" w:type="dxa"/>
            </w:tcMar>
          </w:tcPr>
          <w:p>
            <w:pPr>
              <w:pStyle w:val="Normlny"/>
              <w:rPr/>
            </w:pPr>
            <w:r>
              <w:rPr/>
              <w:t xml:space="preserve">Tržby za služby                                                                               </w:t>
            </w:r>
            <w:r>
              <w:rPr/>
              <w:t>9182</w:t>
            </w:r>
            <w:r>
              <w:rPr/>
              <w:t xml:space="preserve">                                                       </w:t>
            </w:r>
            <w:r>
              <w:rPr/>
              <w:t>24795</w:t>
            </w:r>
          </w:p>
        </w:tc>
      </w:tr>
    </w:tbl>
    <w:p>
      <w:pPr>
        <w:pStyle w:val="Normlny"/>
        <w:rPr/>
      </w:pPr>
      <w:r>
        <w:rPr/>
      </w:r>
    </w:p>
    <w:p>
      <w:pPr>
        <w:pStyle w:val="Normlny"/>
        <w:rPr/>
      </w:pPr>
      <w:r>
        <w:rPr/>
        <w:t>Spoločnosť netvorila žiadne zákonné rezervy. Celá produkcia spoločnosti bola realizovaná na území Slovenskej republiky na základe fakturácií.</w:t>
      </w:r>
    </w:p>
    <w:p>
      <w:pPr>
        <w:pStyle w:val="Normlny"/>
        <w:rPr/>
      </w:pPr>
      <w:r>
        <w:rPr/>
      </w:r>
    </w:p>
    <w:p>
      <w:pPr>
        <w:pStyle w:val="Normlny"/>
        <w:rPr/>
      </w:pPr>
      <w:r>
        <w:rPr/>
      </w:r>
    </w:p>
    <w:p>
      <w:pPr>
        <w:pStyle w:val="Normlny"/>
        <w:rPr/>
      </w:pPr>
      <w:r>
        <w:rPr/>
        <w:t xml:space="preserve">V Kremnici, </w:t>
      </w:r>
      <w:r>
        <w:rPr/>
        <w:t>6.6.</w:t>
      </w:r>
      <w:bookmarkStart w:id="0" w:name="_GoBack"/>
      <w:bookmarkEnd w:id="0"/>
      <w:r>
        <w:rPr/>
        <w:t>.2017</w:t>
      </w:r>
    </w:p>
    <w:p>
      <w:pPr>
        <w:pStyle w:val="Normlny"/>
        <w:rPr/>
      </w:pPr>
      <w:r>
        <w:rPr/>
      </w:r>
    </w:p>
    <w:p>
      <w:pPr>
        <w:pStyle w:val="Normlny"/>
        <w:rPr/>
      </w:pPr>
      <w:r>
        <w:rPr/>
      </w:r>
    </w:p>
    <w:p>
      <w:pPr>
        <w:pStyle w:val="Normlny"/>
        <w:rPr/>
      </w:pPr>
      <w:r>
        <w:rPr/>
      </w:r>
    </w:p>
    <w:p>
      <w:pPr>
        <w:pStyle w:val="Normlny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widowControl/>
        <w:bidi w:val="0"/>
        <w:spacing w:lineRule="auto" w:line="276" w:before="0" w:after="200"/>
        <w:jc w:val="left"/>
        <w:textAlignment w:val="baseline"/>
        <w:rPr/>
      </w:pPr>
      <w:r>
        <w:rPr/>
      </w:r>
    </w:p>
    <w:sectPr>
      <w:type w:val="nextPage"/>
      <w:pgSz w:orient="landscape" w:w="16838" w:h="11906"/>
      <w:pgMar w:left="1418" w:right="1418" w:header="0" w:top="1418" w:footer="0" w:bottom="1418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a86087"/>
    <w:pPr>
      <w:widowControl/>
      <w:bidi w:val="0"/>
      <w:spacing w:lineRule="auto" w:line="276" w:before="0" w:after="200"/>
      <w:jc w:val="left"/>
      <w:textAlignment w:val="baseline"/>
    </w:pPr>
    <w:rPr>
      <w:rFonts w:ascii="Calibri" w:hAnsi="Calibri" w:eastAsia="Calibri" w:cs="Times New Roman" w:asciiTheme="minorHAnsi" w:eastAsiaTheme="minorHAnsi" w:hAnsiTheme="minorHAnsi"/>
      <w:color w:val="auto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redvolenpsmoodseku" w:customStyle="1">
    <w:name w:val="Predvolené písmo odseku"/>
    <w:qFormat/>
    <w:rsid w:val="00a86087"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Normlny" w:customStyle="1">
    <w:name w:val="Normálny"/>
    <w:qFormat/>
    <w:rsid w:val="00a86087"/>
    <w:pPr>
      <w:widowControl/>
      <w:suppressAutoHyphens w:val="true"/>
      <w:bidi w:val="0"/>
      <w:spacing w:lineRule="auto" w:line="240"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sz w:val="20"/>
      <w:szCs w:val="20"/>
      <w:lang w:eastAsia="sk-SK" w:val="sk-SK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LibreOffice/5.3.1.2$Windows_x86 LibreOffice_project/e80a0e0fd1875e1696614d24c32df0f95f03deb2</Application>
  <Pages>4</Pages>
  <Words>431</Words>
  <Characters>2839</Characters>
  <CharactersWithSpaces>6819</CharactersWithSpaces>
  <Paragraphs>99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2017-02-26T09:05:00Z</dcterms:created>
  <dc:creator>ntb</dc:creator>
  <dc:description/>
  <dc:language>sk-SK</dc:language>
  <cp:lastModifiedBy/>
  <dcterms:modified xsi:type="dcterms:W3CDTF">2017-06-29T15:23:05Z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