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10515"/>
      </w:tblGrid>
      <w:tr>
        <w:trPr>
          <w:trHeight w:val="290" w:hRule="auto"/>
          <w:jc w:val="left"/>
        </w:trPr>
        <w:tc>
          <w:tcPr>
            <w:tcW w:w="10515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0" w:line="259"/>
              <w:ind w:right="8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k mikro ú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závierke za rok 2016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332" w:hRule="auto"/>
          <w:jc w:val="left"/>
        </w:trPr>
        <w:tc>
          <w:tcPr>
            <w:tcW w:w="10515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zostavené pod</w:t>
            </w: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ľa Opatrenia Ministerstva financií SR č.MF/15464/2013-74, ktorým sa ustanovujú podrobnosti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59"/>
              <w:ind w:right="2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o usporiadaní, ozna</w:t>
            </w: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čovaní a obsahovom vymedzení položiek individuálnej účtovnej závierky a rozsahu </w:t>
            </w:r>
          </w:p>
          <w:p>
            <w:pPr>
              <w:spacing w:before="0" w:after="0" w:line="259"/>
              <w:ind w:right="0" w:left="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údajov ur</w:t>
            </w: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z individuálnej účtovnej závierky na zverejnenie pre 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mikro účtovné jednotky</w:t>
            </w: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 v znení </w:t>
            </w:r>
          </w:p>
          <w:p>
            <w:pPr>
              <w:spacing w:before="0" w:after="0" w:line="259"/>
              <w:ind w:right="0" w:left="5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neskorších predpisov (ostatná novela </w:t>
            </w:r>
            <w:r>
              <w:rPr>
                <w:rFonts w:ascii="Arial CE" w:hAnsi="Arial CE" w:cs="Arial CE" w:eastAsia="Arial CE"/>
                <w:color w:val="auto"/>
                <w:spacing w:val="0"/>
                <w:position w:val="0"/>
                <w:sz w:val="22"/>
                <w:shd w:fill="auto" w:val="clear"/>
              </w:rPr>
              <w:t xml:space="preserve">č.MF/18008/2014-74 – FS č.10/2014)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keepNext w:val="true"/>
        <w:keepLines w:val="true"/>
        <w:spacing w:before="0" w:after="4" w:line="259"/>
        <w:ind w:right="825" w:left="10" w:hanging="1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Článok I</w:t>
      </w:r>
      <w:r>
        <w:rPr>
          <w:rFonts w:ascii="Arial CE" w:hAnsi="Arial CE" w:cs="Arial CE" w:eastAsia="Arial CE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Všeobecné údaje</w:t>
      </w:r>
      <w:r>
        <w:rPr>
          <w:rFonts w:ascii="Arial CE" w:hAnsi="Arial CE" w:cs="Arial CE" w:eastAsia="Arial CE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4"/>
        </w:numPr>
        <w:spacing w:before="0" w:after="0" w:line="259"/>
        <w:ind w:right="0" w:left="247" w:hanging="247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tbl>
      <w:tblPr/>
      <w:tblGrid>
        <w:gridCol w:w="3087"/>
        <w:gridCol w:w="6604"/>
      </w:tblGrid>
      <w:tr>
        <w:trPr>
          <w:trHeight w:val="312" w:hRule="auto"/>
          <w:jc w:val="left"/>
        </w:trPr>
        <w:tc>
          <w:tcPr>
            <w:tcW w:w="3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  </w:t>
            </w:r>
          </w:p>
        </w:tc>
        <w:tc>
          <w:tcPr>
            <w:tcW w:w="6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LR ART s.r.o.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 </w:t>
            </w:r>
          </w:p>
        </w:tc>
      </w:tr>
      <w:tr>
        <w:trPr>
          <w:trHeight w:val="382" w:hRule="auto"/>
          <w:jc w:val="left"/>
        </w:trPr>
        <w:tc>
          <w:tcPr>
            <w:tcW w:w="3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</w:t>
            </w:r>
          </w:p>
        </w:tc>
        <w:tc>
          <w:tcPr>
            <w:tcW w:w="6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bottom"/>
          </w:tcPr>
          <w:p>
            <w:pPr>
              <w:tabs>
                <w:tab w:val="center" w:pos="1337" w:leader="none"/>
              </w:tabs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50561600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59"/>
              <w:ind w:right="0" w:left="1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"/>
                <w:shd w:fill="auto" w:val="clear"/>
              </w:rPr>
              <w:t xml:space="preserve"> </w:t>
            </w:r>
          </w:p>
        </w:tc>
      </w:tr>
      <w:tr>
        <w:trPr>
          <w:trHeight w:val="314" w:hRule="auto"/>
          <w:jc w:val="left"/>
        </w:trPr>
        <w:tc>
          <w:tcPr>
            <w:tcW w:w="30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  </w:t>
            </w:r>
          </w:p>
        </w:tc>
        <w:tc>
          <w:tcPr>
            <w:tcW w:w="6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1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Magurská 6164/65, 974 11 Banská Bystrica</w:t>
            </w:r>
          </w:p>
        </w:tc>
      </w:tr>
    </w:tbl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60" w:line="259"/>
        <w:ind w:right="0" w:left="9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tabs>
          <w:tab w:val="center" w:pos="1487" w:leader="none"/>
        </w:tabs>
        <w:spacing w:before="0" w:after="160" w:line="259"/>
        <w:ind w:right="0" w:left="-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  <w:tab/>
        <w:t xml:space="preserve">BEZ NÁPLNE  </w:t>
      </w: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33"/>
        </w:numPr>
        <w:spacing w:before="0" w:after="0" w:line="259"/>
        <w:ind w:right="0" w:left="247" w:hanging="247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  </w:t>
      </w:r>
    </w:p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tbl>
      <w:tblPr/>
      <w:tblGrid>
        <w:gridCol w:w="4221"/>
        <w:gridCol w:w="2129"/>
        <w:gridCol w:w="3341"/>
      </w:tblGrid>
      <w:tr>
        <w:trPr>
          <w:trHeight w:val="816" w:hRule="auto"/>
          <w:jc w:val="left"/>
        </w:trPr>
        <w:tc>
          <w:tcPr>
            <w:tcW w:w="4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59"/>
              <w:ind w:right="33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3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12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59"/>
              <w:ind w:right="36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554" w:hRule="auto"/>
          <w:jc w:val="left"/>
        </w:trPr>
        <w:tc>
          <w:tcPr>
            <w:tcW w:w="4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  </w:t>
            </w:r>
          </w:p>
        </w:tc>
        <w:tc>
          <w:tcPr>
            <w:tcW w:w="2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59"/>
              <w:ind w:right="39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90" w:type="dxa"/>
              <w:right w:w="90" w:type="dxa"/>
            </w:tcMar>
            <w:vAlign w:val="top"/>
          </w:tcPr>
          <w:p>
            <w:pPr>
              <w:spacing w:before="0" w:after="0" w:line="259"/>
              <w:ind w:right="32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 </w:t>
            </w:r>
          </w:p>
        </w:tc>
      </w:tr>
    </w:tbl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keepNext w:val="true"/>
        <w:keepLines w:val="true"/>
        <w:spacing w:before="0" w:after="4" w:line="259"/>
        <w:ind w:right="831" w:left="10" w:hanging="1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Článok II</w:t>
      </w:r>
      <w:r>
        <w:rPr>
          <w:rFonts w:ascii="Arial CE" w:hAnsi="Arial CE" w:cs="Arial CE" w:eastAsia="Arial CE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2638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CE" w:hAnsi="Arial CE" w:cs="Arial CE" w:eastAsia="Arial CE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31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50"/>
        </w:numPr>
        <w:spacing w:before="0" w:after="2" w:line="256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nepretržite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pokračovať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ANO  </w:t>
      </w: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52"/>
        </w:numPr>
        <w:spacing w:before="0" w:after="2" w:line="256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 to:  </w:t>
      </w:r>
    </w:p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tbl>
      <w:tblPr/>
      <w:tblGrid>
        <w:gridCol w:w="4844"/>
        <w:gridCol w:w="4847"/>
      </w:tblGrid>
      <w:tr>
        <w:trPr>
          <w:trHeight w:val="293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11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 CE" w:hAnsi="Arial CE" w:cs="Arial CE" w:eastAsia="Arial CE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307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07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</w:t>
            </w:r>
          </w:p>
        </w:tc>
      </w:tr>
      <w:tr>
        <w:trPr>
          <w:trHeight w:val="307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</w:t>
            </w:r>
          </w:p>
        </w:tc>
      </w:tr>
      <w:tr>
        <w:trPr>
          <w:trHeight w:val="307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 úvery: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</w:t>
            </w:r>
          </w:p>
        </w:tc>
      </w:tr>
      <w:tr>
        <w:trPr>
          <w:trHeight w:val="310" w:hRule="auto"/>
          <w:jc w:val="left"/>
        </w:trPr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  </w:t>
            </w:r>
          </w:p>
        </w:tc>
        <w:tc>
          <w:tcPr>
            <w:tcW w:w="48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0" w:type="dxa"/>
              <w:right w:w="110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  </w:t>
            </w:r>
          </w:p>
        </w:tc>
      </w:tr>
    </w:tbl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92"/>
        </w:numPr>
        <w:spacing w:before="0" w:after="2" w:line="256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  BEZ MAJETKU</w:t>
      </w:r>
    </w:p>
    <w:tbl>
      <w:tblPr/>
      <w:tblGrid>
        <w:gridCol w:w="2504"/>
        <w:gridCol w:w="2507"/>
        <w:gridCol w:w="2505"/>
        <w:gridCol w:w="2505"/>
      </w:tblGrid>
      <w:tr>
        <w:trPr>
          <w:trHeight w:val="407" w:hRule="auto"/>
          <w:jc w:val="left"/>
        </w:trPr>
        <w:tc>
          <w:tcPr>
            <w:tcW w:w="2504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auto" w:fill="fce3a0" w:val="clear"/>
            <w:tcMar>
              <w:left w:w="76" w:type="dxa"/>
              <w:right w:w="76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7"/>
                <w:shd w:fill="auto" w:val="clear"/>
              </w:rPr>
              <w:t xml:space="preserve">Druh majetku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2507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auto" w:fill="fce3a0" w:val="clear"/>
            <w:tcMar>
              <w:left w:w="76" w:type="dxa"/>
              <w:right w:w="76" w:type="dxa"/>
            </w:tcMar>
            <w:vAlign w:val="top"/>
          </w:tcPr>
          <w:p>
            <w:pPr>
              <w:spacing w:before="0" w:after="0" w:line="259"/>
              <w:ind w:right="0" w:left="7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7"/>
                <w:shd w:fill="auto" w:val="clear"/>
              </w:rPr>
              <w:t xml:space="preserve">Doba odpisovania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2505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auto" w:fill="fce3a0" w:val="clear"/>
            <w:tcMar>
              <w:left w:w="76" w:type="dxa"/>
              <w:right w:w="76" w:type="dxa"/>
            </w:tcMar>
            <w:vAlign w:val="top"/>
          </w:tcPr>
          <w:p>
            <w:pPr>
              <w:spacing w:before="0" w:after="0" w:line="259"/>
              <w:ind w:right="0" w:left="76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7"/>
                <w:shd w:fill="auto" w:val="clear"/>
              </w:rPr>
              <w:t xml:space="preserve">Sadzba odpisov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  <w:tc>
          <w:tcPr>
            <w:tcW w:w="2505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auto" w:fill="fce3a0" w:val="clear"/>
            <w:tcMar>
              <w:left w:w="76" w:type="dxa"/>
              <w:right w:w="76" w:type="dxa"/>
            </w:tcMar>
            <w:vAlign w:val="bottom"/>
          </w:tcPr>
          <w:p>
            <w:pPr>
              <w:spacing w:before="0" w:after="0" w:line="259"/>
              <w:ind w:right="0" w:left="66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7"/>
                <w:shd w:fill="auto" w:val="clear"/>
              </w:rPr>
              <w:t xml:space="preserve">Odpisová metóda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506" w:hRule="auto"/>
          <w:jc w:val="left"/>
        </w:trPr>
        <w:tc>
          <w:tcPr>
            <w:tcW w:w="2504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000000" w:fill="ffffff" w:val="clear"/>
            <w:tcMar>
              <w:left w:w="76" w:type="dxa"/>
              <w:right w:w="76" w:type="dxa"/>
            </w:tcMar>
            <w:vAlign w:val="center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7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000000" w:fill="ffffff" w:val="clear"/>
            <w:tcMar>
              <w:left w:w="76" w:type="dxa"/>
              <w:right w:w="76" w:type="dxa"/>
            </w:tcMar>
            <w:vAlign w:val="center"/>
          </w:tcPr>
          <w:p>
            <w:pPr>
              <w:spacing w:before="0" w:after="0" w:line="259"/>
              <w:ind w:right="0" w:left="81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000000" w:fill="ffffff" w:val="clear"/>
            <w:tcMar>
              <w:left w:w="76" w:type="dxa"/>
              <w:right w:w="76" w:type="dxa"/>
            </w:tcMar>
            <w:vAlign w:val="center"/>
          </w:tcPr>
          <w:p>
            <w:pPr>
              <w:spacing w:before="0" w:after="0" w:line="259"/>
              <w:ind w:right="0" w:left="73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181717" w:sz="4"/>
              <w:left w:val="single" w:color="181717" w:sz="4"/>
              <w:bottom w:val="single" w:color="181717" w:sz="4"/>
              <w:right w:val="single" w:color="181717" w:sz="4"/>
            </w:tcBorders>
            <w:shd w:color="000000" w:fill="ffffff" w:val="clear"/>
            <w:tcMar>
              <w:left w:w="76" w:type="dxa"/>
              <w:right w:w="76" w:type="dxa"/>
            </w:tcMar>
            <w:vAlign w:val="center"/>
          </w:tcPr>
          <w:p>
            <w:pPr>
              <w:spacing w:before="0" w:after="0" w:line="259"/>
              <w:ind w:right="0" w:left="7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6" w:line="259"/>
        <w:ind w:right="0" w:left="262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06"/>
        </w:numPr>
        <w:spacing w:before="0" w:after="2" w:line="256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  </w:t>
      </w:r>
    </w:p>
    <w:p>
      <w:pPr>
        <w:spacing w:before="0" w:after="9" w:line="259"/>
        <w:ind w:right="0" w:left="25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ZMENY</w:t>
      </w:r>
    </w:p>
    <w:p>
      <w:pPr>
        <w:spacing w:before="0" w:after="9" w:line="259"/>
        <w:ind w:right="0" w:left="25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 účtovníctve: BEZ NÁPLNE  </w:t>
      </w:r>
    </w:p>
    <w:p>
      <w:pPr>
        <w:spacing w:before="0" w:after="31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10"/>
        </w:numPr>
        <w:spacing w:before="0" w:after="2" w:line="256"/>
        <w:ind w:right="0" w:left="708" w:hanging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 </w:t>
      </w:r>
    </w:p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keepNext w:val="true"/>
        <w:keepLines w:val="true"/>
        <w:spacing w:before="0" w:after="4" w:line="259"/>
        <w:ind w:right="148" w:left="10" w:hanging="10"/>
        <w:jc w:val="center"/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Článok III</w:t>
      </w:r>
      <w:r>
        <w:rPr>
          <w:rFonts w:ascii="Arial CE" w:hAnsi="Arial CE" w:cs="Arial CE" w:eastAsia="Arial CE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Informácie, ktoré vysvetľujú a dopĺňajú súvahu a výkaz ziskov a strát</w:t>
      </w:r>
      <w:r>
        <w:rPr>
          <w:rFonts w:ascii="Arial CE" w:hAnsi="Arial CE" w:cs="Arial CE" w:eastAsia="Arial CE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32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14"/>
        </w:numPr>
        <w:spacing w:before="0" w:after="2" w:line="257"/>
        <w:ind w:right="42" w:left="341" w:hanging="233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Informácia o sume a dôvodoch vzniku jednotlivých položiek 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čný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rozsah alebo výskyt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</w:t>
      </w:r>
    </w:p>
    <w:p>
      <w:pPr>
        <w:spacing w:before="0" w:after="160" w:line="259"/>
        <w:ind w:right="0" w:left="9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NÁPLNE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17"/>
        </w:numPr>
        <w:spacing w:before="0" w:after="0" w:line="259"/>
        <w:ind w:right="42" w:left="341" w:hanging="233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to: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19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rokov: BEZ NÁPLNE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21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 BEZ NÁPLNE  </w:t>
      </w:r>
    </w:p>
    <w:p>
      <w:pPr>
        <w:spacing w:before="0" w:after="34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23"/>
        </w:numPr>
        <w:spacing w:before="0" w:after="2" w:line="257"/>
        <w:ind w:right="42" w:left="158" w:firstLine="91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to najmä – dôvod nadobudnutia vlastných akcií,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>
      <w:pPr>
        <w:spacing w:before="0" w:after="32" w:line="259"/>
        <w:ind w:right="10267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numPr>
          <w:ilvl w:val="0"/>
          <w:numId w:val="125"/>
        </w:numPr>
        <w:spacing w:before="0" w:after="0" w:line="259"/>
        <w:ind w:right="42" w:left="158" w:firstLine="91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to:  </w:t>
      </w:r>
    </w:p>
    <w:p>
      <w:pPr>
        <w:spacing w:before="0" w:after="34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27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výške jednotlivých druhov záruk alebo iných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</w:t>
      </w:r>
    </w:p>
    <w:p>
      <w:pPr>
        <w:spacing w:before="0" w:after="160" w:line="259"/>
        <w:ind w:right="1673" w:left="-1" w:firstLine="115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dozorného  orgánu  a  iného  orgánu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 jednotky,  a to v členení za jednotlivé orgány:  BEZ NÁPLNE  </w:t>
      </w:r>
    </w:p>
    <w:p>
      <w:pPr>
        <w:spacing w:before="0" w:after="0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30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>
      <w:pPr>
        <w:spacing w:before="0" w:after="160" w:line="259"/>
        <w:ind w:right="0" w:left="9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NÁPLNE  </w:t>
      </w:r>
    </w:p>
    <w:p>
      <w:pPr>
        <w:spacing w:before="0" w:after="31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33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hlavných podmienkach, na základe ktorých im boli záruky alebo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a pôžičky poskytnuté; pri </w:t>
      </w:r>
    </w:p>
    <w:p>
      <w:pPr>
        <w:spacing w:before="0" w:after="160" w:line="259"/>
        <w:ind w:right="0" w:left="13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pôži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čkách sa uvádzajú úrokové sadzby: BEZ NÁPLNE  </w:t>
      </w:r>
    </w:p>
    <w:p>
      <w:pPr>
        <w:spacing w:before="0" w:after="33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36"/>
        </w:numPr>
        <w:spacing w:before="0" w:after="2" w:line="256"/>
        <w:ind w:right="0" w:left="723" w:hanging="6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použitých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</w:t>
      </w:r>
    </w:p>
    <w:p>
      <w:pPr>
        <w:spacing w:before="0" w:after="160" w:line="259"/>
        <w:ind w:right="0" w:left="13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orgánu, dozorného orgánu a iného orgánu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ktoré je potrebné vyúčtovať: BEZ NÁPLNE  </w:t>
      </w:r>
    </w:p>
    <w:p>
      <w:pPr>
        <w:spacing w:before="0" w:after="0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60" w:line="259"/>
        <w:ind w:right="0" w:left="13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jednotky, a to: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41"/>
        </w:numPr>
        <w:spacing w:before="0" w:after="2" w:line="256"/>
        <w:ind w:right="103" w:left="0" w:firstLine="101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>
      <w:pPr>
        <w:spacing w:before="0" w:after="31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43"/>
        </w:numPr>
        <w:spacing w:before="0" w:after="2" w:line="256"/>
        <w:ind w:right="103" w:left="0" w:firstLine="101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významných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45"/>
        </w:numPr>
        <w:spacing w:before="0" w:after="2" w:line="256"/>
        <w:ind w:right="103" w:left="0" w:firstLine="101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>
      <w:pPr>
        <w:spacing w:before="0" w:after="33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numPr>
          <w:ilvl w:val="0"/>
          <w:numId w:val="147"/>
        </w:numPr>
        <w:spacing w:before="0" w:after="2" w:line="256"/>
        <w:ind w:right="103" w:left="0" w:firstLine="101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z dôchodkových programov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 zamestnancov: BEZ NÁPLNE  </w:t>
      </w:r>
    </w:p>
    <w:p>
      <w:pPr>
        <w:spacing w:before="0" w:after="0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60" w:line="257"/>
        <w:ind w:right="83" w:left="0" w:firstLine="91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Informácie o 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CE" w:hAnsi="Arial CE" w:cs="Arial CE" w:eastAsia="Arial CE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verejnom záujme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>
      <w:pPr>
        <w:spacing w:before="0" w:after="0" w:line="259"/>
        <w:ind w:right="0" w:left="11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0" w:line="259"/>
        <w:ind w:right="0" w:left="1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num w:numId="14">
    <w:abstractNumId w:val="120"/>
  </w:num>
  <w:num w:numId="33">
    <w:abstractNumId w:val="114"/>
  </w:num>
  <w:num w:numId="50">
    <w:abstractNumId w:val="108"/>
  </w:num>
  <w:num w:numId="52">
    <w:abstractNumId w:val="102"/>
  </w:num>
  <w:num w:numId="92">
    <w:abstractNumId w:val="96"/>
  </w:num>
  <w:num w:numId="106">
    <w:abstractNumId w:val="90"/>
  </w:num>
  <w:num w:numId="110">
    <w:abstractNumId w:val="84"/>
  </w:num>
  <w:num w:numId="114">
    <w:abstractNumId w:val="78"/>
  </w:num>
  <w:num w:numId="117">
    <w:abstractNumId w:val="72"/>
  </w:num>
  <w:num w:numId="119">
    <w:abstractNumId w:val="66"/>
  </w:num>
  <w:num w:numId="121">
    <w:abstractNumId w:val="60"/>
  </w:num>
  <w:num w:numId="123">
    <w:abstractNumId w:val="54"/>
  </w:num>
  <w:num w:numId="125">
    <w:abstractNumId w:val="48"/>
  </w:num>
  <w:num w:numId="127">
    <w:abstractNumId w:val="42"/>
  </w:num>
  <w:num w:numId="130">
    <w:abstractNumId w:val="36"/>
  </w:num>
  <w:num w:numId="133">
    <w:abstractNumId w:val="30"/>
  </w:num>
  <w:num w:numId="136">
    <w:abstractNumId w:val="24"/>
  </w:num>
  <w:num w:numId="141">
    <w:abstractNumId w:val="18"/>
  </w:num>
  <w:num w:numId="143">
    <w:abstractNumId w:val="12"/>
  </w:num>
  <w:num w:numId="145">
    <w:abstractNumId w:val="6"/>
  </w:num>
  <w:num w:numId="14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