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tbl>
      <w:tblPr/>
      <w:tblGrid>
        <w:gridCol w:w="10515"/>
      </w:tblGrid>
      <w:tr>
        <w:trPr>
          <w:trHeight w:val="290" w:hRule="auto"/>
          <w:jc w:val="left"/>
        </w:trPr>
        <w:tc>
          <w:tcPr>
            <w:tcW w:w="10515" w:type="dxa"/>
            <w:tcBorders>
              <w:top w:val="single" w:color="000000" w:sz="4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0" w:line="259"/>
              <w:ind w:right="8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Poznámky k mikro ú</w:t>
            </w: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čtovnej závierke za rok 2016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1332" w:hRule="auto"/>
          <w:jc w:val="left"/>
        </w:trPr>
        <w:tc>
          <w:tcPr>
            <w:tcW w:w="10515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4" w:type="dxa"/>
              <w:right w:w="114" w:type="dxa"/>
            </w:tcMar>
            <w:vAlign w:val="top"/>
          </w:tcPr>
          <w:p>
            <w:pPr>
              <w:spacing w:before="0" w:after="1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zostavené pod</w:t>
            </w: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ľa Opatrenia Ministerstva financií SR č.MF/15464/2013-74, ktorým sa ustanovujú podrobnosti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  <w:p>
            <w:pPr>
              <w:spacing w:before="0" w:after="0" w:line="259"/>
              <w:ind w:right="2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o usporiadaní, ozna</w:t>
            </w: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čovaní a obsahovom vymedzení položiek individuálnej účtovnej závierky a rozsahu </w:t>
            </w:r>
          </w:p>
          <w:p>
            <w:pPr>
              <w:spacing w:before="0" w:after="0" w:line="259"/>
              <w:ind w:right="0" w:left="7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údajov ur</w:t>
            </w: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čených z individuálnej účtovnej závierky na zverejnenie pre </w:t>
            </w: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mikro účtovné jednotky</w:t>
            </w: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 v znení </w:t>
            </w:r>
          </w:p>
          <w:p>
            <w:pPr>
              <w:spacing w:before="0" w:after="0" w:line="259"/>
              <w:ind w:right="0" w:left="5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neskorších predpisov (ostatná novela </w:t>
            </w:r>
            <w:r>
              <w:rPr>
                <w:rFonts w:ascii="Arial CE" w:hAnsi="Arial CE" w:cs="Arial CE" w:eastAsia="Arial CE"/>
                <w:color w:val="auto"/>
                <w:spacing w:val="0"/>
                <w:position w:val="0"/>
                <w:sz w:val="22"/>
                <w:shd w:fill="auto" w:val="clear"/>
              </w:rPr>
              <w:t xml:space="preserve">č.MF/18008/2014-74 – FS č.10/2014)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</w:tbl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keepNext w:val="true"/>
        <w:keepLines w:val="true"/>
        <w:spacing w:before="0" w:after="4" w:line="259"/>
        <w:ind w:right="825" w:left="10" w:hanging="1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Článok I</w:t>
      </w:r>
      <w:r>
        <w:rPr>
          <w:rFonts w:ascii="Arial CE" w:hAnsi="Arial CE" w:cs="Arial CE" w:eastAsia="Arial CE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Všeobecné údaje</w:t>
      </w:r>
      <w:r>
        <w:rPr>
          <w:rFonts w:ascii="Arial CE" w:hAnsi="Arial CE" w:cs="Arial CE" w:eastAsia="Arial CE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33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4"/>
        </w:numPr>
        <w:spacing w:before="0" w:after="0" w:line="259"/>
        <w:ind w:right="0" w:left="247" w:hanging="247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(názov, IČO, sídlo):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tbl>
      <w:tblPr/>
      <w:tblGrid>
        <w:gridCol w:w="3087"/>
        <w:gridCol w:w="6604"/>
      </w:tblGrid>
      <w:tr>
        <w:trPr>
          <w:trHeight w:val="312" w:hRule="auto"/>
          <w:jc w:val="left"/>
        </w:trPr>
        <w:tc>
          <w:tcPr>
            <w:tcW w:w="30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  </w:t>
            </w:r>
          </w:p>
        </w:tc>
        <w:tc>
          <w:tcPr>
            <w:tcW w:w="6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1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LR ART s.r.o.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s.r.o. </w:t>
            </w:r>
          </w:p>
        </w:tc>
      </w:tr>
      <w:tr>
        <w:trPr>
          <w:trHeight w:val="382" w:hRule="auto"/>
          <w:jc w:val="left"/>
        </w:trPr>
        <w:tc>
          <w:tcPr>
            <w:tcW w:w="30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ČO:  </w:t>
            </w:r>
          </w:p>
        </w:tc>
        <w:tc>
          <w:tcPr>
            <w:tcW w:w="6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bottom"/>
          </w:tcPr>
          <w:p>
            <w:pPr>
              <w:tabs>
                <w:tab w:val="center" w:pos="1337" w:leader="none"/>
              </w:tabs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50561600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 </w:t>
            </w:r>
          </w:p>
          <w:p>
            <w:pPr>
              <w:spacing w:before="0" w:after="0" w:line="259"/>
              <w:ind w:right="0" w:left="1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"/>
                <w:shd w:fill="auto" w:val="clear"/>
              </w:rPr>
              <w:t xml:space="preserve"> </w:t>
            </w:r>
          </w:p>
        </w:tc>
      </w:tr>
      <w:tr>
        <w:trPr>
          <w:trHeight w:val="314" w:hRule="auto"/>
          <w:jc w:val="left"/>
        </w:trPr>
        <w:tc>
          <w:tcPr>
            <w:tcW w:w="308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  </w:t>
            </w:r>
          </w:p>
        </w:tc>
        <w:tc>
          <w:tcPr>
            <w:tcW w:w="660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1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Magurská 6164/65, 974 11 Banská Bystrica</w:t>
            </w:r>
          </w:p>
        </w:tc>
      </w:tr>
    </w:tbl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160" w:line="259"/>
        <w:ind w:right="0" w:left="9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Údaje o konsolidovanom celku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- obchodné meno a sídlo konsolidujúcej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jednotky:  </w:t>
      </w:r>
    </w:p>
    <w:p>
      <w:pPr>
        <w:tabs>
          <w:tab w:val="center" w:pos="1487" w:leader="none"/>
        </w:tabs>
        <w:spacing w:before="0" w:after="160" w:line="259"/>
        <w:ind w:right="0" w:left="-1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  <w:tab/>
        <w:t xml:space="preserve">BEZ NÁPLNE  </w:t>
      </w:r>
    </w:p>
    <w:p>
      <w:pPr>
        <w:spacing w:before="0" w:after="33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33"/>
        </w:numPr>
        <w:spacing w:before="0" w:after="0" w:line="259"/>
        <w:ind w:right="0" w:left="247" w:hanging="247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Priemerný prepo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čítaný počet zamestnancov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:    </w:t>
      </w:r>
    </w:p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tbl>
      <w:tblPr/>
      <w:tblGrid>
        <w:gridCol w:w="4221"/>
        <w:gridCol w:w="2129"/>
        <w:gridCol w:w="3341"/>
      </w:tblGrid>
      <w:tr>
        <w:trPr>
          <w:trHeight w:val="816" w:hRule="auto"/>
          <w:jc w:val="left"/>
        </w:trPr>
        <w:tc>
          <w:tcPr>
            <w:tcW w:w="4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0" w:type="dxa"/>
              <w:right w:w="90" w:type="dxa"/>
            </w:tcMar>
            <w:vAlign w:val="top"/>
          </w:tcPr>
          <w:p>
            <w:pPr>
              <w:spacing w:before="0" w:after="0" w:line="259"/>
              <w:ind w:right="33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2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0" w:type="dxa"/>
              <w:right w:w="9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obdobie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33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0" w:type="dxa"/>
              <w:right w:w="90" w:type="dxa"/>
            </w:tcMar>
            <w:vAlign w:val="top"/>
          </w:tcPr>
          <w:p>
            <w:pPr>
              <w:spacing w:before="0" w:after="12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čtovné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  <w:p>
            <w:pPr>
              <w:spacing w:before="0" w:after="0" w:line="259"/>
              <w:ind w:right="36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554" w:hRule="auto"/>
          <w:jc w:val="left"/>
        </w:trPr>
        <w:tc>
          <w:tcPr>
            <w:tcW w:w="422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0" w:type="dxa"/>
              <w:right w:w="9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čítaný počet zamestnancov  </w:t>
            </w:r>
          </w:p>
        </w:tc>
        <w:tc>
          <w:tcPr>
            <w:tcW w:w="2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0" w:type="dxa"/>
              <w:right w:w="90" w:type="dxa"/>
            </w:tcMar>
            <w:vAlign w:val="top"/>
          </w:tcPr>
          <w:p>
            <w:pPr>
              <w:spacing w:before="0" w:after="0" w:line="259"/>
              <w:ind w:right="39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34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90" w:type="dxa"/>
              <w:right w:w="90" w:type="dxa"/>
            </w:tcMar>
            <w:vAlign w:val="top"/>
          </w:tcPr>
          <w:p>
            <w:pPr>
              <w:spacing w:before="0" w:after="0" w:line="259"/>
              <w:ind w:right="32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 </w:t>
            </w:r>
          </w:p>
        </w:tc>
      </w:tr>
    </w:tbl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keepNext w:val="true"/>
        <w:keepLines w:val="true"/>
        <w:spacing w:before="0" w:after="4" w:line="259"/>
        <w:ind w:right="831" w:left="10" w:hanging="1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Článok II</w:t>
      </w:r>
      <w:r>
        <w:rPr>
          <w:rFonts w:ascii="Arial CE" w:hAnsi="Arial CE" w:cs="Arial CE" w:eastAsia="Arial CE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0" w:line="259"/>
        <w:ind w:right="0" w:left="2638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CE" w:hAnsi="Arial CE" w:cs="Arial CE" w:eastAsia="Arial CE"/>
          <w:b/>
          <w:color w:val="auto"/>
          <w:spacing w:val="0"/>
          <w:position w:val="0"/>
          <w:sz w:val="22"/>
          <w:shd w:fill="auto" w:val="clear"/>
        </w:rPr>
        <w:t xml:space="preserve">Informácie o prijatých postupoch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31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50"/>
        </w:numPr>
        <w:spacing w:before="0" w:after="2" w:line="256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Informácia,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či je účtovná závierka zostavená za splnenia predpokladu, že účtovná jednotka bude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nepretržite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pokračovať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vo svojej činnosti: ANO  </w:t>
      </w:r>
    </w:p>
    <w:p>
      <w:pPr>
        <w:spacing w:before="0" w:after="33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52"/>
        </w:numPr>
        <w:spacing w:before="0" w:after="2" w:line="256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Spôsob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ňovania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jednotlivých položiek majetku a záväzkov, a to:  </w:t>
      </w:r>
    </w:p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tbl>
      <w:tblPr/>
      <w:tblGrid>
        <w:gridCol w:w="4844"/>
        <w:gridCol w:w="4847"/>
      </w:tblGrid>
      <w:tr>
        <w:trPr>
          <w:trHeight w:val="293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11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položky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5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 CE" w:hAnsi="Arial CE" w:cs="Arial CE" w:eastAsia="Arial CE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</w:t>
            </w:r>
          </w:p>
        </w:tc>
      </w:tr>
      <w:tr>
        <w:trPr>
          <w:trHeight w:val="307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nehmotný majetok: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majetok: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</w:t>
            </w:r>
          </w:p>
        </w:tc>
      </w:tr>
      <w:tr>
        <w:trPr>
          <w:trHeight w:val="307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obstarané kúpou: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vytvorené vlastnou 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náklady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</w:t>
            </w:r>
          </w:p>
        </w:tc>
      </w:tr>
      <w:tr>
        <w:trPr>
          <w:trHeight w:val="307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ľadávky: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čný majetok: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Záväzky vrátane rezerv: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</w:t>
            </w:r>
          </w:p>
        </w:tc>
      </w:tr>
      <w:tr>
        <w:trPr>
          <w:trHeight w:val="307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Pôži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čky a úvery: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</w:t>
            </w:r>
          </w:p>
        </w:tc>
      </w:tr>
      <w:tr>
        <w:trPr>
          <w:trHeight w:val="310" w:hRule="auto"/>
          <w:jc w:val="left"/>
        </w:trPr>
        <w:tc>
          <w:tcPr>
            <w:tcW w:w="484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Derivátové operácie:  </w:t>
            </w:r>
          </w:p>
        </w:tc>
        <w:tc>
          <w:tcPr>
            <w:tcW w:w="48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ffffff" w:val="clear"/>
            <w:tcMar>
              <w:left w:w="110" w:type="dxa"/>
              <w:right w:w="110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  </w:t>
            </w:r>
          </w:p>
        </w:tc>
      </w:tr>
    </w:tbl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33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92"/>
        </w:numPr>
        <w:spacing w:before="0" w:after="2" w:line="256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Spôsob zostavenia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odpisového plánu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pre jednotlivé druhy dlhodobého hmotného majetku a dlhodobého nehmotného majetku, pri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čom sa uvádza doba odpisovania, použité sadzby odpisov a odpisové metódy pri určení odpisov:  BEZ MAJETKU</w:t>
      </w:r>
    </w:p>
    <w:tbl>
      <w:tblPr/>
      <w:tblGrid>
        <w:gridCol w:w="2504"/>
        <w:gridCol w:w="2507"/>
        <w:gridCol w:w="2505"/>
        <w:gridCol w:w="2505"/>
      </w:tblGrid>
      <w:tr>
        <w:trPr>
          <w:trHeight w:val="407" w:hRule="auto"/>
          <w:jc w:val="left"/>
        </w:trPr>
        <w:tc>
          <w:tcPr>
            <w:tcW w:w="2504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auto" w:fill="fce3a0" w:val="clear"/>
            <w:tcMar>
              <w:left w:w="76" w:type="dxa"/>
              <w:right w:w="76" w:type="dxa"/>
            </w:tcMar>
            <w:vAlign w:val="top"/>
          </w:tcPr>
          <w:p>
            <w:pPr>
              <w:spacing w:before="0" w:after="0" w:line="259"/>
              <w:ind w:right="0" w:left="0" w:firstLine="0"/>
              <w:jc w:val="left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7"/>
                <w:shd w:fill="auto" w:val="clear"/>
              </w:rPr>
              <w:t xml:space="preserve">Druh majetku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2507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auto" w:fill="fce3a0" w:val="clear"/>
            <w:tcMar>
              <w:left w:w="76" w:type="dxa"/>
              <w:right w:w="76" w:type="dxa"/>
            </w:tcMar>
            <w:vAlign w:val="top"/>
          </w:tcPr>
          <w:p>
            <w:pPr>
              <w:spacing w:before="0" w:after="0" w:line="259"/>
              <w:ind w:right="0" w:left="7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7"/>
                <w:shd w:fill="auto" w:val="clear"/>
              </w:rPr>
              <w:t xml:space="preserve">Doba odpisovania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2505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auto" w:fill="fce3a0" w:val="clear"/>
            <w:tcMar>
              <w:left w:w="76" w:type="dxa"/>
              <w:right w:w="76" w:type="dxa"/>
            </w:tcMar>
            <w:vAlign w:val="top"/>
          </w:tcPr>
          <w:p>
            <w:pPr>
              <w:spacing w:before="0" w:after="0" w:line="259"/>
              <w:ind w:right="0" w:left="76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7"/>
                <w:shd w:fill="auto" w:val="clear"/>
              </w:rPr>
              <w:t xml:space="preserve">Sadzba odpisov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  <w:tc>
          <w:tcPr>
            <w:tcW w:w="2505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auto" w:fill="fce3a0" w:val="clear"/>
            <w:tcMar>
              <w:left w:w="76" w:type="dxa"/>
              <w:right w:w="76" w:type="dxa"/>
            </w:tcMar>
            <w:vAlign w:val="bottom"/>
          </w:tcPr>
          <w:p>
            <w:pPr>
              <w:spacing w:before="0" w:after="0" w:line="259"/>
              <w:ind w:right="0" w:left="66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7"/>
                <w:shd w:fill="auto" w:val="clear"/>
              </w:rPr>
              <w:t xml:space="preserve">Odpisová metóda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</w:p>
        </w:tc>
      </w:tr>
      <w:tr>
        <w:trPr>
          <w:trHeight w:val="506" w:hRule="auto"/>
          <w:jc w:val="left"/>
        </w:trPr>
        <w:tc>
          <w:tcPr>
            <w:tcW w:w="2504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000000" w:fill="ffffff" w:val="clear"/>
            <w:tcMar>
              <w:left w:w="76" w:type="dxa"/>
              <w:right w:w="76" w:type="dxa"/>
            </w:tcMar>
            <w:vAlign w:val="center"/>
          </w:tcPr>
          <w:p>
            <w:pPr>
              <w:spacing w:before="0" w:after="0" w:line="259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7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000000" w:fill="ffffff" w:val="clear"/>
            <w:tcMar>
              <w:left w:w="76" w:type="dxa"/>
              <w:right w:w="76" w:type="dxa"/>
            </w:tcMar>
            <w:vAlign w:val="center"/>
          </w:tcPr>
          <w:p>
            <w:pPr>
              <w:spacing w:before="0" w:after="0" w:line="259"/>
              <w:ind w:right="0" w:left="81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000000" w:fill="ffffff" w:val="clear"/>
            <w:tcMar>
              <w:left w:w="76" w:type="dxa"/>
              <w:right w:w="76" w:type="dxa"/>
            </w:tcMar>
            <w:vAlign w:val="center"/>
          </w:tcPr>
          <w:p>
            <w:pPr>
              <w:spacing w:before="0" w:after="0" w:line="259"/>
              <w:ind w:right="0" w:left="73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505" w:type="dxa"/>
            <w:tcBorders>
              <w:top w:val="single" w:color="181717" w:sz="4"/>
              <w:left w:val="single" w:color="181717" w:sz="4"/>
              <w:bottom w:val="single" w:color="181717" w:sz="4"/>
              <w:right w:val="single" w:color="181717" w:sz="4"/>
            </w:tcBorders>
            <w:shd w:color="000000" w:fill="ffffff" w:val="clear"/>
            <w:tcMar>
              <w:left w:w="76" w:type="dxa"/>
              <w:right w:w="76" w:type="dxa"/>
            </w:tcMar>
            <w:vAlign w:val="center"/>
          </w:tcPr>
          <w:p>
            <w:pPr>
              <w:spacing w:before="0" w:after="0" w:line="259"/>
              <w:ind w:right="0" w:left="72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26" w:line="259"/>
        <w:ind w:right="0" w:left="262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numPr>
          <w:ilvl w:val="0"/>
          <w:numId w:val="106"/>
        </w:numPr>
        <w:spacing w:before="0" w:after="2" w:line="256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Zmeny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čtovných  zásad  a zmeny účtovných  metód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s uvedením  dôvodu  týchto  zmien a vyčíslením ich  vplyvu  na  finančnú  hodnotu  majetku,  záväzkov,  základného  imania a výsledku hospodárenia účtovnej jednotky:  </w:t>
      </w:r>
    </w:p>
    <w:p>
      <w:pPr>
        <w:spacing w:before="0" w:after="9" w:line="259"/>
        <w:ind w:right="0" w:left="25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BEZ ZMENY</w:t>
      </w:r>
    </w:p>
    <w:p>
      <w:pPr>
        <w:spacing w:before="0" w:after="9" w:line="259"/>
        <w:ind w:right="0" w:left="25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33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Informácie o dotáciách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ich oce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ňovanie v účtovníctve: BEZ NÁPLNE  </w:t>
      </w:r>
    </w:p>
    <w:p>
      <w:pPr>
        <w:spacing w:before="0" w:after="31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10"/>
        </w:numPr>
        <w:spacing w:before="0" w:after="2" w:line="256"/>
        <w:ind w:right="0" w:left="708" w:hanging="7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Informácie o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čtovaní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významných opráv chýb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BEZ NÁPLNE  </w:t>
      </w:r>
    </w:p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keepNext w:val="true"/>
        <w:keepLines w:val="true"/>
        <w:spacing w:before="0" w:after="4" w:line="259"/>
        <w:ind w:right="148" w:left="10" w:hanging="10"/>
        <w:jc w:val="center"/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</w:pP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Článok III</w:t>
      </w:r>
      <w:r>
        <w:rPr>
          <w:rFonts w:ascii="Arial CE" w:hAnsi="Arial CE" w:cs="Arial CE" w:eastAsia="Arial CE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Informácie, ktoré vysvetľujú a dopĺňajú súvahu a výkaz ziskov a strát</w:t>
      </w:r>
      <w:r>
        <w:rPr>
          <w:rFonts w:ascii="Arial CE" w:hAnsi="Arial CE" w:cs="Arial CE" w:eastAsia="Arial CE"/>
          <w:color w:val="000000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CE" w:hAnsi="Arial CE" w:cs="Arial CE" w:eastAsia="Arial CE"/>
          <w:b/>
          <w:color w:val="000000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32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14"/>
        </w:numPr>
        <w:spacing w:before="0" w:after="2" w:line="257"/>
        <w:ind w:right="42" w:left="341" w:hanging="233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Informácia o sume a dôvodoch vzniku jednotlivých položiek 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2"/>
          <w:shd w:fill="auto" w:val="clear"/>
        </w:rPr>
        <w:t xml:space="preserve">nákladov alebo výnosov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ktoré majú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výnimo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čný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rozsah alebo výskyt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napríklad výnosy z predaja podniku alebo časti podniku, náklady z dôvodu predaja podniku alebo časti podniku, škody z dôvodu živelných pohrôm:  </w:t>
      </w:r>
    </w:p>
    <w:p>
      <w:pPr>
        <w:spacing w:before="0" w:after="160" w:line="259"/>
        <w:ind w:right="0" w:left="9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BEZ NÁPLNE  </w:t>
      </w:r>
    </w:p>
    <w:p>
      <w:pPr>
        <w:spacing w:before="0" w:after="33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17"/>
        </w:numPr>
        <w:spacing w:before="0" w:after="0" w:line="259"/>
        <w:ind w:right="42" w:left="341" w:hanging="233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Informácie o záväzkoch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a to:  </w:t>
      </w:r>
    </w:p>
    <w:p>
      <w:pPr>
        <w:spacing w:before="0" w:after="33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19"/>
        </w:numPr>
        <w:spacing w:before="0" w:after="2" w:line="256"/>
        <w:ind w:right="0" w:left="723" w:hanging="6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záväzkov so zostatkovou dobou splatnosti dlhšou ako pä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 rokov: BEZ NÁPLNE  </w:t>
      </w:r>
    </w:p>
    <w:p>
      <w:pPr>
        <w:spacing w:before="0" w:after="33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21"/>
        </w:numPr>
        <w:spacing w:before="0" w:after="2" w:line="256"/>
        <w:ind w:right="0" w:left="723" w:hanging="6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čených záväzkov, opis a spôsoby zabezpečenia záväzkov: BEZ NÁPLNE  </w:t>
      </w:r>
    </w:p>
    <w:p>
      <w:pPr>
        <w:spacing w:before="0" w:after="34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23"/>
        </w:numPr>
        <w:spacing w:before="0" w:after="2" w:line="257"/>
        <w:ind w:right="42" w:left="158" w:firstLine="91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Informácie o vlastných akciách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a to najmä – dôvod nadobudnutia vlastných akcií, po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 BEZ NÁPLNE  </w:t>
      </w:r>
    </w:p>
    <w:p>
      <w:pPr>
        <w:spacing w:before="0" w:after="32" w:line="259"/>
        <w:ind w:right="10267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 </w:t>
      </w:r>
    </w:p>
    <w:p>
      <w:pPr>
        <w:numPr>
          <w:ilvl w:val="0"/>
          <w:numId w:val="125"/>
        </w:numPr>
        <w:spacing w:before="0" w:after="0" w:line="259"/>
        <w:ind w:right="42" w:left="158" w:firstLine="91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a to:  </w:t>
      </w:r>
    </w:p>
    <w:p>
      <w:pPr>
        <w:spacing w:before="0" w:after="34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27"/>
        </w:numPr>
        <w:spacing w:before="0" w:after="2" w:line="256"/>
        <w:ind w:right="0" w:left="723" w:hanging="6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výške jednotlivých druhov záruk alebo iných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čení poskytnutých pre členov štatutárneho orgánu,  </w:t>
      </w:r>
    </w:p>
    <w:p>
      <w:pPr>
        <w:spacing w:before="0" w:after="160" w:line="259"/>
        <w:ind w:right="1673" w:left="-1" w:firstLine="115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dozorného  orgánu  a  iného  orgánu 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 jednotky,  a to v členení za jednotlivé orgány:  BEZ NÁPLNE  </w:t>
      </w:r>
    </w:p>
    <w:p>
      <w:pPr>
        <w:spacing w:before="0" w:after="0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30"/>
        </w:numPr>
        <w:spacing w:before="0" w:after="2" w:line="256"/>
        <w:ind w:right="0" w:left="723" w:hanging="6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čkách  poskytnutých  členom  štatutárneho  orgánu,  dozorného  orgánu  a iného orgánu účtovnej jednotky a to - celková  suma  poskytnutých  pôžičiek  k poslednému  dňu  účtovného  obdobia v členení za jednotlivé orgány a celková suma splatených pôžičiek k poslednému dňu účtovného obdobia v členení za jednotlivé orgány a celková  suma  odpustených  pôžičiek  a odpísaných  pôžičiek  k poslednému  dňu účtovného obdobia v členení za jednotlivé orgány:  </w:t>
      </w:r>
    </w:p>
    <w:p>
      <w:pPr>
        <w:spacing w:before="0" w:after="160" w:line="259"/>
        <w:ind w:right="0" w:left="9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BEZ NÁPLNE  </w:t>
      </w:r>
    </w:p>
    <w:p>
      <w:pPr>
        <w:spacing w:before="0" w:after="31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33"/>
        </w:numPr>
        <w:spacing w:before="0" w:after="2" w:line="256"/>
        <w:ind w:right="0" w:left="723" w:hanging="6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hlavných podmienkach, na základe ktorých im boli záruky alebo iné zabezpe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čenie a pôžičky poskytnuté; pri </w:t>
      </w:r>
    </w:p>
    <w:p>
      <w:pPr>
        <w:spacing w:before="0" w:after="160" w:line="259"/>
        <w:ind w:right="0" w:left="13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pôži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čkách sa uvádzajú úrokové sadzby: BEZ NÁPLNE  </w:t>
      </w:r>
    </w:p>
    <w:p>
      <w:pPr>
        <w:spacing w:before="0" w:after="33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36"/>
        </w:numPr>
        <w:spacing w:before="0" w:after="2" w:line="256"/>
        <w:ind w:right="0" w:left="723" w:hanging="608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použitých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čných prostriedkov alebo iného plnenia na súkromné účely členmi štatutárneho </w:t>
      </w:r>
    </w:p>
    <w:p>
      <w:pPr>
        <w:spacing w:before="0" w:after="160" w:line="259"/>
        <w:ind w:right="0" w:left="13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orgánu, dozorného orgánu a iného orgánu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ktoré je potrebné vyúčtovať: BEZ NÁPLNE  </w:t>
      </w:r>
    </w:p>
    <w:p>
      <w:pPr>
        <w:spacing w:before="0" w:after="0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160" w:line="259"/>
        <w:ind w:right="0" w:left="13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Informácie o povinnostiach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jednotky, a to:  </w:t>
      </w:r>
    </w:p>
    <w:p>
      <w:pPr>
        <w:spacing w:before="0" w:after="33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41"/>
        </w:numPr>
        <w:spacing w:before="0" w:after="2" w:line="256"/>
        <w:ind w:right="103" w:left="0" w:firstLine="101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BEZ NÁPLNE  </w:t>
      </w:r>
    </w:p>
    <w:p>
      <w:pPr>
        <w:spacing w:before="0" w:after="31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43"/>
        </w:numPr>
        <w:spacing w:before="0" w:after="2" w:line="256"/>
        <w:ind w:right="103" w:left="0" w:firstLine="101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celkovej sume významných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podmienených záväzkov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ktorými sa rozumie možná povinnos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ť, ktorá vznikla ako dôsledok minulej udalosti 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BEZ NÁPLNE  </w:t>
      </w:r>
    </w:p>
    <w:p>
      <w:pPr>
        <w:spacing w:before="0" w:after="33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45"/>
        </w:numPr>
        <w:spacing w:before="0" w:after="2" w:line="256"/>
        <w:ind w:right="103" w:left="0" w:firstLine="101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finan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čných povinností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a významných podmienených záväzkov, a to celkovej sume významných finančných povinností a významných podmienených záväzkoch voči dcérskej účtovnej jednotke a účtovnej jednotke s podstatným vplyvom: BEZ NÁPLNE  </w:t>
      </w:r>
    </w:p>
    <w:p>
      <w:pPr>
        <w:spacing w:before="0" w:after="33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numPr>
          <w:ilvl w:val="0"/>
          <w:numId w:val="147"/>
        </w:numPr>
        <w:spacing w:before="0" w:after="2" w:line="256"/>
        <w:ind w:right="103" w:left="0" w:firstLine="101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opise významných povinností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čtovnej jednotky vyplývajúcich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u w:val="single"/>
          <w:shd w:fill="auto" w:val="clear"/>
        </w:rPr>
        <w:t xml:space="preserve">z dôchodkových programov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pre zamestnancov: BEZ NÁPLNE  </w:t>
      </w:r>
    </w:p>
    <w:p>
      <w:pPr>
        <w:spacing w:before="0" w:after="0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160" w:line="257"/>
        <w:ind w:right="83" w:left="0" w:firstLine="91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6. Informácie o udelení výlu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čného práva alebo osobitného práva, ktorým sa udelilo právo poskytovať 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 CE" w:hAnsi="Arial CE" w:cs="Arial CE" w:eastAsia="Arial CE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verejnom záujme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BEZ NÁPLNE  </w:t>
      </w:r>
    </w:p>
    <w:p>
      <w:pPr>
        <w:spacing w:before="0" w:after="0" w:line="259"/>
        <w:ind w:right="0" w:left="115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 </w:t>
      </w:r>
    </w:p>
    <w:p>
      <w:pPr>
        <w:spacing w:before="0" w:after="0" w:line="259"/>
        <w:ind w:right="0" w:left="14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</w:t>
      </w:r>
    </w:p>
    <w:p>
      <w:pPr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abstractNum w:abstractNumId="42">
    <w:lvl w:ilvl="0">
      <w:start w:val="1"/>
      <w:numFmt w:val="bullet"/>
      <w:lvlText w:val="•"/>
    </w:lvl>
  </w:abstractNum>
  <w:abstractNum w:abstractNumId="48">
    <w:lvl w:ilvl="0">
      <w:start w:val="1"/>
      <w:numFmt w:val="bullet"/>
      <w:lvlText w:val="•"/>
    </w:lvl>
  </w:abstractNum>
  <w:abstractNum w:abstractNumId="54">
    <w:lvl w:ilvl="0">
      <w:start w:val="1"/>
      <w:numFmt w:val="bullet"/>
      <w:lvlText w:val="•"/>
    </w:lvl>
  </w:abstractNum>
  <w:abstractNum w:abstractNumId="60">
    <w:lvl w:ilvl="0">
      <w:start w:val="1"/>
      <w:numFmt w:val="bullet"/>
      <w:lvlText w:val="•"/>
    </w:lvl>
  </w:abstractNum>
  <w:abstractNum w:abstractNumId="66">
    <w:lvl w:ilvl="0">
      <w:start w:val="1"/>
      <w:numFmt w:val="bullet"/>
      <w:lvlText w:val="•"/>
    </w:lvl>
  </w:abstractNum>
  <w:abstractNum w:abstractNumId="72">
    <w:lvl w:ilvl="0">
      <w:start w:val="1"/>
      <w:numFmt w:val="bullet"/>
      <w:lvlText w:val="•"/>
    </w:lvl>
  </w:abstractNum>
  <w:abstractNum w:abstractNumId="78">
    <w:lvl w:ilvl="0">
      <w:start w:val="1"/>
      <w:numFmt w:val="bullet"/>
      <w:lvlText w:val="•"/>
    </w:lvl>
  </w:abstractNum>
  <w:abstractNum w:abstractNumId="84">
    <w:lvl w:ilvl="0">
      <w:start w:val="1"/>
      <w:numFmt w:val="bullet"/>
      <w:lvlText w:val="•"/>
    </w:lvl>
  </w:abstractNum>
  <w:abstractNum w:abstractNumId="90">
    <w:lvl w:ilvl="0">
      <w:start w:val="1"/>
      <w:numFmt w:val="bullet"/>
      <w:lvlText w:val="•"/>
    </w:lvl>
  </w:abstractNum>
  <w:abstractNum w:abstractNumId="96">
    <w:lvl w:ilvl="0">
      <w:start w:val="1"/>
      <w:numFmt w:val="bullet"/>
      <w:lvlText w:val="•"/>
    </w:lvl>
  </w:abstractNum>
  <w:abstractNum w:abstractNumId="102">
    <w:lvl w:ilvl="0">
      <w:start w:val="1"/>
      <w:numFmt w:val="bullet"/>
      <w:lvlText w:val="•"/>
    </w:lvl>
  </w:abstractNum>
  <w:abstractNum w:abstractNumId="108">
    <w:lvl w:ilvl="0">
      <w:start w:val="1"/>
      <w:numFmt w:val="bullet"/>
      <w:lvlText w:val="•"/>
    </w:lvl>
  </w:abstractNum>
  <w:abstractNum w:abstractNumId="114">
    <w:lvl w:ilvl="0">
      <w:start w:val="1"/>
      <w:numFmt w:val="bullet"/>
      <w:lvlText w:val="•"/>
    </w:lvl>
  </w:abstractNum>
  <w:abstractNum w:abstractNumId="120">
    <w:lvl w:ilvl="0">
      <w:start w:val="1"/>
      <w:numFmt w:val="bullet"/>
      <w:lvlText w:val="•"/>
    </w:lvl>
  </w:abstractNum>
  <w:num w:numId="14">
    <w:abstractNumId w:val="120"/>
  </w:num>
  <w:num w:numId="33">
    <w:abstractNumId w:val="114"/>
  </w:num>
  <w:num w:numId="50">
    <w:abstractNumId w:val="108"/>
  </w:num>
  <w:num w:numId="52">
    <w:abstractNumId w:val="102"/>
  </w:num>
  <w:num w:numId="92">
    <w:abstractNumId w:val="96"/>
  </w:num>
  <w:num w:numId="106">
    <w:abstractNumId w:val="90"/>
  </w:num>
  <w:num w:numId="110">
    <w:abstractNumId w:val="84"/>
  </w:num>
  <w:num w:numId="114">
    <w:abstractNumId w:val="78"/>
  </w:num>
  <w:num w:numId="117">
    <w:abstractNumId w:val="72"/>
  </w:num>
  <w:num w:numId="119">
    <w:abstractNumId w:val="66"/>
  </w:num>
  <w:num w:numId="121">
    <w:abstractNumId w:val="60"/>
  </w:num>
  <w:num w:numId="123">
    <w:abstractNumId w:val="54"/>
  </w:num>
  <w:num w:numId="125">
    <w:abstractNumId w:val="48"/>
  </w:num>
  <w:num w:numId="127">
    <w:abstractNumId w:val="42"/>
  </w:num>
  <w:num w:numId="130">
    <w:abstractNumId w:val="36"/>
  </w:num>
  <w:num w:numId="133">
    <w:abstractNumId w:val="30"/>
  </w:num>
  <w:num w:numId="136">
    <w:abstractNumId w:val="24"/>
  </w:num>
  <w:num w:numId="141">
    <w:abstractNumId w:val="18"/>
  </w:num>
  <w:num w:numId="143">
    <w:abstractNumId w:val="12"/>
  </w:num>
  <w:num w:numId="145">
    <w:abstractNumId w:val="6"/>
  </w:num>
  <w:num w:numId="147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