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  <w:t>Poznámky</w:t>
      </w:r>
    </w:p>
    <w:p w:rsidR="003A470A" w:rsidRDefault="004E7157"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  <w:t>individuálnej účtovnej závierky zostavenej k 31. decembru 2016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3A470A" w:rsidRDefault="004E7157"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 xml:space="preserve">Všeobecné </w:t>
      </w:r>
      <w:proofErr w:type="spellStart"/>
      <w:r>
        <w:rPr>
          <w:b/>
          <w:sz w:val="24"/>
          <w:szCs w:val="24"/>
        </w:rPr>
        <w:t>informáci</w:t>
      </w:r>
      <w:proofErr w:type="spellEnd"/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(1) Názov, sídlo, predmet podnikania: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 </w:t>
      </w:r>
      <w:r>
        <w:rPr>
          <w:sz w:val="24"/>
          <w:szCs w:val="24"/>
        </w:rPr>
        <w:t>RIDATRANS, spol.</w:t>
      </w:r>
      <w:r>
        <w:rPr>
          <w:sz w:val="24"/>
          <w:szCs w:val="24"/>
        </w:rPr>
        <w:t xml:space="preserve"> s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r.o. (ďalej len Spoločnosť), bola založená 01.</w:t>
      </w:r>
      <w:r>
        <w:rPr>
          <w:sz w:val="24"/>
          <w:szCs w:val="24"/>
        </w:rPr>
        <w:t>11</w:t>
      </w:r>
      <w:r>
        <w:rPr>
          <w:sz w:val="24"/>
          <w:szCs w:val="24"/>
        </w:rPr>
        <w:t>.201</w:t>
      </w:r>
      <w:r>
        <w:rPr>
          <w:sz w:val="24"/>
          <w:szCs w:val="24"/>
        </w:rPr>
        <w:t>4</w:t>
      </w:r>
      <w:r>
        <w:rPr>
          <w:sz w:val="24"/>
          <w:szCs w:val="24"/>
        </w:rPr>
        <w:t xml:space="preserve"> a do obchodného registra bola zapísaná </w:t>
      </w:r>
      <w:r>
        <w:rPr>
          <w:sz w:val="24"/>
          <w:szCs w:val="24"/>
        </w:rPr>
        <w:t>12</w:t>
      </w:r>
      <w:r>
        <w:rPr>
          <w:sz w:val="24"/>
          <w:szCs w:val="24"/>
        </w:rPr>
        <w:t>.</w:t>
      </w:r>
      <w:r>
        <w:rPr>
          <w:sz w:val="24"/>
          <w:szCs w:val="24"/>
        </w:rPr>
        <w:t>11</w:t>
      </w:r>
      <w:r>
        <w:rPr>
          <w:sz w:val="24"/>
          <w:szCs w:val="24"/>
        </w:rPr>
        <w:t>.201</w:t>
      </w:r>
      <w:r>
        <w:rPr>
          <w:sz w:val="24"/>
          <w:szCs w:val="24"/>
        </w:rPr>
        <w:t>4</w:t>
      </w:r>
      <w:r>
        <w:rPr>
          <w:sz w:val="24"/>
          <w:szCs w:val="24"/>
        </w:rPr>
        <w:t xml:space="preserve"> (Obchodný register Okresného súdu Bratislava I, oddiel s.r.o., vložka </w:t>
      </w:r>
      <w:r>
        <w:rPr>
          <w:sz w:val="24"/>
          <w:szCs w:val="24"/>
        </w:rPr>
        <w:t>40015</w:t>
      </w:r>
      <w:r>
        <w:rPr>
          <w:sz w:val="24"/>
          <w:szCs w:val="24"/>
        </w:rPr>
        <w:t xml:space="preserve">/B).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Hlavnými činnosťami Spoločnosti sú: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sz w:val="24"/>
          <w:szCs w:val="24"/>
        </w:rPr>
        <w:t>nákladná cestná doprava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sz w:val="24"/>
          <w:szCs w:val="24"/>
        </w:rPr>
        <w:t>vedenie účtovníctva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(2) Dátum schválenia účtovnej závier</w:t>
      </w:r>
      <w:r>
        <w:rPr>
          <w:sz w:val="24"/>
          <w:szCs w:val="24"/>
        </w:rPr>
        <w:t xml:space="preserve">ky za predchádzajúce účtovné obdobie: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Spoločnosti k 31. decembru 2015 za predchádzajúce účtovné obdobie bola schválená Valným zhromaždením Spoločnosti dňa 22.3.2016.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(3) Právny dôvod na zostavenie účtovnej závierky: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Sp</w:t>
      </w:r>
      <w:r>
        <w:rPr>
          <w:sz w:val="24"/>
          <w:szCs w:val="24"/>
        </w:rPr>
        <w:t>oločnosti k 31. decembru 2016 je zostavená ako riadna účtovná závierka podľa § 17 ods. 6 zákona NR SR č. 431/2002 Z. z. o účtovníctve v znení neskorších predpisov za účtovné obdobie od 1. januára 2016 do 31. decembra 2016.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(4) Údaje o skupine účtovných je</w:t>
      </w:r>
      <w:r>
        <w:rPr>
          <w:sz w:val="24"/>
          <w:szCs w:val="24"/>
        </w:rPr>
        <w:t xml:space="preserve">dnotiek: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Spoločnosť nie je súčasťou skupiny.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nie je neobmedzene ručiacim spoločníkom v iných spoločnostiach podľa § 56 ods. 5 Obchodného zákonníka.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(5) Priemerný prepočítaný počet zamestnancov: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údaje o počte zamestnancov za bežné účtovné obd</w:t>
      </w:r>
      <w:r>
        <w:rPr>
          <w:sz w:val="24"/>
          <w:szCs w:val="24"/>
        </w:rPr>
        <w:t>obie a bezprostredne predchádzajúce účtovné obdobie sú uvedené v nasledujúcom prehľade: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Style w:val="a"/>
        <w:tblW w:w="9291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814"/>
        <w:gridCol w:w="2849"/>
        <w:gridCol w:w="2628"/>
      </w:tblGrid>
      <w:tr w:rsidR="003A470A">
        <w:trPr>
          <w:jc w:val="center"/>
        </w:trPr>
        <w:tc>
          <w:tcPr>
            <w:tcW w:w="3814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Názov položky</w:t>
            </w:r>
          </w:p>
        </w:tc>
        <w:tc>
          <w:tcPr>
            <w:tcW w:w="28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nil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3A470A">
        <w:trPr>
          <w:jc w:val="center"/>
        </w:trPr>
        <w:tc>
          <w:tcPr>
            <w:tcW w:w="381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470A" w:rsidRDefault="004E7157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 ku dňu závierky</w:t>
            </w:r>
          </w:p>
        </w:tc>
        <w:tc>
          <w:tcPr>
            <w:tcW w:w="2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3A470A" w:rsidRDefault="004E7157">
            <w:pPr>
              <w:pStyle w:val="normal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3A470A" w:rsidRDefault="004E7157">
            <w:pPr>
              <w:pStyle w:val="normal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3A470A" w:rsidRDefault="004E7157"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orgánoch spoločnosti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Údaje o štatutárnych orgánoch Spoločnosti sú uvedené v Obchodnom registri.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Štatutárnym orgánom Spoločnosti je konateľ Jakub Kmeťko.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Štatutárnemu orgánu neboli poskytnuté žiadne záruky, žiadne pôžičky, voči štatutárnemu or</w:t>
      </w:r>
      <w:r>
        <w:rPr>
          <w:sz w:val="24"/>
          <w:szCs w:val="24"/>
        </w:rPr>
        <w:t>gánu neboli odpustené ani odpísané žiadne pôžičky . Na súkromné účely neboli štatutárnemu orgánu poskytnuté žiadne finančné prostriedky ani iné plnenia, ktoré by bolo potrebné vyúčtovať.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3A470A" w:rsidRDefault="004E7157"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prijatých postupoch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(1) Východiská pre zostaven</w:t>
      </w:r>
      <w:r>
        <w:rPr>
          <w:sz w:val="24"/>
          <w:szCs w:val="24"/>
        </w:rPr>
        <w:t xml:space="preserve">ie účtovnej závierky: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nepretržitého trvania Spoločnosti (</w:t>
      </w:r>
      <w:proofErr w:type="spellStart"/>
      <w:r>
        <w:rPr>
          <w:sz w:val="24"/>
          <w:szCs w:val="24"/>
        </w:rPr>
        <w:t>going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concern</w:t>
      </w:r>
      <w:proofErr w:type="spellEnd"/>
      <w:r>
        <w:rPr>
          <w:sz w:val="24"/>
          <w:szCs w:val="24"/>
        </w:rPr>
        <w:t xml:space="preserve">).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(2) Účtovné metódy a všeobecné účtovné zásady boli účtovnou jednotkou konzistentne aplikované.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(3) V súvahe sú uvedené všetky transakcie, uskutočnené Spoločnosťou v účtovnom období.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(4) Spôsob a určenie ocenenia majetku a záväzkov vrátane odhadov: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a) dlhodobý nehmotný majetok a dlhodobý hmotný majetok: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dlhodobý majetok nakupovaný sa oceňuje obsta</w:t>
      </w:r>
      <w:r>
        <w:rPr>
          <w:sz w:val="24"/>
          <w:szCs w:val="24"/>
        </w:rPr>
        <w:t>rávacou cenou, ktorá zahŕňa cenu obstarania a náklady súvisiace s obstaraním (clo, prepravu, montáž, poistné a pod.).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Súčasťou obstarávacej ceny dlhodobého hmotného majetku nie sú úroky z cudzích zdrojov ani realizované kurzové rozdiely, ktoré vznikli do </w:t>
      </w:r>
      <w:r>
        <w:rPr>
          <w:sz w:val="24"/>
          <w:szCs w:val="24"/>
        </w:rPr>
        <w:t xml:space="preserve">momentu uvedenia dlhodobého majetku do používania.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Súčasťou obstarávacej ceny dlhodobého nehmotného majetku nie sú úroky z cudzích zdrojov, ktoré vznikli do momentu zaradenia dlhodobého nehmotného majetku do používania.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</w:t>
      </w:r>
      <w:r>
        <w:rPr>
          <w:sz w:val="24"/>
          <w:szCs w:val="24"/>
        </w:rPr>
        <w:t xml:space="preserve">etku sú stanovené vychádzajúc z predpokladanej doby jeho používania a predpokladaného priebehu jeho opotrebenia. Odpisovať sa začína prvým dňom mesiaca nasledujúceho po uvedení dlhodobého majetku do používania.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</w:t>
      </w:r>
      <w:r>
        <w:rPr>
          <w:sz w:val="24"/>
          <w:szCs w:val="24"/>
        </w:rPr>
        <w:t xml:space="preserve">vené vychádzajúc z predpokladanej doby jeho používania a predpokladaného priebehu jeho opotrebenia. Odpisovať sa začína prvým dňom mesiaca nasledujúceho po uvedení dlhodobého majetku do používania okrem majetku obstarávaného formou finančného </w:t>
      </w:r>
      <w:proofErr w:type="spellStart"/>
      <w:r>
        <w:rPr>
          <w:sz w:val="24"/>
          <w:szCs w:val="24"/>
        </w:rPr>
        <w:t>leasignu</w:t>
      </w:r>
      <w:proofErr w:type="spellEnd"/>
      <w:r>
        <w:rPr>
          <w:sz w:val="24"/>
          <w:szCs w:val="24"/>
        </w:rPr>
        <w:t>, kto</w:t>
      </w:r>
      <w:r>
        <w:rPr>
          <w:sz w:val="24"/>
          <w:szCs w:val="24"/>
        </w:rPr>
        <w:t xml:space="preserve">rý sa začína odpisovať dňom zaradenia do majetku.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majetok, ktorého ocenenie sa rovná alebo je nižšie ako 2400 € s dobou použiteľnosti dlhšou ako jeden rok sa účtuje na ťarchu účtu 518.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 drobnom hmotnom majetku, ktorým sú samostatné hnut</w:t>
      </w:r>
      <w:r>
        <w:rPr>
          <w:sz w:val="24"/>
          <w:szCs w:val="24"/>
        </w:rPr>
        <w:t>eľné veci a súbory hnuteľných vecí, ktoré majú samostatné ekonomické určenie, ktorého ocenenie sa rovná alebo je nižšie ako 1700 € s dobou použiteľnosti dlhšou ako jeden rok sa účtuje ako o zásobách.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Pozemky ani zásoby sa neodpisujú.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Predpokladaná doba používania, metóda odpisovania a odpisová sadzba sú uvedené v nasledujúcej tabuľke: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3A470A">
      <w:pPr>
        <w:pStyle w:val="normal"/>
        <w:widowControl w:val="0"/>
        <w:rPr>
          <w:rFonts w:ascii="Arial Narrow" w:eastAsia="Arial Narrow" w:hAnsi="Arial Narrow" w:cs="Arial Narrow"/>
          <w:b/>
          <w:sz w:val="22"/>
          <w:szCs w:val="22"/>
        </w:rPr>
      </w:pPr>
    </w:p>
    <w:tbl>
      <w:tblPr>
        <w:tblStyle w:val="a0"/>
        <w:tblW w:w="9288" w:type="dxa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168"/>
        <w:gridCol w:w="2040"/>
        <w:gridCol w:w="2040"/>
        <w:gridCol w:w="2040"/>
      </w:tblGrid>
      <w:tr w:rsidR="003A470A">
        <w:trPr>
          <w:jc w:val="center"/>
        </w:trPr>
        <w:tc>
          <w:tcPr>
            <w:tcW w:w="3168" w:type="dxa"/>
            <w:tcBorders>
              <w:top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Doba odpisovania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Sadzba odpisov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12" w:space="0" w:color="000000"/>
              <w:bottom w:val="nil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rFonts w:ascii="Arial Narrow" w:eastAsia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>Odpisová metóda</w:t>
            </w:r>
          </w:p>
        </w:tc>
      </w:tr>
      <w:tr w:rsidR="003A470A">
        <w:trPr>
          <w:trHeight w:val="220"/>
          <w:jc w:val="center"/>
        </w:trPr>
        <w:tc>
          <w:tcPr>
            <w:tcW w:w="3168" w:type="dxa"/>
            <w:tcBorders>
              <w:top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000000"/>
              <w:bottom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</w:t>
            </w:r>
          </w:p>
        </w:tc>
      </w:tr>
      <w:tr w:rsidR="003A470A">
        <w:trPr>
          <w:jc w:val="center"/>
        </w:trPr>
        <w:tc>
          <w:tcPr>
            <w:tcW w:w="9288" w:type="dxa"/>
            <w:gridSpan w:val="4"/>
            <w:tcBorders>
              <w:bottom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majetku</w:t>
            </w:r>
          </w:p>
        </w:tc>
      </w:tr>
      <w:tr w:rsidR="003A470A">
        <w:trPr>
          <w:jc w:val="center"/>
        </w:trPr>
        <w:tc>
          <w:tcPr>
            <w:tcW w:w="3168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– 4 roky</w:t>
            </w:r>
          </w:p>
        </w:tc>
        <w:tc>
          <w:tcPr>
            <w:tcW w:w="2040" w:type="dxa"/>
            <w:tcBorders>
              <w:top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doby použiteľnosti. Účtovné a daňové odpisy sa rovnajú</w:t>
            </w:r>
          </w:p>
        </w:tc>
        <w:tc>
          <w:tcPr>
            <w:tcW w:w="2040" w:type="dxa"/>
            <w:tcBorders>
              <w:top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Lineárne</w:t>
            </w:r>
          </w:p>
        </w:tc>
      </w:tr>
      <w:tr w:rsidR="003A470A">
        <w:trPr>
          <w:jc w:val="center"/>
        </w:trPr>
        <w:tc>
          <w:tcPr>
            <w:tcW w:w="3168" w:type="dxa"/>
            <w:tcBorders>
              <w:righ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040" w:type="dxa"/>
            <w:tcBorders>
              <w:lef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4, 6, 8, 12, 20, 40</w:t>
            </w:r>
          </w:p>
        </w:tc>
        <w:tc>
          <w:tcPr>
            <w:tcW w:w="2040" w:type="dxa"/>
            <w:vAlign w:val="center"/>
          </w:tcPr>
          <w:p w:rsidR="003A470A" w:rsidRDefault="004E7157"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1/4, 1/6, 1/8, 1/12, 1/20, 1/40</w:t>
            </w:r>
          </w:p>
        </w:tc>
        <w:tc>
          <w:tcPr>
            <w:tcW w:w="2040" w:type="dxa"/>
            <w:vAlign w:val="center"/>
          </w:tcPr>
          <w:p w:rsidR="003A470A" w:rsidRDefault="004E7157"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Lineárne</w:t>
            </w:r>
          </w:p>
        </w:tc>
      </w:tr>
      <w:tr w:rsidR="003A470A">
        <w:trPr>
          <w:jc w:val="center"/>
        </w:trPr>
        <w:tc>
          <w:tcPr>
            <w:tcW w:w="3168" w:type="dxa"/>
            <w:tcBorders>
              <w:righ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Majetok obstaraný na finančný leasing</w:t>
            </w:r>
          </w:p>
        </w:tc>
        <w:tc>
          <w:tcPr>
            <w:tcW w:w="2040" w:type="dxa"/>
            <w:tcBorders>
              <w:lef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4, 6, 8, 12, 20, 40</w:t>
            </w:r>
          </w:p>
        </w:tc>
        <w:tc>
          <w:tcPr>
            <w:tcW w:w="2040" w:type="dxa"/>
            <w:vAlign w:val="center"/>
          </w:tcPr>
          <w:p w:rsidR="003A470A" w:rsidRDefault="004E7157"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1/4, 1/6, 1/8, 1/12, 1/20, 1/40</w:t>
            </w:r>
          </w:p>
        </w:tc>
        <w:tc>
          <w:tcPr>
            <w:tcW w:w="2040" w:type="dxa"/>
            <w:vAlign w:val="center"/>
          </w:tcPr>
          <w:p w:rsidR="003A470A" w:rsidRDefault="004E7157"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Lineárne</w:t>
            </w:r>
          </w:p>
        </w:tc>
      </w:tr>
      <w:tr w:rsidR="003A470A">
        <w:trPr>
          <w:jc w:val="center"/>
        </w:trPr>
        <w:tc>
          <w:tcPr>
            <w:tcW w:w="3168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Iný majetok</w:t>
            </w:r>
          </w:p>
        </w:tc>
        <w:tc>
          <w:tcPr>
            <w:tcW w:w="2040" w:type="dxa"/>
            <w:tcBorders>
              <w:left w:val="single" w:sz="12" w:space="0" w:color="000000"/>
              <w:bottom w:val="single" w:sz="6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 trvania</w:t>
            </w:r>
          </w:p>
        </w:tc>
        <w:tc>
          <w:tcPr>
            <w:tcW w:w="2040" w:type="dxa"/>
            <w:tcBorders>
              <w:bottom w:val="single" w:sz="6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Vstupná cena : doba trvania</w:t>
            </w:r>
          </w:p>
        </w:tc>
        <w:tc>
          <w:tcPr>
            <w:tcW w:w="2040" w:type="dxa"/>
            <w:tcBorders>
              <w:bottom w:val="single" w:sz="6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Lineárne</w:t>
            </w:r>
          </w:p>
        </w:tc>
      </w:tr>
      <w:tr w:rsidR="003A470A">
        <w:trPr>
          <w:trHeight w:val="380"/>
          <w:jc w:val="center"/>
        </w:trPr>
        <w:tc>
          <w:tcPr>
            <w:tcW w:w="3168" w:type="dxa"/>
            <w:tcBorders>
              <w:top w:val="single" w:sz="6" w:space="0" w:color="000000"/>
              <w:righ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Drobný hmotný majetok</w:t>
            </w:r>
          </w:p>
        </w:tc>
        <w:tc>
          <w:tcPr>
            <w:tcW w:w="2040" w:type="dxa"/>
            <w:tcBorders>
              <w:top w:val="single" w:sz="6" w:space="0" w:color="000000"/>
              <w:left w:val="single" w:sz="12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2040" w:type="dxa"/>
            <w:tcBorders>
              <w:top w:val="single" w:sz="6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¼</w:t>
            </w:r>
          </w:p>
        </w:tc>
        <w:tc>
          <w:tcPr>
            <w:tcW w:w="2040" w:type="dxa"/>
            <w:tcBorders>
              <w:top w:val="single" w:sz="6" w:space="0" w:color="000000"/>
            </w:tcBorders>
            <w:vAlign w:val="center"/>
          </w:tcPr>
          <w:p w:rsidR="003A470A" w:rsidRDefault="004E7157">
            <w:pPr>
              <w:pStyle w:val="normal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Lineárne</w:t>
            </w:r>
          </w:p>
        </w:tc>
      </w:tr>
    </w:tbl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b) zásoby :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zásoby sa oceňujú nižšou z nasledujúcich hodnôt: obstarávacou cenou (nakupované zásoby) alebo vlastnými nákladmi (zásoby vytvorené vlastnou činnosťou) alebo čistou realizačnou hodnotou.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Obstarávacia cena zahŕňa cenu zásob a náklady súvisiace s obstaraním </w:t>
      </w:r>
      <w:r>
        <w:rPr>
          <w:sz w:val="24"/>
          <w:szCs w:val="24"/>
        </w:rPr>
        <w:t xml:space="preserve">(clo, prepravu, poistné, provízie, skonto a pod.). Úroky z cudzích zdrojov nie sú súčasťou obstarávacej ceny.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Vlastné náklady zahŕňajú priame náklady (priamy materiál, priame mzdy a ostatné priame náklady) a časť nepriamych nákladov bezprostredne súvisiac</w:t>
      </w:r>
      <w:r>
        <w:rPr>
          <w:sz w:val="24"/>
          <w:szCs w:val="24"/>
        </w:rPr>
        <w:t>ich s vytvorením zásob vlastnou činnosťou (výrobná réžia). Výrobná réžia sa do vlastných nákladov zahŕňa v závislosti od stupňa rozpracovanosti týchto zásob. Správna réžia a odbytová réžia nie sú súčasťou vlastných nákladov. Súčasťou vlastných nákladov nie</w:t>
      </w:r>
      <w:r>
        <w:rPr>
          <w:sz w:val="24"/>
          <w:szCs w:val="24"/>
        </w:rPr>
        <w:t xml:space="preserve"> sú úroky z cudzích zdrojov.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Čistá realizačná hodnota je predpokladaná predajná cena znížená o predpokladané náklady na ich dokončenie a o predpokladané náklady súvisiace s ich predajom.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Zníženie hodnoty zásob sa upravuje vytvorením opravnej položky.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c</w:t>
      </w:r>
      <w:r>
        <w:rPr>
          <w:sz w:val="24"/>
          <w:szCs w:val="24"/>
        </w:rPr>
        <w:t>) pohľadávky :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</w:t>
      </w:r>
      <w:r>
        <w:rPr>
          <w:sz w:val="24"/>
          <w:szCs w:val="24"/>
        </w:rPr>
        <w:t xml:space="preserve">bné a nevymožiteľné pohľadávky vytvorením opravnej položky alebo odpisom pohľadávky.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d) peňažné prostriedky a ceniny :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peňažné prostriedky a ceniny sa oceňujú ich menovitou hodnotou. Zníženie ich hodnoty sa vyjadruje opravnou položkou.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e) náklady budúc</w:t>
      </w:r>
      <w:r>
        <w:rPr>
          <w:sz w:val="24"/>
          <w:szCs w:val="24"/>
        </w:rPr>
        <w:t>ich období a príjmy budúcich období :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f) rezervy :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rezervy sú záväzky s neurčitým časovým vymedzením alebo výškou; tvoria sa na krytie známych rizík alebo strát z podnikania. Oceňujú sa v očakávanej výške záväzku.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g) záväzky :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pri ich vzniku sa oceňujú menovitou hodnotou. Záväzky pri ich prevzatí </w:t>
      </w:r>
      <w:r>
        <w:rPr>
          <w:sz w:val="24"/>
          <w:szCs w:val="24"/>
        </w:rPr>
        <w:t xml:space="preserve">sa oceňujú obstarávacou cenou. Ak sa pri inventarizácii zistí, že suma záväzkov je iná ako ich výška v účtovníctve, uvedú sa záväzky v účtovníctve a v účtovnej závierke v tomto zistenom ocenení.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h) odložené dane :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odložené dane (odložená daňová pohľadávk</w:t>
      </w:r>
      <w:r>
        <w:rPr>
          <w:sz w:val="24"/>
          <w:szCs w:val="24"/>
        </w:rPr>
        <w:t xml:space="preserve">a a odložený daňový záväzok) sa vzťahujú na: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a) dočasné rozdiely medzi účtovnou hodnotou majetku a účtovnou hodnotou záväzkov vykázanou v súvahe a ich daňovou základňou,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b) možnosť umorovať daňovú stratu v budúcnosti, ktorou sa rozumie možnosť odpočítať </w:t>
      </w:r>
      <w:r>
        <w:rPr>
          <w:sz w:val="24"/>
          <w:szCs w:val="24"/>
        </w:rPr>
        <w:t xml:space="preserve">daňovú stratu od základu dane v budúcnosti,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c) možnosť previesť nevyužité daňové odpočty a iné daňové nároky do budúcich období.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 odloženom daňovom záväzku účtuje spoločnosť vždy, o pohľadávke účtuje, ak je realizovateľná.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i) výdavky budúcich období a</w:t>
      </w:r>
      <w:r>
        <w:rPr>
          <w:sz w:val="24"/>
          <w:szCs w:val="24"/>
        </w:rPr>
        <w:t xml:space="preserve"> výnosy budúcich období :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j) prenájom (lízing) :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majetok prenajatý na základe operatívneho prenáj</w:t>
      </w:r>
      <w:r>
        <w:rPr>
          <w:sz w:val="24"/>
          <w:szCs w:val="24"/>
        </w:rPr>
        <w:t xml:space="preserve">mu bez kúpnej opcie je považovaný za operatívny prenájom. Majetok vykazuje ako svoj majetok jeho vlastník, nie nájomca.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Majetok prenajatý na základe finančného nájmu s kúpnou opciou na základe zmluvy uzatvorenej do 31. decembra 2003 vykazuje ako svoj majetok jeho vlastník, nie nájomca. Majetok prenajatý na základe zmluvy uzatvorenej 1. januára 2004 a neskôr vykazuje ako svo</w:t>
      </w:r>
      <w:r>
        <w:rPr>
          <w:sz w:val="24"/>
          <w:szCs w:val="24"/>
        </w:rPr>
        <w:t xml:space="preserve">j majetok jeho nájomca, nie vlastník.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k) cudzia mena :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majetok a záväzky vyjadrené v cudzej mene sa ku dňu uskutočnenia účtovného prípadu prepočítavajú na menu euro referenčným výmenným kurzom určeným a vyhláseným Európskou centrálnou bankou alebo Národn</w:t>
      </w:r>
      <w:r>
        <w:rPr>
          <w:sz w:val="24"/>
          <w:szCs w:val="24"/>
        </w:rPr>
        <w:t xml:space="preserve">ou bankou Slovenska v deň predchádzajúci dňu uskutočnenia účtovného prípadu.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(okrem prijatých a poskytnutých preddavkov) sa ku dňu, ku ktorému sa zostavuje účtovná závierka, prepočítavajú na menu euro referenčným </w:t>
      </w:r>
      <w:r>
        <w:rPr>
          <w:sz w:val="24"/>
          <w:szCs w:val="24"/>
        </w:rPr>
        <w:t xml:space="preserve">výmenným kurzom určeným a vyhláseným Európskou centrálnou bankou alebo Národnou bankou Slovenska v deň, ku ktorému sa zostavuje účtovná závierka, a účtujú sa s vplyvom na výsledok hospodárenia.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 poskytnuté preddavky v cudzej mene prostredníctvom </w:t>
      </w:r>
      <w:r>
        <w:rPr>
          <w:sz w:val="24"/>
          <w:szCs w:val="24"/>
        </w:rPr>
        <w:t xml:space="preserve">účtu vedeného v tejto cudzej mene sa prepočítavajú na menu euro referenčným výmenným kurzom určeným a vyhláseným Európskou centrálnou bankou alebo Národnou bankou Slovenska v deň predchádzajúci dňu uskutočnenia účtovného prípadu.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Prijaté a poskytnuté pred</w:t>
      </w:r>
      <w:r>
        <w:rPr>
          <w:sz w:val="24"/>
          <w:szCs w:val="24"/>
        </w:rPr>
        <w:t xml:space="preserve">davky v cudzej mene na účet zriadený v eurách a z účtu zriadeného v eurách sa prepočítavajú na menu euro kurzom, za ktorý boli tieto hodnoty nakúpené alebo predané. 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Prijaté a poskytnuté preddavky sa ku dňu, ku ktorému sa zostavuje účtovná závierka, na men</w:t>
      </w:r>
      <w:r>
        <w:rPr>
          <w:sz w:val="24"/>
          <w:szCs w:val="24"/>
        </w:rPr>
        <w:t>u euro už neprepočítavajú.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l) výnosy :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m) náklady: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</w:t>
      </w:r>
      <w:r>
        <w:rPr>
          <w:sz w:val="24"/>
          <w:szCs w:val="24"/>
        </w:rPr>
        <w:t>účtoch nákladov sa účtujú prvotné náklady alebo daňové náklady narastajúcim spôsobom. Ak vo vyúčtovaniach za prijaté služby alebo v nákladoch zaúčtovaných podľa iných účtovných dokladov sú zahrnuté tiež náklady, ktoré nepatria Spoločnosti, postupuje sa tak</w:t>
      </w:r>
      <w:r>
        <w:rPr>
          <w:sz w:val="24"/>
          <w:szCs w:val="24"/>
        </w:rPr>
        <w:t>, že ak sa zistia pred zaúčtovaním príslušných účtovných dokladov, sumy nárokov voči zamestnancom alebo členom štatutárneho orgánu sa zaúčtujú ako pohľadávka v triede 3 zúčtovacie vzťahy. Ak sa nezistia pred zaúčtovaním príslušných účtovných dokladov, účtu</w:t>
      </w:r>
      <w:r>
        <w:rPr>
          <w:sz w:val="24"/>
          <w:szCs w:val="24"/>
        </w:rPr>
        <w:t>jú sa tieto sumy na príslušné účty nákladov a dodatočne prijaté náhrady znižujú zaúčtované náklady v účtovej triede 5.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n) poskytnuté dotácie: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Spoločnosť nedostala dotácie ani na náhradu prevádzkových nákladov, ani na obstaranie dlhodobého majetku.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o) opr</w:t>
      </w:r>
      <w:r>
        <w:rPr>
          <w:sz w:val="24"/>
          <w:szCs w:val="24"/>
        </w:rPr>
        <w:t>avy chýb minulých období: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opravy významných chýb minulých účtovných období, účtované s vplyvom na nerozdelený zisk minulých rokov, sa v bežnom účtovnom období nevyskytli.</w:t>
      </w: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Nevýznamné opravy chýb minulých účtovných období vykonané v bežnom účtovnom období ne</w:t>
      </w:r>
      <w:r>
        <w:rPr>
          <w:sz w:val="24"/>
          <w:szCs w:val="24"/>
        </w:rPr>
        <w:t>majú významný vplyv na výsledok hospodárenia bežného účtovného obdobia.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3A470A" w:rsidRDefault="004E7157"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(1) Na účtovanie </w:t>
      </w:r>
      <w:proofErr w:type="spellStart"/>
      <w:r>
        <w:rPr>
          <w:sz w:val="24"/>
          <w:szCs w:val="24"/>
        </w:rPr>
        <w:t>goodwillu</w:t>
      </w:r>
      <w:proofErr w:type="spellEnd"/>
      <w:r>
        <w:rPr>
          <w:sz w:val="24"/>
          <w:szCs w:val="24"/>
        </w:rPr>
        <w:t xml:space="preserve"> ani záporného </w:t>
      </w:r>
      <w:proofErr w:type="spellStart"/>
      <w:r>
        <w:rPr>
          <w:sz w:val="24"/>
          <w:szCs w:val="24"/>
        </w:rPr>
        <w:t>goodwillu</w:t>
      </w:r>
      <w:proofErr w:type="spellEnd"/>
      <w:r>
        <w:rPr>
          <w:sz w:val="24"/>
          <w:szCs w:val="24"/>
        </w:rPr>
        <w:t xml:space="preserve"> nemala Spoločnosť v bežnom účtovnom období náplň.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(2)</w:t>
      </w:r>
      <w:r>
        <w:rPr>
          <w:sz w:val="24"/>
          <w:szCs w:val="24"/>
        </w:rPr>
        <w:t xml:space="preserve"> Na účtovanie o derivátoch, ani o majetku a záväzkoch zabezpečených derivátmi nemala Spoločnosť v bežnom účtovnom období náplň.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(3) Spoločnosť nemá ku koncu bežného účtovného obdobia záväzky so zostatkovou dobou splatnosti dlhšou ako päť rokov. Spoločnosť</w:t>
      </w:r>
      <w:r>
        <w:rPr>
          <w:sz w:val="24"/>
          <w:szCs w:val="24"/>
        </w:rPr>
        <w:t xml:space="preserve"> neeviduje ku koncu bežného účtovného obdobia žiadne zabezpečené záväzky.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(4) Spoločnosť nenadobudla v bežnom účtovnom období žiadne vlastné akcie, ani ku koncu bežného účtovného obdobia nevlastní žiadne vlastné akcie.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(5) Žiadne položky nákladov ani výn</w:t>
      </w:r>
      <w:r>
        <w:rPr>
          <w:sz w:val="24"/>
          <w:szCs w:val="24"/>
        </w:rPr>
        <w:t>osov bežného účtovného obdobia nemajú výnimočný charakter.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3A470A" w:rsidRDefault="004E7157"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(1) Spoločnosť neeviduje ku koncu bežného účtovného obdobia žiadny podmienený majetok ani žiadne podmienené záväzky. 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(2) Spoločnosť nemá žiadne finančné povinnosti, ktoré nie sú vykazované v súvahe ku koncu bežného účtovného obdobia.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(3) Na podsúvahových účtoch neeviduje Spoločnosť žiadne významné položky ku koncu bežného účtovného obdobia.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3A470A" w:rsidRDefault="004E7157"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Udalosti, ktoré nasta</w:t>
      </w:r>
      <w:r>
        <w:rPr>
          <w:b/>
          <w:sz w:val="24"/>
          <w:szCs w:val="24"/>
        </w:rPr>
        <w:t>li po dni, ku ktorému sa zostavuje účtovná závierka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Po 31. decembri 2016 nenastali také udalosti, ktoré majú významný vplyv na verné zobrazenie skutočností uvádzaných v tejto účtovnej závierke.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3A470A" w:rsidRDefault="004E7157">
      <w:pPr>
        <w:pStyle w:val="normal"/>
        <w:jc w:val="center"/>
        <w:rPr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(1)  Spoločnosť nemá výlučné an</w:t>
      </w:r>
      <w:r>
        <w:rPr>
          <w:sz w:val="24"/>
          <w:szCs w:val="24"/>
        </w:rPr>
        <w:t>i osobitné práva poskytovať služby vo verejnom záujme.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(2)  Spoločnosť nie je zaradená do kategórie priemyselnej výroby podľa osobitného predpisu s čistým obratom väčším ako 250 000 </w:t>
      </w:r>
      <w:proofErr w:type="spellStart"/>
      <w:r>
        <w:rPr>
          <w:sz w:val="24"/>
          <w:szCs w:val="24"/>
        </w:rPr>
        <w:t>000</w:t>
      </w:r>
      <w:proofErr w:type="spellEnd"/>
      <w:r>
        <w:rPr>
          <w:sz w:val="24"/>
          <w:szCs w:val="24"/>
        </w:rPr>
        <w:t xml:space="preserve"> €.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4E7157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(3) Spoločnosť nie je zaradená do kategórie priemyselnej výroby p</w:t>
      </w:r>
      <w:r>
        <w:rPr>
          <w:sz w:val="24"/>
          <w:szCs w:val="24"/>
        </w:rPr>
        <w:t xml:space="preserve">odľa osobitného predpisu s čistým obratom väčším ako 250 000 </w:t>
      </w:r>
      <w:proofErr w:type="spellStart"/>
      <w:r>
        <w:rPr>
          <w:sz w:val="24"/>
          <w:szCs w:val="24"/>
        </w:rPr>
        <w:t>000</w:t>
      </w:r>
      <w:proofErr w:type="spellEnd"/>
      <w:r>
        <w:rPr>
          <w:sz w:val="24"/>
          <w:szCs w:val="24"/>
        </w:rPr>
        <w:t xml:space="preserve"> €. Preto Spoločnosť ani neeviduje finančné vzťahy medzi orgánom verejnej moci a Spoločnosťou.</w:t>
      </w: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3A470A">
      <w:pPr>
        <w:pStyle w:val="normal"/>
        <w:jc w:val="both"/>
        <w:rPr>
          <w:sz w:val="24"/>
          <w:szCs w:val="24"/>
        </w:rPr>
      </w:pPr>
    </w:p>
    <w:p w:rsidR="003A470A" w:rsidRDefault="003A470A">
      <w:pPr>
        <w:pStyle w:val="normal"/>
        <w:jc w:val="both"/>
        <w:rPr>
          <w:sz w:val="24"/>
          <w:szCs w:val="24"/>
        </w:rPr>
      </w:pPr>
    </w:p>
    <w:sectPr w:rsidR="003A470A" w:rsidSect="003A470A">
      <w:headerReference w:type="default" r:id="rId6"/>
      <w:pgSz w:w="11906" w:h="16838"/>
      <w:pgMar w:top="1417" w:right="1417" w:bottom="1417" w:left="1417" w:header="0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7157" w:rsidRDefault="004E7157" w:rsidP="003A470A">
      <w:r>
        <w:separator/>
      </w:r>
    </w:p>
  </w:endnote>
  <w:endnote w:type="continuationSeparator" w:id="0">
    <w:p w:rsidR="004E7157" w:rsidRDefault="004E7157" w:rsidP="003A47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7157" w:rsidRDefault="004E7157" w:rsidP="003A470A">
      <w:r>
        <w:separator/>
      </w:r>
    </w:p>
  </w:footnote>
  <w:footnote w:type="continuationSeparator" w:id="0">
    <w:p w:rsidR="004E7157" w:rsidRDefault="004E7157" w:rsidP="003A47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470A" w:rsidRDefault="004E7157">
    <w:pPr>
      <w:pStyle w:val="normal"/>
      <w:tabs>
        <w:tab w:val="center" w:pos="4536"/>
        <w:tab w:val="right" w:pos="9072"/>
      </w:tabs>
      <w:spacing w:before="708"/>
      <w:rPr>
        <w:sz w:val="24"/>
        <w:szCs w:val="24"/>
      </w:rPr>
    </w:pPr>
    <w:r>
      <w:rPr>
        <w:sz w:val="24"/>
        <w:szCs w:val="24"/>
      </w:rPr>
      <w:t xml:space="preserve">Poznámky </w:t>
    </w:r>
    <w:proofErr w:type="spellStart"/>
    <w:r>
      <w:rPr>
        <w:sz w:val="24"/>
        <w:szCs w:val="24"/>
      </w:rPr>
      <w:t>Úč</w:t>
    </w:r>
    <w:proofErr w:type="spellEnd"/>
    <w:r>
      <w:rPr>
        <w:sz w:val="24"/>
        <w:szCs w:val="24"/>
      </w:rPr>
      <w:t xml:space="preserve"> PODV 3- 01</w:t>
    </w:r>
    <w:r>
      <w:rPr>
        <w:sz w:val="24"/>
        <w:szCs w:val="24"/>
      </w:rPr>
      <w:tab/>
    </w:r>
    <w:r>
      <w:rPr>
        <w:sz w:val="24"/>
        <w:szCs w:val="24"/>
      </w:rPr>
      <w:t xml:space="preserve">                                                                           IČO:    </w:t>
    </w:r>
    <w:r>
      <w:rPr>
        <w:sz w:val="24"/>
        <w:szCs w:val="24"/>
      </w:rPr>
      <w:t>36252735</w:t>
    </w:r>
    <w:r>
      <w:rPr>
        <w:sz w:val="24"/>
        <w:szCs w:val="24"/>
      </w:rPr>
      <w:tab/>
    </w:r>
  </w:p>
  <w:p w:rsidR="003A470A" w:rsidRDefault="004E7157">
    <w:pPr>
      <w:pStyle w:val="normal"/>
      <w:tabs>
        <w:tab w:val="center" w:pos="4536"/>
        <w:tab w:val="right" w:pos="9072"/>
      </w:tabs>
      <w:rPr>
        <w:sz w:val="24"/>
        <w:szCs w:val="24"/>
      </w:rPr>
    </w:pPr>
    <w:r>
      <w:rPr>
        <w:sz w:val="24"/>
        <w:szCs w:val="24"/>
      </w:rPr>
      <w:tab/>
      <w:t xml:space="preserve">                                                                                                                      DIČ:    </w:t>
    </w:r>
    <w:r>
      <w:rPr>
        <w:sz w:val="24"/>
        <w:szCs w:val="24"/>
      </w:rPr>
      <w:t>2020167886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A470A"/>
    <w:rsid w:val="003A470A"/>
    <w:rsid w:val="004E7157"/>
    <w:rsid w:val="00A25D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al"/>
    <w:next w:val="normal"/>
    <w:rsid w:val="003A470A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al"/>
    <w:next w:val="normal"/>
    <w:rsid w:val="003A470A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al"/>
    <w:next w:val="normal"/>
    <w:rsid w:val="003A470A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normal"/>
    <w:rsid w:val="003A470A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al"/>
    <w:next w:val="normal"/>
    <w:rsid w:val="003A470A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Nadpis6">
    <w:name w:val="heading 6"/>
    <w:basedOn w:val="normal"/>
    <w:next w:val="normal"/>
    <w:rsid w:val="003A470A"/>
    <w:pPr>
      <w:keepNext/>
      <w:keepLines/>
      <w:spacing w:before="200" w:after="40"/>
      <w:contextualSpacing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rsid w:val="003A470A"/>
  </w:style>
  <w:style w:type="table" w:customStyle="1" w:styleId="TableNormal">
    <w:name w:val="Table Normal"/>
    <w:rsid w:val="003A470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al"/>
    <w:next w:val="normal"/>
    <w:rsid w:val="003A470A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al"/>
    <w:next w:val="normal"/>
    <w:rsid w:val="003A470A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3A470A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rsid w:val="003A470A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1871</Words>
  <Characters>10667</Characters>
  <Application>Microsoft Office Word</Application>
  <DocSecurity>0</DocSecurity>
  <Lines>88</Lines>
  <Paragraphs>25</Paragraphs>
  <ScaleCrop>false</ScaleCrop>
  <Company/>
  <LinksUpToDate>false</LinksUpToDate>
  <CharactersWithSpaces>12513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cityPC</cp:lastModifiedBy>
  <cp:revision>2</cp:revision>
  <dcterms:created xsi:type="dcterms:W3CDTF">2017-06-29T22:20:00Z</dcterms:created>
  <dcterms:modified xsi:type="dcterms:W3CDTF">2017-06-29T22:20:00Z</dcterms:modified>
</cp:coreProperties>
</file>