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240"/>
        <w:rPr>
          <w:rFonts w:ascii="Times New Roman" w:hAnsi="Times New Roman" w:cs="Times New Roman"/>
          <w:b/>
          <w:b/>
          <w:color w:val="5B9BD5"/>
          <w:sz w:val="22"/>
          <w:highlight w:val="white"/>
        </w:rPr>
      </w:pPr>
      <w:r>
        <w:rPr>
          <w:rFonts w:cs="Times New Roman" w:ascii="Times New Roman" w:hAnsi="Times New Roman"/>
          <w:b/>
          <w:color w:val="5B9BD5"/>
          <w:sz w:val="22"/>
          <w:shd w:fill="FFFFFF" w:val="clear"/>
        </w:rPr>
        <w:t>Čl. I </w:t>
        <w:tab/>
        <w:t>Všeobecné informácie</w:t>
      </w:r>
    </w:p>
    <w:p>
      <w:pPr>
        <w:pStyle w:val="Normal"/>
        <w:spacing w:lineRule="exact" w:line="240" w:before="0" w:after="160"/>
        <w:jc w:val="center"/>
        <w:rPr>
          <w:rFonts w:ascii="Times New Roman" w:hAnsi="Times New Roman" w:cs="Times New Roman"/>
          <w:b/>
          <w:b/>
          <w:sz w:val="22"/>
          <w:shd w:fill="FFFFFF" w:val="clear"/>
        </w:rPr>
      </w:pPr>
      <w:r>
        <w:rPr>
          <w:rFonts w:cs="Times New Roman" w:ascii="Times New Roman" w:hAnsi="Times New Roman"/>
          <w:b/>
          <w:sz w:val="22"/>
          <w:shd w:fill="FFFFFF" w:val="clear"/>
        </w:rPr>
      </w:r>
    </w:p>
    <w:p>
      <w:pPr>
        <w:pStyle w:val="Normal"/>
        <w:spacing w:lineRule="exact" w:line="240"/>
        <w:jc w:val="both"/>
        <w:rPr/>
      </w:pPr>
      <w:r>
        <w:rPr>
          <w:rFonts w:cs="Times New Roman" w:ascii="Times New Roman" w:hAnsi="Times New Roman"/>
          <w:b/>
          <w:sz w:val="22"/>
          <w:shd w:fill="FFFFFF" w:val="clear"/>
        </w:rPr>
        <w:t xml:space="preserve">I.1 </w:t>
        <w:tab/>
        <w:t>Obchodné meno účtovnej jednotky:</w:t>
      </w:r>
    </w:p>
    <w:p>
      <w:pPr>
        <w:pStyle w:val="Normal"/>
        <w:spacing w:lineRule="exact" w:line="240"/>
        <w:jc w:val="both"/>
        <w:rPr/>
      </w:pPr>
      <w:r>
        <w:rPr>
          <w:rFonts w:cs="Times New Roman" w:ascii="Times New Roman" w:hAnsi="Times New Roman"/>
          <w:b/>
          <w:sz w:val="22"/>
          <w:shd w:fill="FFFFFF" w:val="clear"/>
        </w:rPr>
        <w:tab/>
      </w:r>
    </w:p>
    <w:p>
      <w:pPr>
        <w:pStyle w:val="Normal"/>
        <w:spacing w:lineRule="exact" w:line="240"/>
        <w:jc w:val="both"/>
        <w:rPr/>
      </w:pPr>
      <w:r>
        <w:rPr>
          <w:rFonts w:cs="Times New Roman" w:ascii="Times New Roman" w:hAnsi="Times New Roman"/>
          <w:b/>
          <w:sz w:val="22"/>
          <w:shd w:fill="FFFFFF" w:val="clear"/>
        </w:rPr>
        <w:tab/>
      </w:r>
      <w:r>
        <w:rPr>
          <w:rFonts w:cs="Times New Roman" w:ascii="Times New Roman" w:hAnsi="Times New Roman"/>
          <w:color w:val="330099"/>
          <w:sz w:val="22"/>
          <w:shd w:fill="FFFFFF" w:val="clear"/>
        </w:rPr>
        <w:t>EQUIS INVEST CONSULTING, s. r. o.</w:t>
      </w:r>
      <w:r>
        <w:rPr>
          <w:rFonts w:cs="Times New Roman" w:ascii="Times New Roman" w:hAnsi="Times New Roman"/>
          <w:color w:val="244061"/>
          <w:highlight w:val="white"/>
        </w:rPr>
        <w:t xml:space="preserve">     </w:t>
      </w:r>
    </w:p>
    <w:p>
      <w:pPr>
        <w:pStyle w:val="Normal"/>
        <w:spacing w:lineRule="exact" w:line="240"/>
        <w:jc w:val="both"/>
        <w:rPr>
          <w:rFonts w:ascii="Times New Roman" w:hAnsi="Times New Roman" w:cs="Times New Roman"/>
          <w:sz w:val="22"/>
          <w:highlight w:val="white"/>
        </w:rPr>
      </w:pPr>
      <w:r>
        <w:rPr>
          <w:rFonts w:cs="Times New Roman" w:ascii="Times New Roman" w:hAnsi="Times New Roman"/>
          <w:sz w:val="22"/>
          <w:highlight w:val="white"/>
        </w:rPr>
      </w:r>
    </w:p>
    <w:p>
      <w:pPr>
        <w:pStyle w:val="Normal"/>
        <w:spacing w:lineRule="exact" w:line="240" w:before="0" w:after="160"/>
        <w:ind w:left="720" w:hanging="0"/>
        <w:jc w:val="both"/>
        <w:rPr/>
      </w:pPr>
      <w:r>
        <w:rPr>
          <w:rFonts w:cs="Times New Roman" w:ascii="Times New Roman" w:hAnsi="Times New Roman"/>
          <w:b/>
          <w:sz w:val="22"/>
          <w:shd w:fill="FFFFFF" w:val="clear"/>
        </w:rPr>
        <w:t>Sídlo účtovnej jednotky:</w:t>
      </w:r>
    </w:p>
    <w:p>
      <w:pPr>
        <w:pStyle w:val="Normal"/>
        <w:spacing w:lineRule="exact" w:line="240" w:before="0" w:after="160"/>
        <w:ind w:left="720" w:hanging="0"/>
        <w:jc w:val="both"/>
        <w:rPr>
          <w:color w:val="330099"/>
        </w:rPr>
      </w:pPr>
      <w:r>
        <w:rPr>
          <w:rFonts w:cs="Times New Roman" w:ascii="Times New Roman" w:hAnsi="Times New Roman"/>
          <w:color w:val="330099"/>
          <w:sz w:val="22"/>
          <w:shd w:fill="FFFFFF" w:val="clear"/>
        </w:rPr>
        <w:t>Ulica 29. augusta 28/D, 811 09 Bratislava I. - Staré Mesto</w:t>
      </w:r>
    </w:p>
    <w:p>
      <w:pPr>
        <w:pStyle w:val="Normal"/>
        <w:spacing w:lineRule="exact" w:line="240" w:before="0" w:after="160"/>
        <w:ind w:left="720" w:hanging="0"/>
        <w:jc w:val="both"/>
        <w:rPr>
          <w:rFonts w:ascii="Times New Roman" w:hAnsi="Times New Roman" w:cs="Times New Roman"/>
          <w:b/>
          <w:b/>
          <w:sz w:val="22"/>
          <w:highlight w:val="white"/>
        </w:rPr>
      </w:pPr>
      <w:r>
        <w:rPr>
          <w:rFonts w:cs="Times New Roman" w:ascii="Times New Roman" w:hAnsi="Times New Roman"/>
          <w:b/>
          <w:sz w:val="22"/>
          <w:highlight w:val="white"/>
        </w:rPr>
      </w:r>
    </w:p>
    <w:p>
      <w:pPr>
        <w:pStyle w:val="Normal"/>
        <w:spacing w:lineRule="exact" w:line="240" w:before="0" w:after="160"/>
        <w:ind w:left="720" w:hanging="0"/>
        <w:jc w:val="both"/>
        <w:rPr/>
      </w:pPr>
      <w:r>
        <w:rPr>
          <w:rFonts w:cs="Times New Roman" w:ascii="Times New Roman" w:hAnsi="Times New Roman"/>
          <w:b/>
          <w:sz w:val="22"/>
          <w:shd w:fill="FFFFFF" w:val="clear"/>
        </w:rPr>
        <w:t>Opis hospodárskej činnosti účtovnej jednotky:</w:t>
      </w:r>
    </w:p>
    <w:p>
      <w:pPr>
        <w:pStyle w:val="Normal"/>
        <w:spacing w:lineRule="exact" w:line="240" w:before="0" w:after="160"/>
        <w:ind w:left="720" w:hanging="0"/>
        <w:jc w:val="both"/>
        <w:rPr>
          <w:rFonts w:ascii="Times New Roman" w:hAnsi="Times New Roman" w:cs="Times New Roman"/>
          <w:color w:val="330099"/>
          <w:sz w:val="22"/>
          <w:highlight w:val="white"/>
        </w:rPr>
      </w:pPr>
      <w:r>
        <w:rPr>
          <w:rFonts w:cs="Times New Roman" w:ascii="Times New Roman" w:hAnsi="Times New Roman"/>
          <w:color w:val="330099"/>
          <w:sz w:val="22"/>
          <w:shd w:fill="FFFFFF" w:val="clear"/>
        </w:rPr>
        <w:t>Činnosť účtovných poradcov</w:t>
      </w:r>
    </w:p>
    <w:p>
      <w:pPr>
        <w:pStyle w:val="Normal"/>
        <w:spacing w:lineRule="exact" w:line="240" w:before="0" w:after="160"/>
        <w:ind w:left="720" w:hanging="0"/>
        <w:jc w:val="both"/>
        <w:rPr>
          <w:rFonts w:ascii="Times New Roman" w:hAnsi="Times New Roman" w:cs="Times New Roman"/>
          <w:color w:val="330099"/>
          <w:sz w:val="22"/>
          <w:highlight w:val="white"/>
        </w:rPr>
      </w:pPr>
      <w:r>
        <w:rPr>
          <w:rFonts w:cs="Times New Roman" w:ascii="Times New Roman" w:hAnsi="Times New Roman"/>
          <w:color w:val="330099"/>
          <w:sz w:val="22"/>
          <w:shd w:fill="FFFFFF" w:val="clear"/>
        </w:rPr>
        <w:t>Činnosť organizačných a ekonomických poradcov</w:t>
      </w:r>
    </w:p>
    <w:p>
      <w:pPr>
        <w:pStyle w:val="Normal"/>
        <w:spacing w:lineRule="exact" w:line="240" w:before="0" w:after="160"/>
        <w:ind w:left="720" w:hanging="0"/>
        <w:jc w:val="both"/>
        <w:rPr>
          <w:rFonts w:ascii="Times New Roman" w:hAnsi="Times New Roman" w:cs="Times New Roman"/>
          <w:color w:val="330099"/>
          <w:sz w:val="22"/>
          <w:highlight w:val="white"/>
        </w:rPr>
      </w:pPr>
      <w:r>
        <w:rPr>
          <w:rFonts w:cs="Times New Roman" w:ascii="Times New Roman" w:hAnsi="Times New Roman"/>
          <w:color w:val="330099"/>
          <w:sz w:val="22"/>
          <w:shd w:fill="FFFFFF" w:val="clear"/>
        </w:rPr>
        <w:t>Vedenie účtovníctva</w:t>
      </w:r>
    </w:p>
    <w:p>
      <w:pPr>
        <w:pStyle w:val="Normal"/>
        <w:spacing w:lineRule="exact" w:line="240" w:before="0" w:after="160"/>
        <w:ind w:left="720" w:hanging="0"/>
        <w:jc w:val="both"/>
        <w:rPr>
          <w:rFonts w:ascii="Times New Roman" w:hAnsi="Times New Roman" w:cs="Times New Roman"/>
          <w:color w:val="330099"/>
          <w:sz w:val="22"/>
          <w:highlight w:val="white"/>
        </w:rPr>
      </w:pPr>
      <w:r>
        <w:rPr>
          <w:rFonts w:cs="Times New Roman" w:ascii="Times New Roman" w:hAnsi="Times New Roman"/>
          <w:color w:val="330099"/>
          <w:sz w:val="22"/>
          <w:shd w:fill="FFFFFF" w:val="clear"/>
        </w:rPr>
        <w:t>Inžinierska činnosť ( okrem vybraných činností v stavebníctve</w:t>
      </w:r>
    </w:p>
    <w:p>
      <w:pPr>
        <w:pStyle w:val="Normal"/>
        <w:spacing w:lineRule="exact" w:line="240" w:before="0" w:after="160"/>
        <w:ind w:left="720" w:hanging="0"/>
        <w:jc w:val="both"/>
        <w:rPr>
          <w:color w:val="330099"/>
        </w:rPr>
      </w:pPr>
      <w:r>
        <w:rPr>
          <w:rFonts w:cs="Times New Roman" w:ascii="Times New Roman" w:hAnsi="Times New Roman"/>
          <w:color w:val="330099"/>
          <w:sz w:val="22"/>
          <w:shd w:fill="FFFFFF" w:val="clear"/>
        </w:rPr>
        <w:t>Sprostredkovateľská  a poradenská činnosť pri kúpe a predaji tovarov</w:t>
      </w:r>
    </w:p>
    <w:p>
      <w:pPr>
        <w:pStyle w:val="Normal"/>
        <w:spacing w:lineRule="exact" w:line="240" w:before="0" w:after="160"/>
        <w:ind w:left="720" w:hanging="0"/>
        <w:jc w:val="both"/>
        <w:rPr>
          <w:rFonts w:ascii="Times New Roman" w:hAnsi="Times New Roman" w:cs="Times New Roman"/>
          <w:color w:val="330099"/>
          <w:sz w:val="22"/>
          <w:highlight w:val="white"/>
        </w:rPr>
      </w:pPr>
      <w:r>
        <w:rPr>
          <w:rFonts w:cs="Times New Roman" w:ascii="Times New Roman" w:hAnsi="Times New Roman"/>
          <w:color w:val="330099"/>
          <w:sz w:val="22"/>
          <w:shd w:fill="FFFFFF" w:val="clear"/>
        </w:rPr>
        <w:t>Sprostredkovanie kúpy, predaja a prenájmu nehnuteľností</w:t>
      </w:r>
    </w:p>
    <w:p>
      <w:pPr>
        <w:pStyle w:val="Normal"/>
        <w:spacing w:lineRule="exact" w:line="240" w:before="0" w:after="160"/>
        <w:ind w:left="720" w:hanging="0"/>
        <w:jc w:val="both"/>
        <w:rPr>
          <w:rFonts w:ascii="Times New Roman" w:hAnsi="Times New Roman" w:cs="Times New Roman"/>
          <w:color w:val="330099"/>
          <w:sz w:val="22"/>
          <w:highlight w:val="white"/>
        </w:rPr>
      </w:pPr>
      <w:r>
        <w:rPr>
          <w:rFonts w:cs="Times New Roman" w:ascii="Times New Roman" w:hAnsi="Times New Roman"/>
          <w:color w:val="330099"/>
          <w:sz w:val="22"/>
          <w:shd w:fill="FFFFFF" w:val="clear"/>
        </w:rPr>
        <w:t>Prieskum trhu</w:t>
      </w:r>
    </w:p>
    <w:p>
      <w:pPr>
        <w:pStyle w:val="Normal"/>
        <w:spacing w:lineRule="exact" w:line="240" w:before="0" w:after="160"/>
        <w:ind w:left="720" w:hanging="0"/>
        <w:jc w:val="both"/>
        <w:rPr>
          <w:rFonts w:ascii="Times New Roman" w:hAnsi="Times New Roman" w:cs="Times New Roman"/>
          <w:color w:val="330099"/>
          <w:sz w:val="22"/>
          <w:highlight w:val="white"/>
        </w:rPr>
      </w:pPr>
      <w:r>
        <w:rPr>
          <w:rFonts w:cs="Times New Roman" w:ascii="Times New Roman" w:hAnsi="Times New Roman"/>
          <w:color w:val="330099"/>
          <w:sz w:val="22"/>
          <w:shd w:fill="FFFFFF" w:val="clear"/>
        </w:rPr>
        <w:t>Factoring a forfaiting ( okrem vymáhania súdnych pohľadávok )</w:t>
      </w:r>
    </w:p>
    <w:p>
      <w:pPr>
        <w:pStyle w:val="Normal"/>
        <w:spacing w:lineRule="exact" w:line="240" w:before="0" w:after="160"/>
        <w:ind w:left="720" w:hanging="0"/>
        <w:jc w:val="both"/>
        <w:rPr>
          <w:rFonts w:ascii="Times New Roman" w:hAnsi="Times New Roman" w:cs="Times New Roman"/>
          <w:color w:val="330099"/>
          <w:sz w:val="22"/>
          <w:highlight w:val="white"/>
        </w:rPr>
      </w:pPr>
      <w:r>
        <w:rPr>
          <w:rFonts w:cs="Times New Roman" w:ascii="Times New Roman" w:hAnsi="Times New Roman"/>
          <w:color w:val="330099"/>
          <w:sz w:val="22"/>
          <w:shd w:fill="FFFFFF" w:val="clear"/>
        </w:rPr>
        <w:t>Kúpa tovaru na účely jeho predaja konečnému spotrebiteľovi (maloobchod), alebo na účely jeho predaja iným prevádzkovateľom živnosti (veľkoobchod)</w:t>
      </w:r>
    </w:p>
    <w:p>
      <w:pPr>
        <w:pStyle w:val="Normal"/>
        <w:spacing w:lineRule="exact" w:line="240" w:before="0" w:after="160"/>
        <w:ind w:left="720" w:hanging="0"/>
        <w:jc w:val="both"/>
        <w:rPr>
          <w:rFonts w:ascii="Times New Roman" w:hAnsi="Times New Roman" w:cs="Times New Roman"/>
          <w:color w:val="330099"/>
          <w:sz w:val="22"/>
          <w:highlight w:val="white"/>
        </w:rPr>
      </w:pPr>
      <w:r>
        <w:rPr>
          <w:rFonts w:cs="Times New Roman" w:ascii="Times New Roman" w:hAnsi="Times New Roman"/>
          <w:color w:val="330099"/>
          <w:sz w:val="22"/>
          <w:shd w:fill="FFFFFF" w:val="clear"/>
        </w:rPr>
        <w:t>Reklamné činnosti</w:t>
      </w:r>
    </w:p>
    <w:p>
      <w:pPr>
        <w:pStyle w:val="Normal"/>
        <w:spacing w:lineRule="exact" w:line="240" w:before="0" w:after="160"/>
        <w:ind w:left="720" w:hanging="0"/>
        <w:jc w:val="both"/>
        <w:rPr>
          <w:rFonts w:ascii="Times New Roman" w:hAnsi="Times New Roman" w:cs="Times New Roman"/>
          <w:color w:val="330099"/>
          <w:sz w:val="22"/>
          <w:highlight w:val="white"/>
        </w:rPr>
      </w:pPr>
      <w:r>
        <w:rPr>
          <w:rFonts w:cs="Times New Roman" w:ascii="Times New Roman" w:hAnsi="Times New Roman"/>
          <w:color w:val="330099"/>
          <w:sz w:val="22"/>
          <w:shd w:fill="FFFFFF" w:val="clear"/>
        </w:rPr>
        <w:t>Vykonávanie špeciálnych laboratórnych prác a geologického mapovania, zisťovanie a hodnotenie geologických činiteľov ovplyvňujúcich životné prostredie</w:t>
      </w:r>
    </w:p>
    <w:p>
      <w:pPr>
        <w:pStyle w:val="Normal"/>
        <w:spacing w:lineRule="exact" w:line="240" w:before="0" w:after="160"/>
        <w:ind w:left="720" w:hanging="0"/>
        <w:jc w:val="both"/>
        <w:rPr>
          <w:rFonts w:ascii="Times New Roman" w:hAnsi="Times New Roman" w:cs="Times New Roman"/>
          <w:color w:val="330099"/>
          <w:sz w:val="22"/>
          <w:highlight w:val="white"/>
        </w:rPr>
      </w:pPr>
      <w:r>
        <w:rPr>
          <w:rFonts w:cs="Times New Roman" w:ascii="Times New Roman" w:hAnsi="Times New Roman"/>
          <w:color w:val="330099"/>
          <w:sz w:val="22"/>
          <w:shd w:fill="FFFFFF" w:val="clear"/>
        </w:rPr>
        <w:t>Organizovanie dobrovoľných dražieb</w:t>
      </w:r>
    </w:p>
    <w:p>
      <w:pPr>
        <w:pStyle w:val="Normal"/>
        <w:spacing w:lineRule="exact" w:line="240" w:before="0" w:after="160"/>
        <w:ind w:left="720" w:hanging="0"/>
        <w:jc w:val="both"/>
        <w:rPr>
          <w:color w:val="330099"/>
        </w:rPr>
      </w:pPr>
      <w:r>
        <w:rPr>
          <w:rFonts w:cs="Times New Roman" w:ascii="Times New Roman" w:hAnsi="Times New Roman"/>
          <w:color w:val="330099"/>
          <w:sz w:val="22"/>
          <w:shd w:fill="FFFFFF" w:val="clear"/>
        </w:rPr>
        <w:t>Ubytovacie služby v rozsahu voľnej živnosti</w:t>
      </w:r>
    </w:p>
    <w:p>
      <w:pPr>
        <w:pStyle w:val="Normal"/>
        <w:spacing w:lineRule="exact" w:line="240" w:before="0" w:after="160"/>
        <w:ind w:left="720" w:hanging="0"/>
        <w:jc w:val="both"/>
        <w:rPr>
          <w:rFonts w:ascii="Times New Roman" w:hAnsi="Times New Roman" w:cs="Times New Roman"/>
          <w:color w:val="330099"/>
          <w:sz w:val="22"/>
          <w:highlight w:val="white"/>
        </w:rPr>
      </w:pPr>
      <w:r>
        <w:rPr>
          <w:rFonts w:cs="Times New Roman" w:ascii="Times New Roman" w:hAnsi="Times New Roman"/>
          <w:color w:val="330099"/>
          <w:sz w:val="22"/>
          <w:shd w:fill="FFFFFF" w:val="clear"/>
        </w:rPr>
        <w:t>Predaj na priamu konzumáciu nealkoholických s priemyselne vyrábaných mliečnych nápojov, koktailov, piva, vína a destilátov</w:t>
      </w:r>
    </w:p>
    <w:p>
      <w:pPr>
        <w:pStyle w:val="Normal"/>
        <w:spacing w:lineRule="exact" w:line="240" w:before="0" w:after="160"/>
        <w:ind w:left="720" w:hanging="0"/>
        <w:jc w:val="both"/>
        <w:rPr>
          <w:rFonts w:ascii="Times New Roman" w:hAnsi="Times New Roman" w:cs="Times New Roman"/>
          <w:color w:val="330099"/>
          <w:sz w:val="22"/>
          <w:highlight w:val="white"/>
        </w:rPr>
      </w:pPr>
      <w:r>
        <w:rPr>
          <w:rFonts w:cs="Times New Roman" w:ascii="Times New Roman" w:hAnsi="Times New Roman"/>
          <w:color w:val="330099"/>
          <w:sz w:val="22"/>
          <w:shd w:fill="FFFFFF" w:val="clear"/>
        </w:rPr>
        <w:t>Predaj na priamu konzumáciu zmrzliny, ak sa na jej prípravu použijú priemyselne vyrábané koncentráty a mrazené krémy</w:t>
      </w:r>
    </w:p>
    <w:p>
      <w:pPr>
        <w:pStyle w:val="Normal"/>
        <w:spacing w:lineRule="exact" w:line="240" w:before="0" w:after="160"/>
        <w:ind w:left="720" w:hanging="0"/>
        <w:jc w:val="both"/>
        <w:rPr>
          <w:rFonts w:ascii="Times New Roman" w:hAnsi="Times New Roman" w:cs="Times New Roman"/>
          <w:color w:val="330099"/>
          <w:sz w:val="22"/>
          <w:highlight w:val="white"/>
        </w:rPr>
      </w:pPr>
      <w:r>
        <w:rPr>
          <w:rFonts w:cs="Times New Roman" w:ascii="Times New Roman" w:hAnsi="Times New Roman"/>
          <w:color w:val="330099"/>
          <w:sz w:val="22"/>
          <w:shd w:fill="FFFFFF" w:val="clear"/>
        </w:rPr>
        <w:t>Predaj na priamu konzumáciu tepelne rýchlo upravovaných mäsových výrobkov a obvyklých príloh ako aj bezmäsitých jedál</w:t>
      </w:r>
    </w:p>
    <w:p>
      <w:pPr>
        <w:pStyle w:val="Normal"/>
        <w:spacing w:lineRule="exact" w:line="240" w:before="0" w:after="160"/>
        <w:ind w:left="720" w:hanging="0"/>
        <w:jc w:val="both"/>
        <w:rPr>
          <w:rFonts w:ascii="Times New Roman" w:hAnsi="Times New Roman" w:cs="Times New Roman"/>
          <w:color w:val="330099"/>
          <w:sz w:val="22"/>
          <w:highlight w:val="white"/>
        </w:rPr>
      </w:pPr>
      <w:r>
        <w:rPr>
          <w:rFonts w:cs="Times New Roman" w:ascii="Times New Roman" w:hAnsi="Times New Roman"/>
          <w:color w:val="330099"/>
          <w:sz w:val="22"/>
          <w:shd w:fill="FFFFFF" w:val="clear"/>
        </w:rPr>
        <w:t xml:space="preserve">Predaj na priamu konzumáciu jedál, nápojov a polotovarov ubytovaným hosťom v ubytovacích zariadeniach s kapacitou do 10 lôžok </w:t>
      </w:r>
    </w:p>
    <w:p>
      <w:pPr>
        <w:pStyle w:val="Normal"/>
        <w:spacing w:lineRule="exact" w:line="240" w:before="0" w:after="160"/>
        <w:ind w:left="720" w:hanging="0"/>
        <w:jc w:val="both"/>
        <w:rPr>
          <w:rFonts w:ascii="Times New Roman" w:hAnsi="Times New Roman" w:cs="Times New Roman"/>
          <w:color w:val="330099"/>
          <w:sz w:val="22"/>
          <w:highlight w:val="white"/>
        </w:rPr>
      </w:pPr>
      <w:r>
        <w:rPr>
          <w:rFonts w:cs="Times New Roman" w:ascii="Times New Roman" w:hAnsi="Times New Roman"/>
          <w:color w:val="330099"/>
          <w:sz w:val="22"/>
          <w:shd w:fill="FFFFFF" w:val="clear"/>
        </w:rPr>
        <w:t>Prenájom nehnuteľností, bytových a nebytových priestorov s poskytovaním iných než základných služieb spojených s prenájmom</w:t>
      </w:r>
    </w:p>
    <w:p>
      <w:pPr>
        <w:pStyle w:val="Normal"/>
        <w:spacing w:lineRule="exact" w:line="240" w:before="0" w:after="160"/>
        <w:ind w:left="720" w:hanging="0"/>
        <w:jc w:val="both"/>
        <w:rPr>
          <w:rFonts w:ascii="Times New Roman" w:hAnsi="Times New Roman" w:cs="Times New Roman"/>
          <w:color w:val="330099"/>
          <w:sz w:val="22"/>
          <w:highlight w:val="white"/>
        </w:rPr>
      </w:pPr>
      <w:r>
        <w:rPr>
          <w:rFonts w:cs="Times New Roman" w:ascii="Times New Roman" w:hAnsi="Times New Roman"/>
          <w:color w:val="330099"/>
          <w:sz w:val="22"/>
          <w:shd w:fill="FFFFFF" w:val="clear"/>
        </w:rPr>
        <w:t>Ubytovacie služby v ubytovacích zariadeniach s prevádzkovaním pohostinských činností v týchto zariadeniach a v chatovej osade triedy 3, v kempingoch triedy 3,4</w:t>
      </w:r>
    </w:p>
    <w:p>
      <w:pPr>
        <w:pStyle w:val="Normal"/>
        <w:spacing w:lineRule="exact" w:line="240" w:before="0" w:after="160"/>
        <w:ind w:left="720" w:hanging="0"/>
        <w:jc w:val="both"/>
        <w:rPr>
          <w:color w:val="330099"/>
        </w:rPr>
      </w:pPr>
      <w:r>
        <w:rPr>
          <w:rFonts w:cs="Times New Roman" w:ascii="Times New Roman" w:hAnsi="Times New Roman"/>
          <w:color w:val="330099"/>
          <w:sz w:val="22"/>
          <w:shd w:fill="FFFFFF" w:val="clear"/>
        </w:rPr>
        <w:t>Prenájom hnuteľných vecí</w:t>
      </w:r>
    </w:p>
    <w:p>
      <w:pPr>
        <w:pStyle w:val="Normal"/>
        <w:spacing w:lineRule="exact" w:line="240" w:before="0" w:after="160"/>
        <w:jc w:val="both"/>
        <w:rPr/>
      </w:pPr>
      <w:r>
        <w:rPr>
          <w:rFonts w:cs="Times New Roman" w:ascii="Times New Roman" w:hAnsi="Times New Roman"/>
          <w:b/>
          <w:sz w:val="22"/>
          <w:shd w:fill="FFFFFF" w:val="clear"/>
        </w:rPr>
        <w:t>I.2</w:t>
        <w:tab/>
        <w:t>Dátum schválenia účtovnej závierky za bezprostredne predchádzajúce účtovné</w:t>
      </w:r>
    </w:p>
    <w:p>
      <w:pPr>
        <w:pStyle w:val="Normal"/>
        <w:spacing w:lineRule="exact" w:line="240" w:before="0" w:after="160"/>
        <w:jc w:val="both"/>
        <w:rPr/>
      </w:pPr>
      <w:r>
        <w:rPr>
          <w:rFonts w:cs="Times New Roman" w:ascii="Times New Roman" w:hAnsi="Times New Roman"/>
          <w:b/>
          <w:sz w:val="22"/>
          <w:shd w:fill="FFFFFF" w:val="clear"/>
        </w:rPr>
        <w:t xml:space="preserve">              </w:t>
      </w:r>
      <w:r>
        <w:rPr>
          <w:rFonts w:cs="Times New Roman" w:ascii="Times New Roman" w:hAnsi="Times New Roman"/>
          <w:b/>
          <w:sz w:val="22"/>
          <w:shd w:fill="FFFFFF" w:val="clear"/>
        </w:rPr>
        <w:t>obdobie:</w:t>
      </w:r>
    </w:p>
    <w:p>
      <w:pPr>
        <w:pStyle w:val="Normal"/>
        <w:spacing w:lineRule="exact" w:line="240" w:before="0" w:after="160"/>
        <w:ind w:left="720" w:hanging="0"/>
        <w:jc w:val="both"/>
        <w:rPr>
          <w:rFonts w:ascii="Times New Roman" w:hAnsi="Times New Roman" w:cs="Times New Roman"/>
          <w:color w:val="330099"/>
          <w:sz w:val="22"/>
          <w:highlight w:val="white"/>
        </w:rPr>
      </w:pPr>
      <w:r>
        <w:rPr>
          <w:rFonts w:cs="Times New Roman" w:ascii="Times New Roman" w:hAnsi="Times New Roman"/>
          <w:color w:val="330099"/>
          <w:sz w:val="22"/>
          <w:shd w:fill="FFFFFF" w:val="clear"/>
        </w:rPr>
        <w:t>06.09.2016</w:t>
      </w:r>
    </w:p>
    <w:p>
      <w:pPr>
        <w:pStyle w:val="Normal"/>
        <w:spacing w:lineRule="exact" w:line="240" w:before="0" w:after="160"/>
        <w:ind w:left="720" w:hanging="0"/>
        <w:jc w:val="both"/>
        <w:rPr>
          <w:rFonts w:ascii="Times New Roman" w:hAnsi="Times New Roman" w:cs="Times New Roman"/>
          <w:b/>
          <w:b/>
          <w:sz w:val="22"/>
          <w:shd w:fill="FFFFFF" w:val="clear"/>
        </w:rPr>
      </w:pPr>
      <w:r>
        <w:rPr>
          <w:rFonts w:cs="Times New Roman" w:ascii="Times New Roman" w:hAnsi="Times New Roman"/>
          <w:b/>
          <w:sz w:val="22"/>
          <w:shd w:fill="FFFFFF" w:val="clear"/>
        </w:rPr>
      </w:r>
    </w:p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b/>
          <w:b/>
          <w:sz w:val="22"/>
          <w:highlight w:val="white"/>
        </w:rPr>
      </w:pPr>
      <w:r>
        <w:rPr>
          <w:rFonts w:cs="Times New Roman" w:ascii="Times New Roman" w:hAnsi="Times New Roman"/>
          <w:b/>
          <w:sz w:val="22"/>
          <w:shd w:fill="FFFFFF" w:val="clear"/>
        </w:rPr>
        <w:t>I.3</w:t>
        <w:tab/>
        <w:t>Právny dôvod na zostavenie účtovnej závierky:</w:t>
      </w:r>
    </w:p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b/>
          <w:b/>
          <w:sz w:val="22"/>
          <w:highlight w:val="white"/>
        </w:rPr>
      </w:pPr>
      <w:r>
        <w:rPr>
          <w:rFonts w:cs="Times New Roman" w:ascii="Times New Roman" w:hAnsi="Times New Roman"/>
          <w:b/>
          <w:sz w:val="22"/>
          <w:shd w:fill="FFFFFF" w:val="clear"/>
        </w:rPr>
        <w:t xml:space="preserve">             </w:t>
      </w:r>
    </w:p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b/>
          <w:b/>
          <w:sz w:val="22"/>
          <w:highlight w:val="white"/>
        </w:rPr>
      </w:pPr>
      <w:r>
        <w:rPr>
          <w:rFonts w:cs="Times New Roman" w:ascii="Times New Roman" w:hAnsi="Times New Roman"/>
          <w:b/>
          <w:sz w:val="22"/>
          <w:shd w:fill="FFFFFF" w:val="clear"/>
        </w:rPr>
        <w:t xml:space="preserve">             </w:t>
      </w:r>
      <w:r>
        <w:rPr>
          <w:rFonts w:cs="Times New Roman" w:ascii="Times New Roman" w:hAnsi="Times New Roman"/>
          <w:color w:val="330099"/>
          <w:sz w:val="22"/>
          <w:shd w:fill="FFFFFF" w:val="clear"/>
        </w:rPr>
        <w:t>riadna účtovná závierka</w:t>
      </w:r>
    </w:p>
    <w:p>
      <w:pPr>
        <w:pStyle w:val="Normal"/>
        <w:tabs>
          <w:tab w:val="left" w:pos="1604" w:leader="none"/>
          <w:tab w:val="left" w:pos="2815" w:leader="none"/>
        </w:tabs>
        <w:spacing w:lineRule="exact" w:line="240" w:before="0" w:after="160"/>
        <w:jc w:val="both"/>
        <w:rPr/>
      </w:pPr>
      <w:r>
        <w:rPr>
          <w:rFonts w:cs="Times New Roman" w:ascii="Times New Roman" w:hAnsi="Times New Roman"/>
          <w:sz w:val="22"/>
          <w:shd w:fill="FFFFFF" w:val="clear"/>
        </w:rPr>
        <w:t xml:space="preserve">            </w:t>
      </w:r>
    </w:p>
    <w:p>
      <w:pPr>
        <w:pStyle w:val="Normal"/>
        <w:tabs>
          <w:tab w:val="left" w:pos="1604" w:leader="none"/>
          <w:tab w:val="left" w:pos="2815" w:leader="none"/>
        </w:tabs>
        <w:spacing w:lineRule="exact" w:line="240" w:before="0" w:after="160"/>
        <w:ind w:left="720" w:hanging="720"/>
        <w:jc w:val="both"/>
        <w:rPr>
          <w:rFonts w:ascii="Times New Roman" w:hAnsi="Times New Roman" w:cs="Times New Roman"/>
          <w:b/>
          <w:b/>
          <w:sz w:val="22"/>
          <w:highlight w:val="white"/>
        </w:rPr>
      </w:pPr>
      <w:r>
        <w:rPr>
          <w:rFonts w:cs="Times New Roman" w:ascii="Times New Roman" w:hAnsi="Times New Roman"/>
          <w:b/>
          <w:sz w:val="22"/>
          <w:shd w:fill="FFFFFF" w:val="clear"/>
        </w:rPr>
        <w:t xml:space="preserve">I.4   </w:t>
        <w:tab/>
        <w:t>Informácie o skupine účtovných jednotiek, ak je účtovná jednotka jej súčasťou:</w:t>
      </w:r>
    </w:p>
    <w:p>
      <w:pPr>
        <w:pStyle w:val="Normal"/>
        <w:spacing w:lineRule="exact" w:line="240" w:before="0" w:after="160"/>
        <w:ind w:left="709" w:hanging="709"/>
        <w:jc w:val="both"/>
        <w:rPr>
          <w:rFonts w:ascii="Times New Roman" w:hAnsi="Times New Roman" w:cs="Times New Roman"/>
          <w:sz w:val="22"/>
          <w:highlight w:val="white"/>
        </w:rPr>
      </w:pPr>
      <w:r>
        <w:rPr>
          <w:rFonts w:cs="Times New Roman" w:ascii="Times New Roman" w:hAnsi="Times New Roman"/>
          <w:b/>
          <w:sz w:val="22"/>
          <w:shd w:fill="FFFFFF" w:val="clear"/>
        </w:rPr>
        <w:t>I.4 a)</w:t>
      </w:r>
      <w:r>
        <w:rPr>
          <w:rFonts w:cs="Times New Roman" w:ascii="Times New Roman" w:hAnsi="Times New Roman"/>
          <w:sz w:val="22"/>
          <w:shd w:fill="FFFFFF" w:val="clear"/>
        </w:rPr>
        <w:tab/>
        <w:t xml:space="preserve">Obchodné meno a sídlo účtovnej jednotky, ktorá zostavuje konsolidovanú účtovnú závierku za najväčšiu skupinu, ktorej súčasťou je účtovná jednotka ako dcérska účtovná jednotka: </w:t>
      </w:r>
    </w:p>
    <w:p>
      <w:pPr>
        <w:pStyle w:val="Normal"/>
        <w:spacing w:lineRule="exact" w:line="240" w:before="0" w:after="160"/>
        <w:jc w:val="both"/>
        <w:rPr/>
      </w:pPr>
      <w:r>
        <w:rPr>
          <w:rFonts w:cs="Times New Roman" w:ascii="Times New Roman" w:hAnsi="Times New Roman"/>
          <w:sz w:val="22"/>
          <w:shd w:fill="FFFFFF" w:val="clear"/>
        </w:rPr>
        <w:tab/>
      </w:r>
    </w:p>
    <w:p>
      <w:pPr>
        <w:pStyle w:val="Normal"/>
        <w:spacing w:lineRule="exact" w:line="240" w:before="240" w:after="160"/>
        <w:ind w:left="709" w:hanging="709"/>
        <w:jc w:val="both"/>
        <w:rPr/>
      </w:pPr>
      <w:r>
        <w:rPr>
          <w:rFonts w:cs="Times New Roman" w:ascii="Times New Roman" w:hAnsi="Times New Roman"/>
          <w:b/>
          <w:sz w:val="22"/>
          <w:shd w:fill="FFFFFF" w:val="clear"/>
        </w:rPr>
        <w:t>I.4 b)</w:t>
      </w:r>
      <w:r>
        <w:rPr>
          <w:rFonts w:cs="Times New Roman" w:ascii="Times New Roman" w:hAnsi="Times New Roman"/>
          <w:sz w:val="22"/>
          <w:shd w:fill="FFFFFF" w:val="clear"/>
        </w:rPr>
        <w:tab/>
        <w:t xml:space="preserve">Obchodné meno a sídlo účtovnej jednotky, ktorá zostavuje konsolidovanú účtovnú závierku za najmenšiu skupinu, ktorej súčasťou je účtovná jednotka ako dcérska účtovná jednotka, a ktorá je tiež začlenená do skupiny účtovných jednotiek uvedených v písmene a): </w:t>
      </w:r>
    </w:p>
    <w:p>
      <w:pPr>
        <w:pStyle w:val="Normal"/>
        <w:spacing w:lineRule="exact" w:line="240" w:before="240" w:after="160"/>
        <w:ind w:left="709" w:hanging="709"/>
        <w:jc w:val="both"/>
        <w:rPr>
          <w:rFonts w:ascii="Times New Roman" w:hAnsi="Times New Roman" w:cs="Times New Roman"/>
          <w:sz w:val="22"/>
          <w:highlight w:val="white"/>
        </w:rPr>
      </w:pPr>
      <w:r>
        <w:rPr>
          <w:rFonts w:cs="Times New Roman" w:ascii="Times New Roman" w:hAnsi="Times New Roman"/>
          <w:b/>
          <w:sz w:val="22"/>
          <w:shd w:fill="FFFFFF" w:val="clear"/>
        </w:rPr>
        <w:t>I.4 c)</w:t>
      </w:r>
      <w:r>
        <w:rPr>
          <w:rFonts w:cs="Times New Roman" w:ascii="Times New Roman" w:hAnsi="Times New Roman"/>
          <w:sz w:val="22"/>
          <w:shd w:fill="FFFFFF" w:val="clear"/>
        </w:rPr>
        <w:tab/>
        <w:t xml:space="preserve">Sídlo konsolidujúcej účtovnej jednotky, v ktorej je možné získať kópie konsolidovaných účtovných závierok uvedených v písmenách a) a b): </w:t>
      </w:r>
    </w:p>
    <w:p>
      <w:pPr>
        <w:pStyle w:val="Normal"/>
        <w:spacing w:lineRule="exact" w:line="240" w:before="0" w:after="160"/>
        <w:jc w:val="both"/>
        <w:rPr/>
      </w:pPr>
      <w:r>
        <w:rPr>
          <w:rFonts w:cs="Times New Roman" w:ascii="Times New Roman" w:hAnsi="Times New Roman"/>
          <w:sz w:val="22"/>
          <w:shd w:fill="FFFFFF" w:val="clear"/>
        </w:rPr>
        <w:tab/>
      </w:r>
    </w:p>
    <w:p>
      <w:pPr>
        <w:pStyle w:val="Normal"/>
        <w:spacing w:lineRule="exact" w:line="240" w:before="240" w:after="160"/>
        <w:ind w:left="709" w:hanging="709"/>
        <w:jc w:val="both"/>
        <w:rPr>
          <w:rFonts w:ascii="Times New Roman" w:hAnsi="Times New Roman" w:cs="Times New Roman"/>
          <w:sz w:val="22"/>
          <w:highlight w:val="white"/>
        </w:rPr>
      </w:pPr>
      <w:r>
        <w:rPr>
          <w:rFonts w:cs="Times New Roman" w:ascii="Times New Roman" w:hAnsi="Times New Roman"/>
          <w:b/>
          <w:sz w:val="22"/>
          <w:shd w:fill="FFFFFF" w:val="clear"/>
        </w:rPr>
        <w:t>I.4 d)</w:t>
      </w:r>
      <w:r>
        <w:rPr>
          <w:rFonts w:cs="Times New Roman" w:ascii="Times New Roman" w:hAnsi="Times New Roman"/>
          <w:sz w:val="22"/>
          <w:shd w:fill="FFFFFF" w:val="clear"/>
        </w:rPr>
        <w:tab/>
        <w:t>Oslobodenie materskej účtovnej jednotky od povinnosti zostavenia konsolidovanej účtovnej závierky a konsolidovanej výročnej správy</w:t>
      </w:r>
    </w:p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sz w:val="22"/>
          <w:highlight w:val="white"/>
        </w:rPr>
      </w:pPr>
      <w:r>
        <w:rPr>
          <w:rFonts w:cs="Times New Roman" w:ascii="Times New Roman" w:hAnsi="Times New Roman"/>
          <w:b/>
          <w:sz w:val="22"/>
          <w:shd w:fill="FFFFFF" w:val="clear"/>
        </w:rPr>
        <w:tab/>
      </w:r>
      <w:r>
        <w:rPr>
          <w:rFonts w:cs="Times New Roman" w:ascii="Times New Roman" w:hAnsi="Times New Roman"/>
          <w:sz w:val="22"/>
          <w:shd w:fill="FFFFFF" w:val="clear"/>
        </w:rPr>
        <w:t>V zmysle § 22 ods. 8 ZoÚ (oslobodenie od konsolidácie na medzistupni):</w:t>
      </w:r>
    </w:p>
    <w:p>
      <w:pPr>
        <w:pStyle w:val="Normal"/>
        <w:spacing w:lineRule="exact" w:line="240" w:before="0" w:after="160"/>
        <w:ind w:left="709" w:hanging="0"/>
        <w:jc w:val="both"/>
        <w:rPr>
          <w:rFonts w:ascii="Times New Roman" w:hAnsi="Times New Roman" w:cs="Times New Roman"/>
          <w:sz w:val="22"/>
          <w:highlight w:val="white"/>
        </w:rPr>
      </w:pPr>
      <w:r>
        <w:rPr>
          <w:rFonts w:cs="Times New Roman" w:ascii="Times New Roman" w:hAnsi="Times New Roman"/>
          <w:sz w:val="22"/>
          <w:shd w:fill="FFFFFF" w:val="clear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sz w:val="22"/>
          <w:highlight w:val="white"/>
        </w:rPr>
      </w:pPr>
      <w:r>
        <w:rPr>
          <w:rFonts w:cs="Times New Roman" w:ascii="Times New Roman" w:hAnsi="Times New Roman"/>
          <w:sz w:val="22"/>
          <w:shd w:fill="FFFFFF" w:val="clear"/>
        </w:rPr>
        <w:t xml:space="preserve">                  </w:t>
      </w:r>
    </w:p>
    <w:p>
      <w:pPr>
        <w:pStyle w:val="Normal"/>
        <w:spacing w:lineRule="exact" w:line="240" w:before="0" w:after="160"/>
        <w:ind w:left="709" w:hanging="709"/>
        <w:jc w:val="both"/>
        <w:rPr>
          <w:rFonts w:ascii="Times New Roman" w:hAnsi="Times New Roman" w:cs="Times New Roman"/>
          <w:sz w:val="22"/>
          <w:highlight w:val="white"/>
        </w:rPr>
      </w:pPr>
      <w:r>
        <w:rPr>
          <w:rFonts w:cs="Times New Roman" w:ascii="Times New Roman" w:hAnsi="Times New Roman"/>
          <w:sz w:val="22"/>
          <w:shd w:fill="FFFFFF" w:val="clear"/>
        </w:rPr>
        <w:tab/>
        <w:t>V zmysle § 22 ods. 10 a 12  ZoÚ (oslobodenie pri nevýznamnosti dcérskych spoločností):</w:t>
      </w:r>
    </w:p>
    <w:tbl>
      <w:tblPr>
        <w:tblW w:w="9333" w:type="dxa"/>
        <w:jc w:val="left"/>
        <w:tblInd w:w="-110" w:type="dxa"/>
        <w:tblBorders>
          <w:top w:val="single" w:sz="18" w:space="0" w:color="000001"/>
          <w:left w:val="single" w:sz="18" w:space="0" w:color="000001"/>
          <w:bottom w:val="single" w:sz="18" w:space="0" w:color="000001"/>
          <w:right w:val="single" w:sz="12" w:space="0" w:color="000001"/>
          <w:insideH w:val="single" w:sz="18" w:space="0" w:color="000001"/>
          <w:insideV w:val="single" w:sz="12" w:space="0" w:color="000001"/>
        </w:tblBorders>
        <w:tblCellMar>
          <w:top w:w="0" w:type="dxa"/>
          <w:left w:w="-22" w:type="dxa"/>
          <w:bottom w:w="0" w:type="dxa"/>
          <w:right w:w="108" w:type="dxa"/>
        </w:tblCellMar>
        <w:tblLook w:val="0000"/>
      </w:tblPr>
      <w:tblGrid>
        <w:gridCol w:w="5105"/>
        <w:gridCol w:w="4227"/>
      </w:tblGrid>
      <w:tr>
        <w:trPr>
          <w:trHeight w:val="1" w:hRule="atLeast"/>
        </w:trPr>
        <w:tc>
          <w:tcPr>
            <w:tcW w:w="5105" w:type="dxa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000000" w:fill="FFFFFF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Obchodné meno dcérskej spoločnosti</w:t>
            </w:r>
          </w:p>
        </w:tc>
        <w:tc>
          <w:tcPr>
            <w:tcW w:w="4227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000000" w:fill="FFFFFF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Sídlo dcérskej spoločnosti</w:t>
            </w:r>
          </w:p>
        </w:tc>
      </w:tr>
      <w:tr>
        <w:trPr>
          <w:trHeight w:val="454" w:hRule="atLeast"/>
        </w:trPr>
        <w:tc>
          <w:tcPr>
            <w:tcW w:w="5105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-22" w:type="dxa"/>
            </w:tcMar>
          </w:tcPr>
          <w:p>
            <w:pPr>
              <w:pStyle w:val="Normal"/>
              <w:spacing w:lineRule="exact" w:line="240"/>
              <w:jc w:val="both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422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color="000000" w:fill="FFFFFF" w:val="clear"/>
            <w:tcMar>
              <w:left w:w="18" w:type="dxa"/>
            </w:tcMar>
          </w:tcPr>
          <w:p>
            <w:pPr>
              <w:pStyle w:val="Normal"/>
              <w:spacing w:lineRule="exact" w:line="240"/>
              <w:jc w:val="both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</w:tr>
      <w:tr>
        <w:trPr>
          <w:trHeight w:val="454" w:hRule="atLeast"/>
        </w:trPr>
        <w:tc>
          <w:tcPr>
            <w:tcW w:w="5105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-22" w:type="dxa"/>
            </w:tcMar>
          </w:tcPr>
          <w:p>
            <w:pPr>
              <w:pStyle w:val="Normal"/>
              <w:spacing w:lineRule="exact" w:line="240"/>
              <w:jc w:val="both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422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color="000000" w:fill="FFFFFF" w:val="clear"/>
            <w:tcMar>
              <w:left w:w="18" w:type="dxa"/>
            </w:tcMar>
          </w:tcPr>
          <w:p>
            <w:pPr>
              <w:pStyle w:val="Normal"/>
              <w:spacing w:lineRule="exact" w:line="240"/>
              <w:jc w:val="both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</w:tr>
      <w:tr>
        <w:trPr>
          <w:trHeight w:val="454" w:hRule="atLeast"/>
        </w:trPr>
        <w:tc>
          <w:tcPr>
            <w:tcW w:w="5105" w:type="dxa"/>
            <w:tcBorders>
              <w:top w:val="single" w:sz="4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000000" w:fill="FFFFFF" w:val="clear"/>
            <w:tcMar>
              <w:left w:w="-22" w:type="dxa"/>
            </w:tcMar>
          </w:tcPr>
          <w:p>
            <w:pPr>
              <w:pStyle w:val="Normal"/>
              <w:spacing w:lineRule="exact" w:line="240"/>
              <w:jc w:val="both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4227" w:type="dxa"/>
            <w:tcBorders>
              <w:top w:val="single" w:sz="4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000000" w:fill="FFFFFF" w:val="clear"/>
            <w:tcMar>
              <w:left w:w="18" w:type="dxa"/>
            </w:tcMar>
          </w:tcPr>
          <w:p>
            <w:pPr>
              <w:pStyle w:val="Normal"/>
              <w:spacing w:lineRule="exact" w:line="240"/>
              <w:jc w:val="both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</w:tr>
    </w:tbl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sz w:val="22"/>
          <w:shd w:fill="FFFFFF" w:val="clear"/>
        </w:rPr>
      </w:pPr>
      <w:r>
        <w:rPr>
          <w:rFonts w:cs="Times New Roman" w:ascii="Times New Roman" w:hAnsi="Times New Roman"/>
          <w:sz w:val="22"/>
          <w:shd w:fill="FFFFFF" w:val="clear"/>
        </w:rPr>
      </w:r>
    </w:p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b/>
          <w:b/>
          <w:sz w:val="22"/>
          <w:highlight w:val="white"/>
        </w:rPr>
      </w:pPr>
      <w:r>
        <w:rPr/>
      </w:r>
    </w:p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b/>
          <w:b/>
          <w:sz w:val="22"/>
          <w:highlight w:val="white"/>
        </w:rPr>
      </w:pPr>
      <w:r>
        <w:rPr>
          <w:rFonts w:cs="Times New Roman" w:ascii="Times New Roman" w:hAnsi="Times New Roman"/>
          <w:b/>
          <w:sz w:val="22"/>
          <w:shd w:fill="FFFFFF" w:val="clear"/>
        </w:rPr>
        <w:t xml:space="preserve">I.5 </w:t>
        <w:tab/>
        <w:t>Informácie o počte zamestnancov:</w:t>
      </w:r>
    </w:p>
    <w:tbl>
      <w:tblPr>
        <w:tblW w:w="9324" w:type="dxa"/>
        <w:jc w:val="left"/>
        <w:tblInd w:w="-110" w:type="dxa"/>
        <w:tblBorders>
          <w:top w:val="single" w:sz="18" w:space="0" w:color="000001"/>
          <w:left w:val="single" w:sz="18" w:space="0" w:color="000001"/>
          <w:bottom w:val="single" w:sz="18" w:space="0" w:color="000001"/>
          <w:right w:val="single" w:sz="12" w:space="0" w:color="000001"/>
          <w:insideH w:val="single" w:sz="18" w:space="0" w:color="000001"/>
          <w:insideV w:val="single" w:sz="12" w:space="0" w:color="000001"/>
        </w:tblBorders>
        <w:tblCellMar>
          <w:top w:w="0" w:type="dxa"/>
          <w:left w:w="-22" w:type="dxa"/>
          <w:bottom w:w="0" w:type="dxa"/>
          <w:right w:w="108" w:type="dxa"/>
        </w:tblCellMar>
        <w:tblLook w:val="0000"/>
      </w:tblPr>
      <w:tblGrid>
        <w:gridCol w:w="4124"/>
        <w:gridCol w:w="2412"/>
        <w:gridCol w:w="2788"/>
      </w:tblGrid>
      <w:tr>
        <w:trPr>
          <w:trHeight w:val="1" w:hRule="atLeast"/>
        </w:trPr>
        <w:tc>
          <w:tcPr>
            <w:tcW w:w="4124" w:type="dxa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000000" w:fill="FFFFFF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Názov položky</w:t>
            </w:r>
          </w:p>
        </w:tc>
        <w:tc>
          <w:tcPr>
            <w:tcW w:w="2412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000000" w:fill="FFFFFF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000000" w:fill="FFFFFF" w:val="clear"/>
            <w:tcMar>
              <w:left w:w="18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Bezprostredne predchádzajúce účtovné obdobie</w:t>
            </w:r>
          </w:p>
        </w:tc>
      </w:tr>
      <w:tr>
        <w:trPr>
          <w:trHeight w:val="454" w:hRule="atLeast"/>
        </w:trPr>
        <w:tc>
          <w:tcPr>
            <w:tcW w:w="4124" w:type="dxa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000000" w:fill="FFFFFF" w:val="clear"/>
            <w:tcMar>
              <w:left w:w="-22" w:type="dxa"/>
            </w:tcMar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sz w:val="22"/>
                <w:shd w:fill="FFFFFF" w:val="clear"/>
              </w:rPr>
              <w:t>Priemerný prepočítaný počet zamestnancov počas účtovného obdobia</w:t>
            </w:r>
          </w:p>
        </w:tc>
        <w:tc>
          <w:tcPr>
            <w:tcW w:w="2412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000000" w:fill="FFFFFF" w:val="clear"/>
            <w:tcMar>
              <w:left w:w="18" w:type="dxa"/>
            </w:tcMar>
          </w:tcPr>
          <w:p>
            <w:pPr>
              <w:pStyle w:val="Normal"/>
              <w:spacing w:lineRule="exact" w:line="240"/>
              <w:jc w:val="center"/>
              <w:rPr>
                <w:rFonts w:ascii="Calibri" w:hAnsi="Calibri" w:eastAsia="Times New Roman" w:cs="Calibri"/>
                <w:color w:val="330099"/>
                <w:sz w:val="22"/>
                <w:highlight w:val="yellow"/>
              </w:rPr>
            </w:pPr>
            <w:r>
              <w:rPr>
                <w:rFonts w:eastAsia="Times New Roman" w:cs="Calibri" w:ascii="Calibri" w:hAnsi="Calibri"/>
                <w:color w:val="330099"/>
                <w:sz w:val="22"/>
              </w:rPr>
              <w:t>12</w:t>
            </w:r>
          </w:p>
        </w:tc>
        <w:tc>
          <w:tcPr>
            <w:tcW w:w="2788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000000" w:fill="FFFFFF" w:val="clear"/>
            <w:tcMar>
              <w:left w:w="18" w:type="dxa"/>
            </w:tcMar>
          </w:tcPr>
          <w:p>
            <w:pPr>
              <w:pStyle w:val="Normal"/>
              <w:spacing w:lineRule="exact" w:line="240"/>
              <w:jc w:val="center"/>
              <w:rPr>
                <w:rFonts w:ascii="Calibri" w:hAnsi="Calibri" w:eastAsia="Times New Roman" w:cs="Calibri"/>
                <w:color w:val="330099"/>
                <w:sz w:val="22"/>
                <w:highlight w:val="yellow"/>
              </w:rPr>
            </w:pPr>
            <w:r>
              <w:rPr>
                <w:rFonts w:eastAsia="Times New Roman" w:cs="Calibri" w:ascii="Calibri" w:hAnsi="Calibri"/>
                <w:color w:val="330099"/>
                <w:sz w:val="22"/>
              </w:rPr>
              <w:t>12</w:t>
            </w:r>
          </w:p>
        </w:tc>
      </w:tr>
    </w:tbl>
    <w:p>
      <w:pPr>
        <w:pStyle w:val="Normal"/>
        <w:spacing w:lineRule="exact" w:line="240" w:before="0" w:after="160"/>
        <w:rPr>
          <w:rFonts w:ascii="Times New Roman" w:hAnsi="Times New Roman" w:cs="Times New Roman"/>
          <w:b/>
          <w:b/>
          <w:color w:val="5B9BD5"/>
          <w:sz w:val="22"/>
          <w:highlight w:val="white"/>
        </w:rPr>
      </w:pPr>
      <w:r>
        <w:rPr>
          <w:rFonts w:cs="Times New Roman" w:ascii="Times New Roman" w:hAnsi="Times New Roman"/>
          <w:b/>
          <w:color w:val="5B9BD5"/>
          <w:sz w:val="22"/>
          <w:highlight w:val="white"/>
        </w:rPr>
      </w:r>
    </w:p>
    <w:p>
      <w:pPr>
        <w:pStyle w:val="Normal"/>
        <w:spacing w:lineRule="exact" w:line="240" w:before="0" w:after="160"/>
        <w:rPr>
          <w:rFonts w:ascii="Times New Roman" w:hAnsi="Times New Roman" w:cs="Times New Roman"/>
          <w:b/>
          <w:b/>
          <w:color w:val="5B9BD5"/>
          <w:sz w:val="22"/>
          <w:highlight w:val="white"/>
        </w:rPr>
      </w:pPr>
      <w:r>
        <w:rPr>
          <w:rFonts w:cs="Times New Roman" w:ascii="Times New Roman" w:hAnsi="Times New Roman"/>
          <w:b/>
          <w:color w:val="5B9BD5"/>
          <w:sz w:val="22"/>
          <w:highlight w:val="white"/>
        </w:rPr>
      </w:r>
    </w:p>
    <w:p>
      <w:pPr>
        <w:pStyle w:val="Normal"/>
        <w:spacing w:lineRule="exact" w:line="240" w:before="0" w:after="160"/>
        <w:rPr/>
      </w:pPr>
      <w:r>
        <w:rPr>
          <w:rFonts w:cs="Times New Roman" w:ascii="Times New Roman" w:hAnsi="Times New Roman"/>
          <w:b/>
          <w:color w:val="5B9BD5"/>
          <w:sz w:val="22"/>
          <w:shd w:fill="FFFFFF" w:val="clear"/>
        </w:rPr>
        <w:t>Čl. II</w:t>
        <w:tab/>
        <w:t>Informácie o orgánoch spoločnosti</w:t>
      </w:r>
    </w:p>
    <w:p>
      <w:pPr>
        <w:pStyle w:val="Normal"/>
        <w:spacing w:lineRule="exact" w:line="240" w:before="0" w:after="160"/>
        <w:rPr>
          <w:rFonts w:ascii="Times New Roman" w:hAnsi="Times New Roman" w:cs="Times New Roman"/>
          <w:b/>
          <w:b/>
          <w:color w:val="5B9BD5"/>
          <w:sz w:val="22"/>
          <w:highlight w:val="white"/>
        </w:rPr>
      </w:pPr>
      <w:r>
        <w:rPr>
          <w:rFonts w:cs="Times New Roman" w:ascii="Times New Roman" w:hAnsi="Times New Roman"/>
          <w:b/>
          <w:color w:val="5B9BD5"/>
          <w:sz w:val="22"/>
          <w:highlight w:val="white"/>
        </w:rPr>
      </w:r>
    </w:p>
    <w:p>
      <w:pPr>
        <w:pStyle w:val="Normal"/>
        <w:spacing w:lineRule="exact" w:line="240"/>
        <w:jc w:val="both"/>
        <w:rPr>
          <w:rFonts w:ascii="Times New Roman" w:hAnsi="Times New Roman" w:cs="Times New Roman"/>
          <w:b/>
          <w:b/>
          <w:sz w:val="22"/>
          <w:highlight w:val="white"/>
        </w:rPr>
      </w:pPr>
      <w:r>
        <w:rPr>
          <w:rFonts w:cs="Times New Roman" w:ascii="Times New Roman" w:hAnsi="Times New Roman"/>
          <w:b/>
          <w:sz w:val="22"/>
          <w:shd w:fill="FFFFFF" w:val="clear"/>
        </w:rPr>
        <w:t>II.</w:t>
        <w:tab/>
        <w:t>Informácie o orgánoch účtovnej jednotky</w:t>
      </w:r>
    </w:p>
    <w:p>
      <w:pPr>
        <w:pStyle w:val="Normal"/>
        <w:spacing w:lineRule="exact" w:line="240" w:before="0" w:after="160"/>
        <w:rPr>
          <w:rFonts w:ascii="Times New Roman" w:hAnsi="Times New Roman" w:cs="Times New Roman"/>
          <w:b/>
          <w:b/>
          <w:sz w:val="22"/>
          <w:highlight w:val="white"/>
        </w:rPr>
      </w:pPr>
      <w:r>
        <w:rPr>
          <w:rFonts w:cs="Times New Roman" w:ascii="Times New Roman" w:hAnsi="Times New Roman"/>
          <w:b/>
          <w:sz w:val="22"/>
          <w:shd w:fill="FFFFFF" w:val="clear"/>
        </w:rPr>
        <w:t xml:space="preserve">a) - d) </w:t>
      </w:r>
    </w:p>
    <w:tbl>
      <w:tblPr>
        <w:tblW w:w="9235" w:type="dxa"/>
        <w:jc w:val="left"/>
        <w:tblInd w:w="-148" w:type="dxa"/>
        <w:tblBorders>
          <w:top w:val="single" w:sz="18" w:space="0" w:color="000001"/>
          <w:left w:val="single" w:sz="18" w:space="0" w:color="000001"/>
          <w:bottom w:val="single" w:sz="12" w:space="0" w:color="000001"/>
          <w:right w:val="single" w:sz="12" w:space="0" w:color="000001"/>
          <w:insideH w:val="single" w:sz="12" w:space="0" w:color="000001"/>
          <w:insideV w:val="single" w:sz="12" w:space="0" w:color="000001"/>
        </w:tblBorders>
        <w:tblCellMar>
          <w:top w:w="0" w:type="dxa"/>
          <w:left w:w="-22" w:type="dxa"/>
          <w:bottom w:w="0" w:type="dxa"/>
          <w:right w:w="70" w:type="dxa"/>
        </w:tblCellMar>
        <w:tblLook w:val="0000"/>
      </w:tblPr>
      <w:tblGrid>
        <w:gridCol w:w="2692"/>
        <w:gridCol w:w="1416"/>
        <w:gridCol w:w="1134"/>
        <w:gridCol w:w="709"/>
        <w:gridCol w:w="1"/>
        <w:gridCol w:w="1420"/>
        <w:gridCol w:w="1134"/>
        <w:gridCol w:w="728"/>
      </w:tblGrid>
      <w:tr>
        <w:trPr>
          <w:trHeight w:val="300" w:hRule="atLeast"/>
        </w:trPr>
        <w:tc>
          <w:tcPr>
            <w:tcW w:w="2692" w:type="dxa"/>
            <w:vMerge w:val="restart"/>
            <w:tcBorders>
              <w:top w:val="single" w:sz="18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Druh príjmu, výhody</w:t>
            </w:r>
          </w:p>
        </w:tc>
        <w:tc>
          <w:tcPr>
            <w:tcW w:w="3259" w:type="dxa"/>
            <w:gridSpan w:val="3"/>
            <w:tcBorders>
              <w:top w:val="single" w:sz="1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Hodnota príjmu, výhody súčasných členov orgánov</w:t>
            </w:r>
          </w:p>
        </w:tc>
        <w:tc>
          <w:tcPr>
            <w:tcW w:w="3283" w:type="dxa"/>
            <w:gridSpan w:val="4"/>
            <w:tcBorders>
              <w:top w:val="single" w:sz="18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Hodnota príjmu, výhody bývalých členov orgánov</w:t>
            </w:r>
          </w:p>
        </w:tc>
      </w:tr>
      <w:tr>
        <w:trPr>
          <w:trHeight w:val="285" w:hRule="atLeast"/>
        </w:trPr>
        <w:tc>
          <w:tcPr>
            <w:tcW w:w="2692" w:type="dxa"/>
            <w:vMerge w:val="continue"/>
            <w:tcBorders>
              <w:top w:val="single" w:sz="12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76" w:before="0" w:after="20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41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  <w:insideH w:val="single" w:sz="4" w:space="0" w:color="000001"/>
              <w:insideV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štatutárneho</w:t>
            </w:r>
          </w:p>
        </w:tc>
        <w:tc>
          <w:tcPr>
            <w:tcW w:w="1134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6" w:space="0" w:color="000001"/>
              <w:insideH w:val="single" w:sz="4" w:space="0" w:color="000001"/>
              <w:insideV w:val="single" w:sz="6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dozorného</w:t>
            </w:r>
          </w:p>
        </w:tc>
        <w:tc>
          <w:tcPr>
            <w:tcW w:w="710" w:type="dxa"/>
            <w:gridSpan w:val="2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iného</w:t>
            </w:r>
          </w:p>
        </w:tc>
        <w:tc>
          <w:tcPr>
            <w:tcW w:w="142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  <w:insideH w:val="single" w:sz="4" w:space="0" w:color="000001"/>
              <w:insideV w:val="single" w:sz="6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štatutárneho</w:t>
            </w:r>
          </w:p>
        </w:tc>
        <w:tc>
          <w:tcPr>
            <w:tcW w:w="1134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6" w:space="0" w:color="000001"/>
              <w:insideH w:val="single" w:sz="4" w:space="0" w:color="000001"/>
              <w:insideV w:val="single" w:sz="6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dozorného</w:t>
            </w:r>
          </w:p>
        </w:tc>
        <w:tc>
          <w:tcPr>
            <w:tcW w:w="72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iného</w:t>
            </w:r>
          </w:p>
        </w:tc>
      </w:tr>
      <w:tr>
        <w:trPr>
          <w:trHeight w:val="285" w:hRule="atLeast"/>
        </w:trPr>
        <w:tc>
          <w:tcPr>
            <w:tcW w:w="2692" w:type="dxa"/>
            <w:vMerge w:val="continue"/>
            <w:tcBorders>
              <w:top w:val="single" w:sz="12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76" w:before="0" w:after="20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3259" w:type="dxa"/>
            <w:gridSpan w:val="3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sz w:val="22"/>
                <w:shd w:fill="FFFFFF" w:val="clear"/>
              </w:rPr>
              <w:t xml:space="preserve"> </w:t>
            </w:r>
            <w:r>
              <w:rPr>
                <w:rFonts w:cs="Times New Roman" w:ascii="Times New Roman" w:hAnsi="Times New Roman"/>
                <w:sz w:val="22"/>
                <w:shd w:fill="FFFFFF" w:val="clear"/>
              </w:rPr>
              <w:t>Časť 1 - BO</w:t>
            </w:r>
          </w:p>
        </w:tc>
        <w:tc>
          <w:tcPr>
            <w:tcW w:w="3283" w:type="dxa"/>
            <w:gridSpan w:val="4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sz w:val="22"/>
                <w:shd w:fill="FFFFFF" w:val="clear"/>
              </w:rPr>
              <w:t>Časť 1 - BO</w:t>
            </w:r>
          </w:p>
        </w:tc>
      </w:tr>
      <w:tr>
        <w:trPr>
          <w:trHeight w:val="300" w:hRule="atLeast"/>
        </w:trPr>
        <w:tc>
          <w:tcPr>
            <w:tcW w:w="2692" w:type="dxa"/>
            <w:vMerge w:val="continue"/>
            <w:tcBorders>
              <w:top w:val="single" w:sz="12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000000" w:fill="FFFFFF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76" w:before="0" w:after="20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3259" w:type="dxa"/>
            <w:gridSpan w:val="3"/>
            <w:tcBorders>
              <w:top w:val="single" w:sz="6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sz w:val="22"/>
                <w:shd w:fill="FFFFFF" w:val="clear"/>
              </w:rPr>
              <w:t>Časť 2 - PO</w:t>
            </w:r>
          </w:p>
        </w:tc>
        <w:tc>
          <w:tcPr>
            <w:tcW w:w="3283" w:type="dxa"/>
            <w:gridSpan w:val="4"/>
            <w:tcBorders>
              <w:top w:val="single" w:sz="6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sz w:val="22"/>
                <w:shd w:fill="FFFFFF" w:val="clear"/>
              </w:rPr>
              <w:t>Časť 2 - PO</w:t>
            </w:r>
          </w:p>
        </w:tc>
      </w:tr>
      <w:tr>
        <w:trPr>
          <w:trHeight w:val="315" w:hRule="atLeast"/>
        </w:trPr>
        <w:tc>
          <w:tcPr>
            <w:tcW w:w="2692" w:type="dxa"/>
            <w:vMerge w:val="restart"/>
            <w:tcBorders>
              <w:top w:val="single" w:sz="1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Záruky</w:t>
            </w:r>
          </w:p>
        </w:tc>
        <w:tc>
          <w:tcPr>
            <w:tcW w:w="1416" w:type="dxa"/>
            <w:tcBorders>
              <w:top w:val="single" w:sz="18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  <w:tc>
          <w:tcPr>
            <w:tcW w:w="1134" w:type="dxa"/>
            <w:tcBorders>
              <w:top w:val="single" w:sz="18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22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  <w:tc>
          <w:tcPr>
            <w:tcW w:w="710" w:type="dxa"/>
            <w:gridSpan w:val="2"/>
            <w:tcBorders>
              <w:top w:val="single" w:sz="18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22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  <w:tc>
          <w:tcPr>
            <w:tcW w:w="1420" w:type="dxa"/>
            <w:tcBorders>
              <w:top w:val="single" w:sz="18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  <w:tc>
          <w:tcPr>
            <w:tcW w:w="1134" w:type="dxa"/>
            <w:tcBorders>
              <w:top w:val="single" w:sz="18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22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  <w:tc>
          <w:tcPr>
            <w:tcW w:w="728" w:type="dxa"/>
            <w:tcBorders>
              <w:top w:val="single" w:sz="18" w:space="0" w:color="000001"/>
              <w:left w:val="single" w:sz="6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22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2692" w:type="dxa"/>
            <w:vMerge w:val="continue"/>
            <w:tcBorders>
              <w:top w:val="single" w:sz="6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76" w:before="0" w:after="20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4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  <w:insideH w:val="single" w:sz="12" w:space="0" w:color="000001"/>
              <w:insideV w:val="single" w:sz="4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  <w:tc>
          <w:tcPr>
            <w:tcW w:w="113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4" w:space="0" w:color="000001"/>
              <w:insideH w:val="single" w:sz="12" w:space="0" w:color="000001"/>
              <w:insideV w:val="single" w:sz="4" w:space="0" w:color="000001"/>
            </w:tcBorders>
            <w:shd w:fill="auto" w:val="clear"/>
            <w:tcMar>
              <w:left w:w="22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  <w:tc>
          <w:tcPr>
            <w:tcW w:w="71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22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  <w:tc>
          <w:tcPr>
            <w:tcW w:w="142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  <w:insideH w:val="single" w:sz="12" w:space="0" w:color="000001"/>
              <w:insideV w:val="single" w:sz="4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  <w:tc>
          <w:tcPr>
            <w:tcW w:w="113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4" w:space="0" w:color="000001"/>
              <w:insideH w:val="single" w:sz="12" w:space="0" w:color="000001"/>
              <w:insideV w:val="single" w:sz="4" w:space="0" w:color="000001"/>
            </w:tcBorders>
            <w:shd w:fill="auto" w:val="clear"/>
            <w:tcMar>
              <w:left w:w="22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  <w:tc>
          <w:tcPr>
            <w:tcW w:w="72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fill="auto" w:val="clear"/>
            <w:tcMar>
              <w:left w:w="22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2692" w:type="dxa"/>
            <w:vMerge w:val="restart"/>
            <w:tcBorders>
              <w:top w:val="single" w:sz="12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Iné zabezpečenie</w:t>
            </w:r>
          </w:p>
        </w:tc>
        <w:tc>
          <w:tcPr>
            <w:tcW w:w="141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22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  <w:tc>
          <w:tcPr>
            <w:tcW w:w="710" w:type="dxa"/>
            <w:gridSpan w:val="2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22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  <w:tc>
          <w:tcPr>
            <w:tcW w:w="142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22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  <w:tc>
          <w:tcPr>
            <w:tcW w:w="728" w:type="dxa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22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2692" w:type="dxa"/>
            <w:vMerge w:val="continue"/>
            <w:tcBorders>
              <w:top w:val="single" w:sz="6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76" w:before="0" w:after="20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4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  <w:insideH w:val="single" w:sz="12" w:space="0" w:color="000001"/>
              <w:insideV w:val="single" w:sz="4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  <w:tc>
          <w:tcPr>
            <w:tcW w:w="113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4" w:space="0" w:color="000001"/>
              <w:insideH w:val="single" w:sz="12" w:space="0" w:color="000001"/>
              <w:insideV w:val="single" w:sz="4" w:space="0" w:color="000001"/>
            </w:tcBorders>
            <w:shd w:fill="auto" w:val="clear"/>
            <w:tcMar>
              <w:left w:w="22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  <w:tc>
          <w:tcPr>
            <w:tcW w:w="71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22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  <w:tc>
          <w:tcPr>
            <w:tcW w:w="142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  <w:insideH w:val="single" w:sz="12" w:space="0" w:color="000001"/>
              <w:insideV w:val="single" w:sz="4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rFonts w:ascii="Calibri" w:hAnsi="Calibri" w:eastAsia="Times New Roman" w:cs="Calibri"/>
                <w:color w:val="330099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color w:val="330099"/>
                <w:sz w:val="22"/>
                <w:shd w:fill="FFFFFF" w:val="clear"/>
              </w:rPr>
            </w:r>
          </w:p>
        </w:tc>
        <w:tc>
          <w:tcPr>
            <w:tcW w:w="113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4" w:space="0" w:color="000001"/>
              <w:insideH w:val="single" w:sz="12" w:space="0" w:color="000001"/>
              <w:insideV w:val="single" w:sz="4" w:space="0" w:color="000001"/>
            </w:tcBorders>
            <w:shd w:fill="auto" w:val="clear"/>
            <w:tcMar>
              <w:left w:w="22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  <w:tc>
          <w:tcPr>
            <w:tcW w:w="72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fill="auto" w:val="clear"/>
            <w:tcMar>
              <w:left w:w="22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</w:tr>
      <w:tr>
        <w:trPr>
          <w:trHeight w:val="270" w:hRule="atLeast"/>
        </w:trPr>
        <w:tc>
          <w:tcPr>
            <w:tcW w:w="2692" w:type="dxa"/>
            <w:vMerge w:val="restart"/>
            <w:tcBorders>
              <w:top w:val="single" w:sz="12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Poskytnuté pôžičky k poslednému dňu účtovného obdobia</w:t>
            </w:r>
          </w:p>
        </w:tc>
        <w:tc>
          <w:tcPr>
            <w:tcW w:w="141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22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  <w:tc>
          <w:tcPr>
            <w:tcW w:w="710" w:type="dxa"/>
            <w:gridSpan w:val="2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22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  <w:tc>
          <w:tcPr>
            <w:tcW w:w="142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22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  <w:tc>
          <w:tcPr>
            <w:tcW w:w="728" w:type="dxa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22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2692" w:type="dxa"/>
            <w:vMerge w:val="continue"/>
            <w:tcBorders>
              <w:top w:val="single" w:sz="6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76" w:before="0" w:after="20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4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  <w:insideH w:val="single" w:sz="12" w:space="0" w:color="000001"/>
              <w:insideV w:val="single" w:sz="4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  <w:tc>
          <w:tcPr>
            <w:tcW w:w="113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4" w:space="0" w:color="000001"/>
              <w:insideH w:val="single" w:sz="12" w:space="0" w:color="000001"/>
              <w:insideV w:val="single" w:sz="4" w:space="0" w:color="000001"/>
            </w:tcBorders>
            <w:shd w:fill="auto" w:val="clear"/>
            <w:tcMar>
              <w:left w:w="22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  <w:tc>
          <w:tcPr>
            <w:tcW w:w="71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22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rFonts w:ascii="Calibri" w:hAnsi="Calibri" w:eastAsia="Times New Roman" w:cs="Calibri"/>
                <w:color w:val="330099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color w:val="330099"/>
                <w:sz w:val="22"/>
                <w:shd w:fill="FFFFFF" w:val="clear"/>
              </w:rPr>
            </w:r>
          </w:p>
        </w:tc>
        <w:tc>
          <w:tcPr>
            <w:tcW w:w="142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  <w:insideH w:val="single" w:sz="12" w:space="0" w:color="000001"/>
              <w:insideV w:val="single" w:sz="4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rFonts w:ascii="Calibri" w:hAnsi="Calibri" w:eastAsia="Times New Roman" w:cs="Calibri"/>
                <w:color w:val="330099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color w:val="330099"/>
                <w:sz w:val="22"/>
                <w:shd w:fill="FFFFFF" w:val="clear"/>
              </w:rPr>
            </w:r>
          </w:p>
        </w:tc>
        <w:tc>
          <w:tcPr>
            <w:tcW w:w="113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4" w:space="0" w:color="000001"/>
              <w:insideH w:val="single" w:sz="12" w:space="0" w:color="000001"/>
              <w:insideV w:val="single" w:sz="4" w:space="0" w:color="000001"/>
            </w:tcBorders>
            <w:shd w:fill="auto" w:val="clear"/>
            <w:tcMar>
              <w:left w:w="22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  <w:tc>
          <w:tcPr>
            <w:tcW w:w="72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fill="auto" w:val="clear"/>
            <w:tcMar>
              <w:left w:w="22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2692" w:type="dxa"/>
            <w:vMerge w:val="restart"/>
            <w:tcBorders>
              <w:top w:val="single" w:sz="12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Splatené pôžičky k poslednému dňu účtovného obdobia</w:t>
            </w:r>
          </w:p>
        </w:tc>
        <w:tc>
          <w:tcPr>
            <w:tcW w:w="141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22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  <w:tc>
          <w:tcPr>
            <w:tcW w:w="710" w:type="dxa"/>
            <w:gridSpan w:val="2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22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  <w:tc>
          <w:tcPr>
            <w:tcW w:w="142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22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  <w:tc>
          <w:tcPr>
            <w:tcW w:w="728" w:type="dxa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22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2692" w:type="dxa"/>
            <w:vMerge w:val="continue"/>
            <w:tcBorders>
              <w:top w:val="single" w:sz="6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76" w:before="0" w:after="20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4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  <w:insideH w:val="single" w:sz="12" w:space="0" w:color="000001"/>
              <w:insideV w:val="single" w:sz="4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  <w:tc>
          <w:tcPr>
            <w:tcW w:w="113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4" w:space="0" w:color="000001"/>
              <w:insideH w:val="single" w:sz="12" w:space="0" w:color="000001"/>
              <w:insideV w:val="single" w:sz="4" w:space="0" w:color="000001"/>
            </w:tcBorders>
            <w:shd w:fill="auto" w:val="clear"/>
            <w:tcMar>
              <w:left w:w="22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  <w:tc>
          <w:tcPr>
            <w:tcW w:w="71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22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  <w:tc>
          <w:tcPr>
            <w:tcW w:w="142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  <w:insideH w:val="single" w:sz="12" w:space="0" w:color="000001"/>
              <w:insideV w:val="single" w:sz="4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  <w:tc>
          <w:tcPr>
            <w:tcW w:w="113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4" w:space="0" w:color="000001"/>
              <w:insideH w:val="single" w:sz="12" w:space="0" w:color="000001"/>
              <w:insideV w:val="single" w:sz="4" w:space="0" w:color="000001"/>
            </w:tcBorders>
            <w:shd w:fill="auto" w:val="clear"/>
            <w:tcMar>
              <w:left w:w="22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  <w:tc>
          <w:tcPr>
            <w:tcW w:w="72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fill="auto" w:val="clear"/>
            <w:tcMar>
              <w:left w:w="22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2692" w:type="dxa"/>
            <w:vMerge w:val="restart"/>
            <w:tcBorders>
              <w:top w:val="single" w:sz="12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Odpustené a odpísané pôžičky k poslednému dňu účtovného obdobia</w:t>
            </w:r>
          </w:p>
        </w:tc>
        <w:tc>
          <w:tcPr>
            <w:tcW w:w="141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22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  <w:tc>
          <w:tcPr>
            <w:tcW w:w="710" w:type="dxa"/>
            <w:gridSpan w:val="2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22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  <w:tc>
          <w:tcPr>
            <w:tcW w:w="142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22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  <w:tc>
          <w:tcPr>
            <w:tcW w:w="728" w:type="dxa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22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2692" w:type="dxa"/>
            <w:vMerge w:val="continue"/>
            <w:tcBorders>
              <w:top w:val="single" w:sz="6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76" w:before="0" w:after="20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4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  <w:insideH w:val="single" w:sz="12" w:space="0" w:color="000001"/>
              <w:insideV w:val="single" w:sz="4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  <w:tc>
          <w:tcPr>
            <w:tcW w:w="113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4" w:space="0" w:color="000001"/>
              <w:insideH w:val="single" w:sz="12" w:space="0" w:color="000001"/>
              <w:insideV w:val="single" w:sz="4" w:space="0" w:color="000001"/>
            </w:tcBorders>
            <w:shd w:fill="auto" w:val="clear"/>
            <w:tcMar>
              <w:left w:w="22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  <w:tc>
          <w:tcPr>
            <w:tcW w:w="71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22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  <w:tc>
          <w:tcPr>
            <w:tcW w:w="142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  <w:insideH w:val="single" w:sz="12" w:space="0" w:color="000001"/>
              <w:insideV w:val="single" w:sz="4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  <w:tc>
          <w:tcPr>
            <w:tcW w:w="113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4" w:space="0" w:color="000001"/>
              <w:insideH w:val="single" w:sz="12" w:space="0" w:color="000001"/>
              <w:insideV w:val="single" w:sz="4" w:space="0" w:color="000001"/>
            </w:tcBorders>
            <w:shd w:fill="auto" w:val="clear"/>
            <w:tcMar>
              <w:left w:w="22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  <w:tc>
          <w:tcPr>
            <w:tcW w:w="72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fill="auto" w:val="clear"/>
            <w:tcMar>
              <w:left w:w="22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2692" w:type="dxa"/>
            <w:vMerge w:val="restart"/>
            <w:tcBorders>
              <w:top w:val="single" w:sz="12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Použité finančné prostriedky</w:t>
            </w:r>
          </w:p>
        </w:tc>
        <w:tc>
          <w:tcPr>
            <w:tcW w:w="141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22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  <w:tc>
          <w:tcPr>
            <w:tcW w:w="710" w:type="dxa"/>
            <w:gridSpan w:val="2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22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  <w:tc>
          <w:tcPr>
            <w:tcW w:w="142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22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  <w:tc>
          <w:tcPr>
            <w:tcW w:w="728" w:type="dxa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22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2692" w:type="dxa"/>
            <w:vMerge w:val="continue"/>
            <w:tcBorders>
              <w:top w:val="single" w:sz="6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76" w:before="0" w:after="20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4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  <w:insideH w:val="single" w:sz="12" w:space="0" w:color="000001"/>
              <w:insideV w:val="single" w:sz="4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  <w:tc>
          <w:tcPr>
            <w:tcW w:w="113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4" w:space="0" w:color="000001"/>
              <w:insideH w:val="single" w:sz="12" w:space="0" w:color="000001"/>
              <w:insideV w:val="single" w:sz="4" w:space="0" w:color="000001"/>
            </w:tcBorders>
            <w:shd w:fill="auto" w:val="clear"/>
            <w:tcMar>
              <w:left w:w="22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  <w:tc>
          <w:tcPr>
            <w:tcW w:w="71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22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  <w:tc>
          <w:tcPr>
            <w:tcW w:w="142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  <w:insideH w:val="single" w:sz="12" w:space="0" w:color="000001"/>
              <w:insideV w:val="single" w:sz="4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  <w:tc>
          <w:tcPr>
            <w:tcW w:w="113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4" w:space="0" w:color="000001"/>
              <w:insideH w:val="single" w:sz="12" w:space="0" w:color="000001"/>
              <w:insideV w:val="single" w:sz="4" w:space="0" w:color="000001"/>
            </w:tcBorders>
            <w:shd w:fill="auto" w:val="clear"/>
            <w:tcMar>
              <w:left w:w="22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  <w:tc>
          <w:tcPr>
            <w:tcW w:w="72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fill="auto" w:val="clear"/>
            <w:tcMar>
              <w:left w:w="22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</w:tr>
      <w:tr>
        <w:trPr>
          <w:trHeight w:val="285" w:hRule="atLeast"/>
        </w:trPr>
        <w:tc>
          <w:tcPr>
            <w:tcW w:w="2692" w:type="dxa"/>
            <w:vMerge w:val="restart"/>
            <w:tcBorders>
              <w:top w:val="single" w:sz="12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Iné plnenia na súkromné účely, ktoré je potrebné vyúčtovať</w:t>
            </w:r>
          </w:p>
        </w:tc>
        <w:tc>
          <w:tcPr>
            <w:tcW w:w="141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22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  <w:tc>
          <w:tcPr>
            <w:tcW w:w="710" w:type="dxa"/>
            <w:gridSpan w:val="2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22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  <w:tc>
          <w:tcPr>
            <w:tcW w:w="142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22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  <w:tc>
          <w:tcPr>
            <w:tcW w:w="728" w:type="dxa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22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2692" w:type="dxa"/>
            <w:vMerge w:val="continue"/>
            <w:tcBorders>
              <w:top w:val="single" w:sz="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000000" w:fill="FFFFFF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76" w:before="0" w:after="20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416" w:type="dxa"/>
            <w:tcBorders>
              <w:top w:val="single" w:sz="6" w:space="0" w:color="000001"/>
              <w:left w:val="single" w:sz="12" w:space="0" w:color="000001"/>
              <w:bottom w:val="single" w:sz="18" w:space="0" w:color="000001"/>
              <w:right w:val="single" w:sz="4" w:space="0" w:color="000001"/>
              <w:insideH w:val="single" w:sz="18" w:space="0" w:color="000001"/>
              <w:insideV w:val="single" w:sz="4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160"/>
              <w:jc w:val="center"/>
              <w:rPr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16"/>
                <w:shd w:fill="FFFFFF" w:val="clear"/>
              </w:rPr>
              <w:t> </w:t>
            </w:r>
          </w:p>
        </w:tc>
        <w:tc>
          <w:tcPr>
            <w:tcW w:w="1134" w:type="dxa"/>
            <w:tcBorders>
              <w:top w:val="single" w:sz="6" w:space="0" w:color="000001"/>
              <w:left w:val="single" w:sz="6" w:space="0" w:color="000001"/>
              <w:bottom w:val="single" w:sz="18" w:space="0" w:color="000001"/>
              <w:right w:val="single" w:sz="4" w:space="0" w:color="000001"/>
              <w:insideH w:val="single" w:sz="18" w:space="0" w:color="000001"/>
              <w:insideV w:val="single" w:sz="4" w:space="0" w:color="000001"/>
            </w:tcBorders>
            <w:shd w:fill="auto" w:val="clear"/>
            <w:tcMar>
              <w:left w:w="22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160"/>
              <w:jc w:val="center"/>
              <w:rPr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16"/>
                <w:shd w:fill="FFFFFF" w:val="clear"/>
              </w:rPr>
              <w:t> </w:t>
            </w:r>
          </w:p>
        </w:tc>
        <w:tc>
          <w:tcPr>
            <w:tcW w:w="710" w:type="dxa"/>
            <w:gridSpan w:val="2"/>
            <w:tcBorders>
              <w:top w:val="single" w:sz="6" w:space="0" w:color="000001"/>
              <w:left w:val="single" w:sz="6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22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160"/>
              <w:jc w:val="center"/>
              <w:rPr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16"/>
                <w:shd w:fill="FFFFFF" w:val="clear"/>
              </w:rPr>
              <w:t> </w:t>
            </w:r>
          </w:p>
        </w:tc>
        <w:tc>
          <w:tcPr>
            <w:tcW w:w="1420" w:type="dxa"/>
            <w:tcBorders>
              <w:top w:val="single" w:sz="6" w:space="0" w:color="000001"/>
              <w:left w:val="single" w:sz="12" w:space="0" w:color="000001"/>
              <w:bottom w:val="single" w:sz="18" w:space="0" w:color="000001"/>
              <w:right w:val="single" w:sz="4" w:space="0" w:color="000001"/>
              <w:insideH w:val="single" w:sz="18" w:space="0" w:color="000001"/>
              <w:insideV w:val="single" w:sz="4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160"/>
              <w:jc w:val="center"/>
              <w:rPr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16"/>
                <w:shd w:fill="FFFFFF" w:val="clear"/>
              </w:rPr>
              <w:t> </w:t>
            </w:r>
          </w:p>
        </w:tc>
        <w:tc>
          <w:tcPr>
            <w:tcW w:w="1134" w:type="dxa"/>
            <w:tcBorders>
              <w:top w:val="single" w:sz="6" w:space="0" w:color="000001"/>
              <w:left w:val="single" w:sz="6" w:space="0" w:color="000001"/>
              <w:bottom w:val="single" w:sz="18" w:space="0" w:color="000001"/>
              <w:right w:val="single" w:sz="4" w:space="0" w:color="000001"/>
              <w:insideH w:val="single" w:sz="18" w:space="0" w:color="000001"/>
              <w:insideV w:val="single" w:sz="4" w:space="0" w:color="000001"/>
            </w:tcBorders>
            <w:shd w:fill="auto" w:val="clear"/>
            <w:tcMar>
              <w:left w:w="22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160"/>
              <w:jc w:val="center"/>
              <w:rPr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16"/>
                <w:shd w:fill="FFFFFF" w:val="clear"/>
              </w:rPr>
              <w:t> </w:t>
            </w:r>
          </w:p>
        </w:tc>
        <w:tc>
          <w:tcPr>
            <w:tcW w:w="728" w:type="dxa"/>
            <w:tcBorders>
              <w:top w:val="single" w:sz="6" w:space="0" w:color="000001"/>
              <w:left w:val="single" w:sz="6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fill="auto" w:val="clear"/>
            <w:tcMar>
              <w:left w:w="22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160"/>
              <w:jc w:val="center"/>
              <w:rPr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16"/>
                <w:shd w:fill="FFFFFF" w:val="clear"/>
              </w:rPr>
              <w:t> </w:t>
            </w:r>
          </w:p>
        </w:tc>
      </w:tr>
    </w:tbl>
    <w:p>
      <w:pPr>
        <w:pStyle w:val="Normal"/>
        <w:spacing w:lineRule="exact" w:line="240" w:before="240" w:after="160"/>
        <w:ind w:right="142" w:hanging="0"/>
        <w:jc w:val="both"/>
        <w:rPr>
          <w:rFonts w:ascii="Times New Roman" w:hAnsi="Times New Roman" w:cs="Times New Roman"/>
          <w:sz w:val="22"/>
          <w:highlight w:val="white"/>
        </w:rPr>
      </w:pPr>
      <w:r>
        <w:rPr>
          <w:rFonts w:cs="Times New Roman" w:ascii="Times New Roman" w:hAnsi="Times New Roman"/>
          <w:b/>
          <w:sz w:val="22"/>
          <w:shd w:fill="FFFFFF" w:val="clear"/>
        </w:rPr>
        <w:t>Ďalšie dôležité informácie o príjmoch a výhodách členov štatutárnych orgánov, dozorných orgánov a iného orgánu účtovnej jednotky</w:t>
      </w:r>
      <w:r>
        <w:rPr>
          <w:rFonts w:cs="Times New Roman" w:ascii="Times New Roman" w:hAnsi="Times New Roman"/>
          <w:sz w:val="22"/>
          <w:shd w:fill="FFFFFF" w:val="clear"/>
        </w:rPr>
        <w:t xml:space="preserve"> (napr. hlavné podmienky, na základe ktorých boli záruky, iné zabezpečenia a pôžičky poskytnuté):</w:t>
      </w:r>
    </w:p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b/>
          <w:b/>
          <w:shd w:fill="FFFFFF" w:val="clear"/>
        </w:rPr>
      </w:pPr>
      <w:r>
        <w:rPr>
          <w:rFonts w:cs="Times New Roman" w:ascii="Times New Roman" w:hAnsi="Times New Roman"/>
          <w:b/>
          <w:shd w:fill="FFFFFF" w:val="clear"/>
        </w:rPr>
      </w:r>
    </w:p>
    <w:p>
      <w:pPr>
        <w:pStyle w:val="Normal"/>
        <w:spacing w:lineRule="exact" w:line="240" w:before="0" w:after="160"/>
        <w:jc w:val="both"/>
        <w:rPr>
          <w:sz w:val="22"/>
          <w:szCs w:val="22"/>
        </w:rPr>
      </w:pPr>
      <w:r>
        <w:rPr>
          <w:rFonts w:cs="Times New Roman" w:ascii="Times New Roman" w:hAnsi="Times New Roman"/>
          <w:color w:val="330099"/>
          <w:sz w:val="22"/>
          <w:szCs w:val="22"/>
          <w:shd w:fill="FFFFFF" w:val="clear"/>
        </w:rPr>
        <w:t>Spoločnosť EQUIS INVEST CONSULTING, spol. s r. o. neposkytla v priebehu roku 2016 žiadne pôžičky ani iné finančné výpomoci súčasným a bývalým členom štatutárnych orgánov, dozorných orgánov a iného orgánu účtovnej jednotky.</w:t>
      </w:r>
    </w:p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b/>
          <w:b/>
          <w:sz w:val="22"/>
          <w:szCs w:val="22"/>
          <w:shd w:fill="FFFFFF" w:val="clear"/>
        </w:rPr>
      </w:pPr>
      <w:r>
        <w:rPr>
          <w:rFonts w:cs="Times New Roman" w:ascii="Times New Roman" w:hAnsi="Times New Roman"/>
          <w:b/>
          <w:sz w:val="22"/>
          <w:szCs w:val="22"/>
          <w:shd w:fill="FFFFFF" w:val="clear"/>
        </w:rPr>
      </w:r>
    </w:p>
    <w:p>
      <w:pPr>
        <w:pStyle w:val="Normal"/>
        <w:spacing w:lineRule="exact" w:line="240" w:before="0" w:after="160"/>
        <w:rPr/>
      </w:pPr>
      <w:r>
        <w:rPr>
          <w:rFonts w:cs="Times New Roman" w:ascii="Times New Roman" w:hAnsi="Times New Roman"/>
          <w:b/>
          <w:color w:val="5B9BD5"/>
          <w:sz w:val="22"/>
          <w:shd w:fill="FFFFFF" w:val="clear"/>
        </w:rPr>
        <w:t>Čl. III</w:t>
        <w:tab/>
        <w:t>Informácie o prijatých postupoch</w:t>
      </w:r>
    </w:p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b/>
          <w:b/>
          <w:sz w:val="22"/>
          <w:highlight w:val="white"/>
        </w:rPr>
      </w:pPr>
      <w:r>
        <w:rPr>
          <w:rFonts w:cs="Times New Roman" w:ascii="Times New Roman" w:hAnsi="Times New Roman"/>
          <w:b/>
          <w:sz w:val="22"/>
          <w:shd w:fill="FFFFFF" w:val="clear"/>
        </w:rPr>
        <w:t>III. 1</w:t>
        <w:tab/>
        <w:t>Účtovná jednotka bude nepretržite pokračovať vo svojej činnosti:</w:t>
      </w:r>
    </w:p>
    <w:p>
      <w:pPr>
        <w:pStyle w:val="Normal"/>
        <w:spacing w:lineRule="exact" w:line="240" w:before="0" w:after="360"/>
        <w:jc w:val="both"/>
        <w:rPr/>
      </w:pPr>
      <w:r>
        <w:rPr>
          <w:rFonts w:cs="Times New Roman" w:ascii="Times New Roman" w:hAnsi="Times New Roman"/>
          <w:b/>
          <w:shd w:fill="FFFFFF" w:val="clear"/>
        </w:rPr>
        <w:tab/>
        <w:t xml:space="preserve"> </w:t>
      </w:r>
      <w:r>
        <w:rPr>
          <w:rFonts w:cs="Times New Roman" w:ascii="Times New Roman" w:hAnsi="Times New Roman"/>
          <w:b/>
          <w:color w:val="330099"/>
          <w:shd w:fill="FFFFFF" w:val="clear"/>
        </w:rPr>
        <w:t xml:space="preserve"> </w:t>
      </w:r>
      <w:r>
        <w:rPr>
          <w:rFonts w:cs="Times New Roman" w:ascii="Times New Roman" w:hAnsi="Times New Roman"/>
          <w:color w:val="330099"/>
          <w:sz w:val="22"/>
          <w:shd w:fill="FFFFFF" w:val="clear"/>
        </w:rPr>
        <w:t xml:space="preserve">áno </w:t>
      </w:r>
    </w:p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b/>
          <w:b/>
          <w:sz w:val="22"/>
          <w:highlight w:val="white"/>
        </w:rPr>
      </w:pPr>
      <w:r>
        <w:rPr>
          <w:rFonts w:cs="Times New Roman" w:ascii="Times New Roman" w:hAnsi="Times New Roman"/>
          <w:b/>
          <w:sz w:val="22"/>
          <w:shd w:fill="FFFFFF" w:val="clear"/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b/>
          <w:b/>
          <w:shd w:fill="FFFFFF" w:val="clear"/>
        </w:rPr>
      </w:pPr>
      <w:r>
        <w:rPr>
          <w:rFonts w:cs="Times New Roman" w:ascii="Times New Roman" w:hAnsi="Times New Roman"/>
          <w:b/>
          <w:shd w:fill="FFFFFF" w:val="clear"/>
        </w:rPr>
      </w:r>
    </w:p>
    <w:p>
      <w:pPr>
        <w:pStyle w:val="Normal"/>
        <w:spacing w:lineRule="exact" w:line="240"/>
        <w:jc w:val="both"/>
        <w:rPr>
          <w:rFonts w:ascii="Times New Roman" w:hAnsi="Times New Roman" w:cs="Times New Roman"/>
          <w:b/>
          <w:b/>
          <w:sz w:val="22"/>
          <w:highlight w:val="white"/>
        </w:rPr>
      </w:pPr>
      <w:r>
        <w:rPr>
          <w:rFonts w:cs="Times New Roman" w:ascii="Times New Roman" w:hAnsi="Times New Roman"/>
          <w:b/>
          <w:sz w:val="22"/>
          <w:shd w:fill="FFFFFF" w:val="clear"/>
        </w:rPr>
        <w:t>III. 2</w:t>
        <w:tab/>
        <w:t>Zmeny účtovných zásad a metód:</w:t>
      </w:r>
    </w:p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sz w:val="22"/>
          <w:highlight w:val="white"/>
        </w:rPr>
      </w:pPr>
      <w:r>
        <w:rPr>
          <w:rFonts w:cs="Times New Roman" w:ascii="Times New Roman" w:hAnsi="Times New Roman"/>
          <w:sz w:val="22"/>
          <w:shd w:fill="FFFFFF" w:val="clear"/>
        </w:rPr>
        <w:t xml:space="preserve">Účtovné metódy a zásady boli aplikované v rámci platného ZoÚ, s osobitosťami: </w:t>
      </w:r>
    </w:p>
    <w:tbl>
      <w:tblPr>
        <w:tblW w:w="9341" w:type="dxa"/>
        <w:jc w:val="left"/>
        <w:tblInd w:w="-148" w:type="dxa"/>
        <w:tblBorders>
          <w:top w:val="single" w:sz="18" w:space="0" w:color="000001"/>
          <w:left w:val="single" w:sz="18" w:space="0" w:color="000001"/>
          <w:bottom w:val="single" w:sz="18" w:space="0" w:color="000001"/>
          <w:right w:val="single" w:sz="12" w:space="0" w:color="000001"/>
          <w:insideH w:val="single" w:sz="18" w:space="0" w:color="000001"/>
          <w:insideV w:val="single" w:sz="12" w:space="0" w:color="000001"/>
        </w:tblBorders>
        <w:tblCellMar>
          <w:top w:w="0" w:type="dxa"/>
          <w:left w:w="-22" w:type="dxa"/>
          <w:bottom w:w="0" w:type="dxa"/>
          <w:right w:w="70" w:type="dxa"/>
        </w:tblCellMar>
        <w:tblLook w:val="0000"/>
      </w:tblPr>
      <w:tblGrid>
        <w:gridCol w:w="3104"/>
        <w:gridCol w:w="2835"/>
        <w:gridCol w:w="3402"/>
      </w:tblGrid>
      <w:tr>
        <w:trPr>
          <w:trHeight w:val="1320" w:hRule="atLeast"/>
        </w:trPr>
        <w:tc>
          <w:tcPr>
            <w:tcW w:w="3104" w:type="dxa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Hodnota vplyvu na príslušnú zložku majetku, záväzkov, vlastného imania a výsledku hospodárenia účtovnej jednotky</w:t>
            </w:r>
          </w:p>
        </w:tc>
      </w:tr>
      <w:tr>
        <w:trPr>
          <w:trHeight w:val="300" w:hRule="atLeast"/>
        </w:trPr>
        <w:tc>
          <w:tcPr>
            <w:tcW w:w="3104" w:type="dxa"/>
            <w:tcBorders>
              <w:top w:val="single" w:sz="18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835" w:type="dxa"/>
            <w:tcBorders>
              <w:top w:val="single" w:sz="1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3402" w:type="dxa"/>
            <w:tcBorders>
              <w:top w:val="single" w:sz="18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300" w:firstLine="660"/>
              <w:jc w:val="right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285" w:hRule="atLeast"/>
        </w:trPr>
        <w:tc>
          <w:tcPr>
            <w:tcW w:w="3104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340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300" w:firstLine="660"/>
              <w:jc w:val="right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285" w:hRule="atLeast"/>
        </w:trPr>
        <w:tc>
          <w:tcPr>
            <w:tcW w:w="3104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340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300" w:firstLine="660"/>
              <w:jc w:val="right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285" w:hRule="atLeast"/>
        </w:trPr>
        <w:tc>
          <w:tcPr>
            <w:tcW w:w="3104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340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300" w:firstLine="660"/>
              <w:jc w:val="right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285" w:hRule="atLeast"/>
        </w:trPr>
        <w:tc>
          <w:tcPr>
            <w:tcW w:w="3104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340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300" w:firstLine="660"/>
              <w:jc w:val="right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3104" w:type="dxa"/>
            <w:tcBorders>
              <w:top w:val="single" w:sz="6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835" w:type="dxa"/>
            <w:tcBorders>
              <w:top w:val="single" w:sz="6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3402" w:type="dxa"/>
            <w:tcBorders>
              <w:top w:val="single" w:sz="6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300" w:firstLine="660"/>
              <w:jc w:val="right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color w:val="2F75B5"/>
                <w:sz w:val="22"/>
                <w:shd w:fill="FFFFFF" w:val="clear"/>
              </w:rPr>
              <w:t> </w:t>
            </w:r>
          </w:p>
        </w:tc>
      </w:tr>
    </w:tbl>
    <w:p>
      <w:pPr>
        <w:pStyle w:val="Normal"/>
        <w:spacing w:lineRule="exact" w:line="240" w:before="240" w:after="160"/>
        <w:jc w:val="both"/>
        <w:rPr/>
      </w:pPr>
      <w:r>
        <w:rPr>
          <w:rFonts w:cs="Times New Roman" w:ascii="Times New Roman" w:hAnsi="Times New Roman"/>
          <w:b/>
          <w:sz w:val="22"/>
          <w:shd w:fill="FFFFFF" w:val="clear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b/>
          <w:b/>
          <w:sz w:val="22"/>
          <w:shd w:fill="FFFFFF" w:val="clear"/>
        </w:rPr>
      </w:pPr>
      <w:r>
        <w:rPr>
          <w:rFonts w:cs="Times New Roman" w:ascii="Times New Roman" w:hAnsi="Times New Roman"/>
          <w:b/>
          <w:sz w:val="22"/>
          <w:shd w:fill="FFFFFF" w:val="clear"/>
        </w:rPr>
      </w:r>
    </w:p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b/>
          <w:b/>
          <w:sz w:val="22"/>
          <w:highlight w:val="white"/>
        </w:rPr>
      </w:pPr>
      <w:r>
        <w:rPr>
          <w:rFonts w:cs="Times New Roman" w:ascii="Times New Roman" w:hAnsi="Times New Roman"/>
          <w:b/>
          <w:sz w:val="22"/>
          <w:shd w:fill="FFFFFF" w:val="clear"/>
        </w:rPr>
        <w:t>III. 3</w:t>
        <w:tab/>
        <w:t>Informácie o charaktere a účele transakcií, ktoré sa neuvádzajú v súvahe</w:t>
      </w:r>
    </w:p>
    <w:tbl>
      <w:tblPr>
        <w:tblW w:w="9356" w:type="dxa"/>
        <w:jc w:val="left"/>
        <w:tblInd w:w="-148" w:type="dxa"/>
        <w:tblBorders>
          <w:top w:val="single" w:sz="18" w:space="0" w:color="000001"/>
          <w:left w:val="single" w:sz="18" w:space="0" w:color="000001"/>
          <w:bottom w:val="single" w:sz="18" w:space="0" w:color="000001"/>
          <w:right w:val="single" w:sz="12" w:space="0" w:color="000001"/>
          <w:insideH w:val="single" w:sz="18" w:space="0" w:color="000001"/>
          <w:insideV w:val="single" w:sz="12" w:space="0" w:color="000001"/>
        </w:tblBorders>
        <w:tblCellMar>
          <w:top w:w="0" w:type="dxa"/>
          <w:left w:w="-22" w:type="dxa"/>
          <w:bottom w:w="0" w:type="dxa"/>
          <w:right w:w="70" w:type="dxa"/>
        </w:tblCellMar>
        <w:tblLook w:val="0000"/>
      </w:tblPr>
      <w:tblGrid>
        <w:gridCol w:w="2411"/>
        <w:gridCol w:w="2410"/>
        <w:gridCol w:w="1984"/>
        <w:gridCol w:w="2550"/>
      </w:tblGrid>
      <w:tr>
        <w:trPr>
          <w:trHeight w:val="900" w:hRule="atLeast"/>
        </w:trPr>
        <w:tc>
          <w:tcPr>
            <w:tcW w:w="2411" w:type="dxa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Riziká transakcie</w:t>
            </w:r>
          </w:p>
        </w:tc>
        <w:tc>
          <w:tcPr>
            <w:tcW w:w="2550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Prínosy transakcie</w:t>
            </w:r>
          </w:p>
        </w:tc>
      </w:tr>
      <w:tr>
        <w:trPr>
          <w:trHeight w:val="300" w:hRule="atLeast"/>
        </w:trPr>
        <w:tc>
          <w:tcPr>
            <w:tcW w:w="2411" w:type="dxa"/>
            <w:tcBorders>
              <w:top w:val="single" w:sz="18" w:space="0" w:color="000001"/>
              <w:left w:val="single" w:sz="1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984" w:type="dxa"/>
            <w:tcBorders>
              <w:top w:val="single" w:sz="1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550" w:type="dxa"/>
            <w:tcBorders>
              <w:top w:val="single" w:sz="18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285" w:hRule="atLeast"/>
        </w:trPr>
        <w:tc>
          <w:tcPr>
            <w:tcW w:w="2411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jc w:val="center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241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jc w:val="center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98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jc w:val="center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255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jc w:val="center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</w:tr>
      <w:tr>
        <w:trPr>
          <w:trHeight w:val="285" w:hRule="atLeast"/>
        </w:trPr>
        <w:tc>
          <w:tcPr>
            <w:tcW w:w="2411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41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55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2411" w:type="dxa"/>
            <w:tcBorders>
              <w:top w:val="single" w:sz="4" w:space="0" w:color="000001"/>
              <w:left w:val="single" w:sz="18" w:space="0" w:color="000001"/>
              <w:bottom w:val="single" w:sz="18" w:space="0" w:color="000001"/>
              <w:right w:val="single" w:sz="8" w:space="0" w:color="000001"/>
              <w:insideH w:val="single" w:sz="18" w:space="0" w:color="000001"/>
              <w:insideV w:val="single" w:sz="8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410" w:type="dxa"/>
            <w:tcBorders>
              <w:top w:val="single" w:sz="4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550" w:type="dxa"/>
            <w:tcBorders>
              <w:top w:val="single" w:sz="4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color w:val="2F75B5"/>
                <w:sz w:val="22"/>
                <w:shd w:fill="FFFFFF" w:val="clear"/>
              </w:rPr>
              <w:t> </w:t>
            </w:r>
          </w:p>
        </w:tc>
      </w:tr>
    </w:tbl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b/>
          <w:b/>
          <w:sz w:val="22"/>
          <w:shd w:fill="FFFFFF" w:val="clear"/>
        </w:rPr>
      </w:pPr>
      <w:r>
        <w:rPr>
          <w:rFonts w:cs="Times New Roman" w:ascii="Times New Roman" w:hAnsi="Times New Roman"/>
          <w:b/>
          <w:sz w:val="22"/>
          <w:shd w:fill="FFFFFF" w:val="clear"/>
        </w:rPr>
      </w:r>
    </w:p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b/>
          <w:b/>
          <w:sz w:val="22"/>
          <w:shd w:fill="FFFFFF" w:val="clear"/>
        </w:rPr>
      </w:pPr>
      <w:r>
        <w:rPr>
          <w:rFonts w:cs="Times New Roman" w:ascii="Times New Roman" w:hAnsi="Times New Roman"/>
          <w:b/>
          <w:sz w:val="22"/>
          <w:shd w:fill="FFFFFF" w:val="clear"/>
        </w:rPr>
      </w:r>
    </w:p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b/>
          <w:b/>
          <w:sz w:val="22"/>
          <w:shd w:fill="FFFFFF" w:val="clear"/>
        </w:rPr>
      </w:pPr>
      <w:r>
        <w:rPr>
          <w:rFonts w:cs="Times New Roman" w:ascii="Times New Roman" w:hAnsi="Times New Roman"/>
          <w:b/>
          <w:sz w:val="22"/>
          <w:shd w:fill="FFFFFF" w:val="clear"/>
        </w:rPr>
      </w:r>
    </w:p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b/>
          <w:b/>
          <w:sz w:val="22"/>
          <w:shd w:fill="FFFFFF" w:val="clear"/>
        </w:rPr>
      </w:pPr>
      <w:r>
        <w:rPr>
          <w:rFonts w:cs="Times New Roman" w:ascii="Times New Roman" w:hAnsi="Times New Roman"/>
          <w:b/>
          <w:sz w:val="22"/>
          <w:shd w:fill="FFFFFF" w:val="clear"/>
        </w:rPr>
      </w:r>
    </w:p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b/>
          <w:b/>
          <w:sz w:val="22"/>
          <w:shd w:fill="FFFFFF" w:val="clear"/>
        </w:rPr>
      </w:pPr>
      <w:r>
        <w:rPr>
          <w:rFonts w:cs="Times New Roman" w:ascii="Times New Roman" w:hAnsi="Times New Roman"/>
          <w:b/>
          <w:sz w:val="22"/>
          <w:shd w:fill="FFFFFF" w:val="clear"/>
        </w:rPr>
      </w:r>
    </w:p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b/>
          <w:b/>
          <w:sz w:val="22"/>
          <w:shd w:fill="FFFFFF" w:val="clear"/>
        </w:rPr>
      </w:pPr>
      <w:r>
        <w:rPr>
          <w:rFonts w:cs="Times New Roman" w:ascii="Times New Roman" w:hAnsi="Times New Roman"/>
          <w:b/>
          <w:sz w:val="22"/>
          <w:shd w:fill="FFFFFF" w:val="clear"/>
        </w:rPr>
      </w:r>
    </w:p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b/>
          <w:b/>
          <w:sz w:val="22"/>
          <w:highlight w:val="white"/>
        </w:rPr>
      </w:pPr>
      <w:r>
        <w:rPr>
          <w:rFonts w:cs="Times New Roman" w:ascii="Times New Roman" w:hAnsi="Times New Roman"/>
          <w:b/>
          <w:sz w:val="22"/>
          <w:shd w:fill="FFFFFF" w:val="clear"/>
        </w:rPr>
        <w:t>III. 4 a)   Spôsob oceňovania jednotlivých zložiek majetku a záväzkov:</w:t>
      </w:r>
    </w:p>
    <w:tbl>
      <w:tblPr>
        <w:tblW w:w="9341" w:type="dxa"/>
        <w:jc w:val="left"/>
        <w:tblInd w:w="-148" w:type="dxa"/>
        <w:tblBorders>
          <w:top w:val="single" w:sz="18" w:space="0" w:color="000001"/>
          <w:left w:val="single" w:sz="18" w:space="0" w:color="000001"/>
          <w:bottom w:val="single" w:sz="18" w:space="0" w:color="000001"/>
          <w:right w:val="single" w:sz="12" w:space="0" w:color="000001"/>
          <w:insideH w:val="single" w:sz="18" w:space="0" w:color="000001"/>
          <w:insideV w:val="single" w:sz="12" w:space="0" w:color="000001"/>
        </w:tblBorders>
        <w:tblCellMar>
          <w:top w:w="0" w:type="dxa"/>
          <w:left w:w="-22" w:type="dxa"/>
          <w:bottom w:w="0" w:type="dxa"/>
          <w:right w:w="70" w:type="dxa"/>
        </w:tblCellMar>
        <w:tblLook w:val="0000"/>
      </w:tblPr>
      <w:tblGrid>
        <w:gridCol w:w="3812"/>
        <w:gridCol w:w="2694"/>
        <w:gridCol w:w="2835"/>
      </w:tblGrid>
      <w:tr>
        <w:trPr>
          <w:trHeight w:val="705" w:hRule="atLeast"/>
        </w:trPr>
        <w:tc>
          <w:tcPr>
            <w:tcW w:w="3812" w:type="dxa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Druh majetku / záväzkov</w:t>
            </w:r>
          </w:p>
        </w:tc>
        <w:tc>
          <w:tcPr>
            <w:tcW w:w="2694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 xml:space="preserve">Náklady spojené </w:t>
              <w:br/>
              <w:t>s obstaraním</w:t>
            </w:r>
          </w:p>
        </w:tc>
      </w:tr>
      <w:tr>
        <w:trPr>
          <w:trHeight w:val="228" w:hRule="atLeast"/>
        </w:trPr>
        <w:tc>
          <w:tcPr>
            <w:tcW w:w="3812" w:type="dxa"/>
            <w:tcBorders>
              <w:top w:val="single" w:sz="18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DNM obstaraný kúpou</w:t>
            </w:r>
          </w:p>
        </w:tc>
        <w:tc>
          <w:tcPr>
            <w:tcW w:w="2694" w:type="dxa"/>
            <w:tcBorders>
              <w:top w:val="single" w:sz="1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color w:val="330099"/>
                <w:highlight w:val="yellow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</w:rPr>
              <w:t>Obstarávacou cenou </w:t>
            </w:r>
          </w:p>
        </w:tc>
        <w:tc>
          <w:tcPr>
            <w:tcW w:w="2835" w:type="dxa"/>
            <w:tcBorders>
              <w:top w:val="single" w:sz="18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</w:tr>
      <w:tr>
        <w:trPr>
          <w:trHeight w:val="254" w:hRule="atLeast"/>
        </w:trPr>
        <w:tc>
          <w:tcPr>
            <w:tcW w:w="3812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DNM obstaraný vlastnou činnosťou</w:t>
            </w:r>
          </w:p>
        </w:tc>
        <w:tc>
          <w:tcPr>
            <w:tcW w:w="26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yellow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</w:rPr>
              <w:t>Vlastnými nákladmi </w:t>
            </w:r>
          </w:p>
        </w:tc>
        <w:tc>
          <w:tcPr>
            <w:tcW w:w="283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3812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DNM obstaraný iným spôsobom</w:t>
            </w:r>
          </w:p>
        </w:tc>
        <w:tc>
          <w:tcPr>
            <w:tcW w:w="26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yellow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</w:rPr>
              <w:t>Obstarávacou cenou </w:t>
            </w:r>
          </w:p>
        </w:tc>
        <w:tc>
          <w:tcPr>
            <w:tcW w:w="283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</w:tr>
      <w:tr>
        <w:trPr>
          <w:trHeight w:val="260" w:hRule="atLeast"/>
        </w:trPr>
        <w:tc>
          <w:tcPr>
            <w:tcW w:w="3812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DHM obstaraný kúpou</w:t>
            </w:r>
          </w:p>
        </w:tc>
        <w:tc>
          <w:tcPr>
            <w:tcW w:w="26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yellow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</w:rPr>
              <w:t>Obstarávacou cenou </w:t>
            </w:r>
          </w:p>
        </w:tc>
        <w:tc>
          <w:tcPr>
            <w:tcW w:w="283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</w:tr>
      <w:tr>
        <w:trPr>
          <w:trHeight w:val="264" w:hRule="atLeast"/>
        </w:trPr>
        <w:tc>
          <w:tcPr>
            <w:tcW w:w="3812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DHM obstaraný vlastnou činnosťou</w:t>
            </w:r>
          </w:p>
        </w:tc>
        <w:tc>
          <w:tcPr>
            <w:tcW w:w="26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color w:val="330099"/>
                <w:highlight w:val="yellow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</w:rPr>
              <w:t>Vlastnými nákladmi </w:t>
            </w:r>
          </w:p>
        </w:tc>
        <w:tc>
          <w:tcPr>
            <w:tcW w:w="283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</w:tr>
      <w:tr>
        <w:trPr>
          <w:trHeight w:val="282" w:hRule="atLeast"/>
        </w:trPr>
        <w:tc>
          <w:tcPr>
            <w:tcW w:w="3812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DHM obstaraný iným spôsobom</w:t>
            </w:r>
          </w:p>
        </w:tc>
        <w:tc>
          <w:tcPr>
            <w:tcW w:w="26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yellow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</w:rPr>
              <w:t>Obstarávacou cenou </w:t>
            </w:r>
          </w:p>
        </w:tc>
        <w:tc>
          <w:tcPr>
            <w:tcW w:w="283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</w:tr>
      <w:tr>
        <w:trPr>
          <w:trHeight w:val="272" w:hRule="atLeast"/>
        </w:trPr>
        <w:tc>
          <w:tcPr>
            <w:tcW w:w="3812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Dlhodobý finančný majetok</w:t>
            </w:r>
          </w:p>
        </w:tc>
        <w:tc>
          <w:tcPr>
            <w:tcW w:w="26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color w:val="330099"/>
                <w:highlight w:val="yellow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</w:rPr>
              <w:t>Menovitou hodnotou </w:t>
            </w:r>
          </w:p>
        </w:tc>
        <w:tc>
          <w:tcPr>
            <w:tcW w:w="283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</w:tr>
      <w:tr>
        <w:trPr>
          <w:trHeight w:val="276" w:hRule="atLeast"/>
        </w:trPr>
        <w:tc>
          <w:tcPr>
            <w:tcW w:w="3812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Zásoby obstarané kúpou</w:t>
            </w:r>
          </w:p>
        </w:tc>
        <w:tc>
          <w:tcPr>
            <w:tcW w:w="26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yellow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</w:rPr>
              <w:t>Obstarávacou cenou </w:t>
            </w:r>
          </w:p>
        </w:tc>
        <w:tc>
          <w:tcPr>
            <w:tcW w:w="283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</w:tr>
      <w:tr>
        <w:trPr>
          <w:trHeight w:val="266" w:hRule="atLeast"/>
        </w:trPr>
        <w:tc>
          <w:tcPr>
            <w:tcW w:w="3812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Zásoby vytvorené vlastnou činnosťou</w:t>
            </w:r>
          </w:p>
        </w:tc>
        <w:tc>
          <w:tcPr>
            <w:tcW w:w="26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yellow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</w:rPr>
              <w:t>Vlastnými nákladmi </w:t>
            </w:r>
          </w:p>
        </w:tc>
        <w:tc>
          <w:tcPr>
            <w:tcW w:w="283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</w:tr>
      <w:tr>
        <w:trPr>
          <w:trHeight w:val="142" w:hRule="atLeast"/>
        </w:trPr>
        <w:tc>
          <w:tcPr>
            <w:tcW w:w="3812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Zásoby obstarané iným spôsobom</w:t>
            </w:r>
          </w:p>
        </w:tc>
        <w:tc>
          <w:tcPr>
            <w:tcW w:w="26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color w:val="330099"/>
                <w:highlight w:val="yellow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</w:rPr>
              <w:t>Obstarávacou cenou </w:t>
            </w:r>
          </w:p>
        </w:tc>
        <w:tc>
          <w:tcPr>
            <w:tcW w:w="283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</w:tr>
      <w:tr>
        <w:trPr>
          <w:trHeight w:val="160" w:hRule="atLeast"/>
        </w:trPr>
        <w:tc>
          <w:tcPr>
            <w:tcW w:w="3812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Zákazková výroba</w:t>
            </w:r>
          </w:p>
        </w:tc>
        <w:tc>
          <w:tcPr>
            <w:tcW w:w="26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color w:val="330099"/>
                <w:highlight w:val="yellow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</w:rPr>
              <w:t> </w:t>
            </w:r>
            <w:r>
              <w:rPr>
                <w:rFonts w:cs="Times New Roman" w:ascii="Times New Roman" w:hAnsi="Times New Roman"/>
                <w:color w:val="330099"/>
                <w:sz w:val="22"/>
              </w:rPr>
              <w:t>Vlastnými nákladmi</w:t>
            </w:r>
          </w:p>
        </w:tc>
        <w:tc>
          <w:tcPr>
            <w:tcW w:w="283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</w:tr>
      <w:tr>
        <w:trPr>
          <w:trHeight w:val="390" w:hRule="atLeast"/>
        </w:trPr>
        <w:tc>
          <w:tcPr>
            <w:tcW w:w="3812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rPr/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Zákazková výstav. nehnuteľnosti určenej na predaj</w:t>
            </w:r>
          </w:p>
        </w:tc>
        <w:tc>
          <w:tcPr>
            <w:tcW w:w="26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color w:val="330099"/>
                <w:highlight w:val="yellow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</w:rPr>
              <w:t> </w:t>
            </w:r>
            <w:r>
              <w:rPr>
                <w:rFonts w:cs="Times New Roman" w:ascii="Times New Roman" w:hAnsi="Times New Roman"/>
                <w:color w:val="330099"/>
                <w:sz w:val="22"/>
              </w:rPr>
              <w:t>Vlastnými nákladmi</w:t>
            </w:r>
          </w:p>
        </w:tc>
        <w:tc>
          <w:tcPr>
            <w:tcW w:w="283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</w:tr>
      <w:tr>
        <w:trPr>
          <w:trHeight w:val="228" w:hRule="atLeast"/>
        </w:trPr>
        <w:tc>
          <w:tcPr>
            <w:tcW w:w="3812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rPr/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Vlastné pohľadávky</w:t>
            </w:r>
          </w:p>
        </w:tc>
        <w:tc>
          <w:tcPr>
            <w:tcW w:w="26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yellow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</w:rPr>
              <w:t>Menovitou hodnotou </w:t>
            </w:r>
          </w:p>
        </w:tc>
        <w:tc>
          <w:tcPr>
            <w:tcW w:w="283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</w:tr>
      <w:tr>
        <w:trPr>
          <w:trHeight w:val="247" w:hRule="atLeast"/>
        </w:trPr>
        <w:tc>
          <w:tcPr>
            <w:tcW w:w="3812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Krátkodobý finančný majetok</w:t>
            </w:r>
          </w:p>
        </w:tc>
        <w:tc>
          <w:tcPr>
            <w:tcW w:w="26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yellow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</w:rPr>
              <w:t>Menovitou hodnotou </w:t>
            </w:r>
          </w:p>
        </w:tc>
        <w:tc>
          <w:tcPr>
            <w:tcW w:w="283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</w:tr>
      <w:tr>
        <w:trPr>
          <w:trHeight w:val="121" w:hRule="atLeast"/>
        </w:trPr>
        <w:tc>
          <w:tcPr>
            <w:tcW w:w="3812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Deriváty</w:t>
            </w:r>
          </w:p>
        </w:tc>
        <w:tc>
          <w:tcPr>
            <w:tcW w:w="26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color w:val="330099"/>
                <w:highlight w:val="yellow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</w:rPr>
              <w:t>Nominálnou hodnotou </w:t>
            </w:r>
          </w:p>
        </w:tc>
        <w:tc>
          <w:tcPr>
            <w:tcW w:w="283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</w:tr>
      <w:tr>
        <w:trPr>
          <w:trHeight w:val="390" w:hRule="atLeast"/>
        </w:trPr>
        <w:tc>
          <w:tcPr>
            <w:tcW w:w="3812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Majetok a záväzky zabezpečené derivátmi</w:t>
            </w:r>
          </w:p>
        </w:tc>
        <w:tc>
          <w:tcPr>
            <w:tcW w:w="26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yellow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</w:rPr>
              <w:t>Nominálnou hodnotou </w:t>
            </w:r>
          </w:p>
        </w:tc>
        <w:tc>
          <w:tcPr>
            <w:tcW w:w="283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</w:tr>
      <w:tr>
        <w:trPr>
          <w:trHeight w:val="202" w:hRule="atLeast"/>
        </w:trPr>
        <w:tc>
          <w:tcPr>
            <w:tcW w:w="3812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Prenajatý majetok</w:t>
            </w:r>
          </w:p>
        </w:tc>
        <w:tc>
          <w:tcPr>
            <w:tcW w:w="26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color w:val="330099"/>
                <w:highlight w:val="yellow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</w:rPr>
              <w:t> </w:t>
            </w:r>
            <w:r>
              <w:rPr>
                <w:rFonts w:cs="Times New Roman" w:ascii="Times New Roman" w:hAnsi="Times New Roman"/>
                <w:color w:val="330099"/>
                <w:sz w:val="22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</w:tr>
      <w:tr>
        <w:trPr>
          <w:trHeight w:val="390" w:hRule="atLeast"/>
        </w:trPr>
        <w:tc>
          <w:tcPr>
            <w:tcW w:w="3812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rPr/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Majetok obstaraný zmluvou o kúpe prenajatej veci</w:t>
            </w:r>
          </w:p>
        </w:tc>
        <w:tc>
          <w:tcPr>
            <w:tcW w:w="26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color w:val="330099"/>
                <w:highlight w:val="yellow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</w:rPr>
              <w:t>Obstarávacou cenou </w:t>
            </w:r>
          </w:p>
        </w:tc>
        <w:tc>
          <w:tcPr>
            <w:tcW w:w="283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</w:tr>
      <w:tr>
        <w:trPr>
          <w:trHeight w:val="223" w:hRule="atLeast"/>
        </w:trPr>
        <w:tc>
          <w:tcPr>
            <w:tcW w:w="3812" w:type="dxa"/>
            <w:tcBorders>
              <w:top w:val="single" w:sz="4" w:space="0" w:color="000001"/>
              <w:left w:val="single" w:sz="18" w:space="0" w:color="000001"/>
              <w:bottom w:val="single" w:sz="14" w:space="0" w:color="000001"/>
              <w:right w:val="single" w:sz="12" w:space="0" w:color="000001"/>
              <w:insideH w:val="single" w:sz="1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Majetok obstaraný v privatizácii</w:t>
            </w:r>
          </w:p>
        </w:tc>
        <w:tc>
          <w:tcPr>
            <w:tcW w:w="2694" w:type="dxa"/>
            <w:tcBorders>
              <w:top w:val="single" w:sz="4" w:space="0" w:color="000001"/>
              <w:left w:val="single" w:sz="12" w:space="0" w:color="000001"/>
              <w:bottom w:val="single" w:sz="14" w:space="0" w:color="000001"/>
              <w:right w:val="single" w:sz="12" w:space="0" w:color="000001"/>
              <w:insideH w:val="single" w:sz="1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color w:val="330099"/>
                <w:highlight w:val="yellow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</w:rPr>
              <w:t>Obstarávacou  cenou</w:t>
            </w:r>
          </w:p>
        </w:tc>
        <w:tc>
          <w:tcPr>
            <w:tcW w:w="2835" w:type="dxa"/>
            <w:tcBorders>
              <w:top w:val="single" w:sz="4" w:space="0" w:color="000001"/>
              <w:left w:val="single" w:sz="12" w:space="0" w:color="000001"/>
              <w:bottom w:val="single" w:sz="14" w:space="0" w:color="000001"/>
              <w:right w:val="single" w:sz="18" w:space="0" w:color="000001"/>
              <w:insideH w:val="single" w:sz="1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hd w:fill="FFFFFF" w:val="clear"/>
              </w:rPr>
              <w:t> </w:t>
            </w:r>
          </w:p>
        </w:tc>
      </w:tr>
    </w:tbl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sz w:val="22"/>
          <w:shd w:fill="FFFFFF" w:val="clear"/>
        </w:rPr>
      </w:pPr>
      <w:r>
        <w:rPr>
          <w:rFonts w:cs="Times New Roman" w:ascii="Times New Roman" w:hAnsi="Times New Roman"/>
          <w:sz w:val="22"/>
          <w:shd w:fill="FFFFFF" w:val="clear"/>
        </w:rPr>
      </w:r>
    </w:p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b/>
          <w:b/>
          <w:sz w:val="22"/>
          <w:highlight w:val="white"/>
        </w:rPr>
      </w:pPr>
      <w:r>
        <w:rPr>
          <w:rFonts w:cs="Times New Roman" w:ascii="Times New Roman" w:hAnsi="Times New Roman"/>
          <w:b/>
          <w:sz w:val="22"/>
          <w:shd w:fill="FFFFFF" w:val="clear"/>
        </w:rPr>
        <w:t>III. 4 b)   Odhad zníženia hodnoty majetku a tvorba OP k majetku</w:t>
      </w:r>
    </w:p>
    <w:tbl>
      <w:tblPr>
        <w:tblW w:w="9341" w:type="dxa"/>
        <w:jc w:val="left"/>
        <w:tblInd w:w="-148" w:type="dxa"/>
        <w:tblBorders>
          <w:top w:val="single" w:sz="18" w:space="0" w:color="000001"/>
          <w:left w:val="single" w:sz="18" w:space="0" w:color="000001"/>
          <w:bottom w:val="single" w:sz="18" w:space="0" w:color="000001"/>
          <w:right w:val="single" w:sz="12" w:space="0" w:color="000001"/>
          <w:insideH w:val="single" w:sz="18" w:space="0" w:color="000001"/>
          <w:insideV w:val="single" w:sz="12" w:space="0" w:color="000001"/>
        </w:tblBorders>
        <w:tblCellMar>
          <w:top w:w="0" w:type="dxa"/>
          <w:left w:w="-22" w:type="dxa"/>
          <w:bottom w:w="0" w:type="dxa"/>
          <w:right w:w="70" w:type="dxa"/>
        </w:tblCellMar>
        <w:tblLook w:val="0000"/>
      </w:tblPr>
      <w:tblGrid>
        <w:gridCol w:w="3019"/>
        <w:gridCol w:w="2920"/>
        <w:gridCol w:w="3402"/>
      </w:tblGrid>
      <w:tr>
        <w:trPr>
          <w:trHeight w:val="735" w:hRule="atLeast"/>
        </w:trPr>
        <w:tc>
          <w:tcPr>
            <w:tcW w:w="3019" w:type="dxa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Charakteristika majetku</w:t>
            </w:r>
          </w:p>
        </w:tc>
        <w:tc>
          <w:tcPr>
            <w:tcW w:w="2920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Vytvorená OP</w:t>
            </w:r>
          </w:p>
        </w:tc>
      </w:tr>
      <w:tr>
        <w:trPr>
          <w:trHeight w:val="390" w:hRule="atLeast"/>
        </w:trPr>
        <w:tc>
          <w:tcPr>
            <w:tcW w:w="3019" w:type="dxa"/>
            <w:tcBorders>
              <w:top w:val="single" w:sz="18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920" w:type="dxa"/>
            <w:tcBorders>
              <w:top w:val="single" w:sz="1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3402" w:type="dxa"/>
            <w:tcBorders>
              <w:top w:val="single" w:sz="18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300" w:firstLine="66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390" w:hRule="atLeast"/>
        </w:trPr>
        <w:tc>
          <w:tcPr>
            <w:tcW w:w="3019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92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340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300" w:firstLine="66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390" w:hRule="atLeast"/>
        </w:trPr>
        <w:tc>
          <w:tcPr>
            <w:tcW w:w="3019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92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340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300" w:firstLine="66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390" w:hRule="atLeast"/>
        </w:trPr>
        <w:tc>
          <w:tcPr>
            <w:tcW w:w="3019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92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340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300" w:firstLine="66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390" w:hRule="atLeast"/>
        </w:trPr>
        <w:tc>
          <w:tcPr>
            <w:tcW w:w="3019" w:type="dxa"/>
            <w:tcBorders>
              <w:top w:val="single" w:sz="6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920" w:type="dxa"/>
            <w:tcBorders>
              <w:top w:val="single" w:sz="6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3402" w:type="dxa"/>
            <w:tcBorders>
              <w:top w:val="single" w:sz="6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300" w:firstLine="66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</w:tbl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shd w:fill="FFFFFF" w:val="clear"/>
        </w:rPr>
      </w:pPr>
      <w:r>
        <w:rPr>
          <w:rFonts w:cs="Times New Roman" w:ascii="Times New Roman" w:hAnsi="Times New Roman"/>
          <w:shd w:fill="FFFFFF" w:val="clear"/>
        </w:rPr>
      </w:r>
    </w:p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shd w:fill="FFFFFF" w:val="clear"/>
        </w:rPr>
      </w:pPr>
      <w:r>
        <w:rPr>
          <w:rFonts w:cs="Times New Roman" w:ascii="Times New Roman" w:hAnsi="Times New Roman"/>
          <w:shd w:fill="FFFFFF" w:val="clear"/>
        </w:rPr>
      </w:r>
    </w:p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shd w:fill="FFFFFF" w:val="clear"/>
        </w:rPr>
      </w:pPr>
      <w:r>
        <w:rPr>
          <w:rFonts w:cs="Times New Roman" w:ascii="Times New Roman" w:hAnsi="Times New Roman"/>
          <w:shd w:fill="FFFFFF" w:val="clear"/>
        </w:rPr>
      </w:r>
    </w:p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shd w:fill="FFFFFF" w:val="clear"/>
        </w:rPr>
      </w:pPr>
      <w:r>
        <w:rPr>
          <w:rFonts w:cs="Times New Roman" w:ascii="Times New Roman" w:hAnsi="Times New Roman"/>
          <w:shd w:fill="FFFFFF" w:val="clear"/>
        </w:rPr>
      </w:r>
    </w:p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shd w:fill="FFFFFF" w:val="clear"/>
        </w:rPr>
      </w:pPr>
      <w:r>
        <w:rPr>
          <w:rFonts w:cs="Times New Roman" w:ascii="Times New Roman" w:hAnsi="Times New Roman"/>
          <w:shd w:fill="FFFFFF" w:val="clear"/>
        </w:rPr>
      </w:r>
    </w:p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shd w:fill="FFFFFF" w:val="clear"/>
        </w:rPr>
      </w:pPr>
      <w:r>
        <w:rPr>
          <w:rFonts w:cs="Times New Roman" w:ascii="Times New Roman" w:hAnsi="Times New Roman"/>
          <w:shd w:fill="FFFFFF" w:val="clear"/>
        </w:rPr>
      </w:r>
    </w:p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shd w:fill="FFFFFF" w:val="clear"/>
        </w:rPr>
      </w:pPr>
      <w:r>
        <w:rPr>
          <w:rFonts w:cs="Times New Roman" w:ascii="Times New Roman" w:hAnsi="Times New Roman"/>
          <w:shd w:fill="FFFFFF" w:val="clear"/>
        </w:rPr>
      </w:r>
    </w:p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b/>
          <w:b/>
          <w:sz w:val="22"/>
          <w:highlight w:val="white"/>
        </w:rPr>
      </w:pPr>
      <w:r>
        <w:rPr>
          <w:rFonts w:cs="Times New Roman" w:ascii="Times New Roman" w:hAnsi="Times New Roman"/>
          <w:b/>
          <w:sz w:val="22"/>
          <w:shd w:fill="FFFFFF" w:val="clear"/>
        </w:rPr>
        <w:t>III. 4 c)   Ocenenie záväzkov a stanovenie odhadu ocenenia rezerv</w:t>
      </w:r>
    </w:p>
    <w:tbl>
      <w:tblPr>
        <w:tblW w:w="9341" w:type="dxa"/>
        <w:jc w:val="left"/>
        <w:tblInd w:w="-148" w:type="dxa"/>
        <w:tblBorders>
          <w:top w:val="single" w:sz="18" w:space="0" w:color="000001"/>
          <w:left w:val="single" w:sz="18" w:space="0" w:color="000001"/>
          <w:bottom w:val="single" w:sz="18" w:space="0" w:color="000001"/>
          <w:right w:val="single" w:sz="18" w:space="0" w:color="000001"/>
          <w:insideH w:val="single" w:sz="18" w:space="0" w:color="000001"/>
          <w:insideV w:val="single" w:sz="18" w:space="0" w:color="000001"/>
        </w:tblBorders>
        <w:tblCellMar>
          <w:top w:w="0" w:type="dxa"/>
          <w:left w:w="-22" w:type="dxa"/>
          <w:bottom w:w="0" w:type="dxa"/>
          <w:right w:w="70" w:type="dxa"/>
        </w:tblCellMar>
        <w:tblLook w:val="0000"/>
      </w:tblPr>
      <w:tblGrid>
        <w:gridCol w:w="4805"/>
        <w:gridCol w:w="4535"/>
      </w:tblGrid>
      <w:tr>
        <w:trPr>
          <w:trHeight w:val="390" w:hRule="atLeast"/>
        </w:trPr>
        <w:tc>
          <w:tcPr>
            <w:tcW w:w="4805" w:type="dxa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Určenie ocenenia záväzkov</w:t>
            </w:r>
          </w:p>
        </w:tc>
        <w:tc>
          <w:tcPr>
            <w:tcW w:w="4535" w:type="dxa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Odhad ocenenia rezerv</w:t>
            </w:r>
          </w:p>
        </w:tc>
      </w:tr>
      <w:tr>
        <w:trPr>
          <w:trHeight w:val="390" w:hRule="atLeast"/>
        </w:trPr>
        <w:tc>
          <w:tcPr>
            <w:tcW w:w="4805" w:type="dxa"/>
            <w:tcBorders>
              <w:top w:val="single" w:sz="18" w:space="0" w:color="000001"/>
              <w:left w:val="single" w:sz="18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4535" w:type="dxa"/>
            <w:tcBorders>
              <w:top w:val="single" w:sz="18" w:space="0" w:color="000001"/>
              <w:left w:val="single" w:sz="18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390" w:hRule="atLeast"/>
        </w:trPr>
        <w:tc>
          <w:tcPr>
            <w:tcW w:w="4805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4535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390" w:hRule="atLeast"/>
        </w:trPr>
        <w:tc>
          <w:tcPr>
            <w:tcW w:w="4805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4535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390" w:hRule="atLeast"/>
        </w:trPr>
        <w:tc>
          <w:tcPr>
            <w:tcW w:w="4805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4535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390" w:hRule="atLeast"/>
        </w:trPr>
        <w:tc>
          <w:tcPr>
            <w:tcW w:w="4805" w:type="dxa"/>
            <w:tcBorders>
              <w:top w:val="single" w:sz="4" w:space="0" w:color="000001"/>
              <w:left w:val="single" w:sz="18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4535" w:type="dxa"/>
            <w:tcBorders>
              <w:top w:val="single" w:sz="4" w:space="0" w:color="000001"/>
              <w:left w:val="single" w:sz="18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</w:tbl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shd w:fill="FFFFFF" w:val="clear"/>
        </w:rPr>
      </w:pPr>
      <w:r>
        <w:rPr>
          <w:rFonts w:cs="Times New Roman" w:ascii="Times New Roman" w:hAnsi="Times New Roman"/>
          <w:shd w:fill="FFFFFF" w:val="clear"/>
        </w:rPr>
      </w:r>
    </w:p>
    <w:p>
      <w:pPr>
        <w:pStyle w:val="Normal"/>
        <w:spacing w:lineRule="exact" w:line="240" w:before="0" w:after="160"/>
        <w:ind w:left="993" w:hanging="993"/>
        <w:jc w:val="both"/>
        <w:rPr>
          <w:rFonts w:ascii="Times New Roman" w:hAnsi="Times New Roman" w:cs="Times New Roman"/>
          <w:b/>
          <w:b/>
          <w:sz w:val="22"/>
          <w:highlight w:val="white"/>
        </w:rPr>
      </w:pPr>
      <w:r>
        <w:rPr>
          <w:rFonts w:cs="Times New Roman" w:ascii="Times New Roman" w:hAnsi="Times New Roman"/>
          <w:b/>
          <w:sz w:val="22"/>
          <w:shd w:fill="FFFFFF" w:val="clear"/>
        </w:rPr>
        <w:t>III. 4 d)  Ocenenie finančných nástrojov alebo majetku, ktorý nie je finančným nástrojom pri oceňovaní reálnou hodnotou</w:t>
      </w:r>
    </w:p>
    <w:tbl>
      <w:tblPr>
        <w:tblW w:w="9341" w:type="dxa"/>
        <w:jc w:val="left"/>
        <w:tblInd w:w="-148" w:type="dxa"/>
        <w:tblBorders>
          <w:top w:val="single" w:sz="18" w:space="0" w:color="000001"/>
          <w:left w:val="single" w:sz="18" w:space="0" w:color="000001"/>
          <w:bottom w:val="single" w:sz="18" w:space="0" w:color="000001"/>
          <w:right w:val="single" w:sz="12" w:space="0" w:color="000001"/>
          <w:insideH w:val="single" w:sz="18" w:space="0" w:color="000001"/>
          <w:insideV w:val="single" w:sz="12" w:space="0" w:color="000001"/>
        </w:tblBorders>
        <w:tblCellMar>
          <w:top w:w="0" w:type="dxa"/>
          <w:left w:w="-22" w:type="dxa"/>
          <w:bottom w:w="0" w:type="dxa"/>
          <w:right w:w="70" w:type="dxa"/>
        </w:tblCellMar>
        <w:tblLook w:val="0000"/>
      </w:tblPr>
      <w:tblGrid>
        <w:gridCol w:w="1956"/>
        <w:gridCol w:w="2849"/>
        <w:gridCol w:w="1417"/>
        <w:gridCol w:w="1559"/>
        <w:gridCol w:w="1560"/>
      </w:tblGrid>
      <w:tr>
        <w:trPr>
          <w:trHeight w:val="1870" w:hRule="atLeast"/>
        </w:trPr>
        <w:tc>
          <w:tcPr>
            <w:tcW w:w="1956" w:type="dxa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 xml:space="preserve">Finančný nástroj (FN) alebo majetok, ktorý nie je FN pri oceňovaní reálnou hodnotou </w:t>
            </w:r>
          </w:p>
        </w:tc>
        <w:tc>
          <w:tcPr>
            <w:tcW w:w="2849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Reálna hodnota</w:t>
            </w:r>
          </w:p>
        </w:tc>
        <w:tc>
          <w:tcPr>
            <w:tcW w:w="1559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Vplyv reálnej hodnoty na VH</w:t>
            </w:r>
          </w:p>
        </w:tc>
        <w:tc>
          <w:tcPr>
            <w:tcW w:w="1560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Vplyv reálnej hodnoty na VI</w:t>
            </w:r>
          </w:p>
        </w:tc>
      </w:tr>
      <w:tr>
        <w:trPr>
          <w:trHeight w:val="390" w:hRule="atLeast"/>
        </w:trPr>
        <w:tc>
          <w:tcPr>
            <w:tcW w:w="1956" w:type="dxa"/>
            <w:tcBorders>
              <w:top w:val="single" w:sz="18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b/>
                <w:color w:val="000000"/>
                <w:sz w:val="22"/>
                <w:shd w:fill="FFFFFF" w:val="clear"/>
              </w:rPr>
              <w:t> </w:t>
            </w:r>
          </w:p>
        </w:tc>
        <w:tc>
          <w:tcPr>
            <w:tcW w:w="2849" w:type="dxa"/>
            <w:tcBorders>
              <w:top w:val="single" w:sz="1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b/>
                <w:color w:val="000000"/>
                <w:sz w:val="22"/>
                <w:shd w:fill="FFFFFF" w:val="clear"/>
              </w:rPr>
              <w:t> </w:t>
            </w:r>
          </w:p>
        </w:tc>
        <w:tc>
          <w:tcPr>
            <w:tcW w:w="1417" w:type="dxa"/>
            <w:tcBorders>
              <w:top w:val="single" w:sz="1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b/>
                <w:color w:val="000000"/>
                <w:sz w:val="22"/>
                <w:shd w:fill="FFFFFF" w:val="clear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b/>
                <w:color w:val="000000"/>
                <w:sz w:val="22"/>
                <w:shd w:fill="FFFFFF" w:val="clear"/>
              </w:rPr>
              <w:t> </w:t>
            </w:r>
          </w:p>
        </w:tc>
        <w:tc>
          <w:tcPr>
            <w:tcW w:w="1560" w:type="dxa"/>
            <w:tcBorders>
              <w:top w:val="single" w:sz="18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b/>
                <w:color w:val="000000"/>
                <w:sz w:val="22"/>
                <w:shd w:fill="FFFFFF" w:val="clear"/>
              </w:rPr>
              <w:t> </w:t>
            </w:r>
          </w:p>
        </w:tc>
      </w:tr>
      <w:tr>
        <w:trPr>
          <w:trHeight w:val="390" w:hRule="atLeast"/>
        </w:trPr>
        <w:tc>
          <w:tcPr>
            <w:tcW w:w="1956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b/>
                <w:color w:val="000000"/>
                <w:sz w:val="22"/>
                <w:shd w:fill="FFFFFF" w:val="clear"/>
              </w:rPr>
              <w:t> </w:t>
            </w:r>
          </w:p>
        </w:tc>
        <w:tc>
          <w:tcPr>
            <w:tcW w:w="284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b/>
                <w:color w:val="000000"/>
                <w:sz w:val="22"/>
                <w:shd w:fill="FFFFFF" w:val="clear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b/>
                <w:color w:val="000000"/>
                <w:sz w:val="22"/>
                <w:shd w:fill="FFFFFF" w:val="clear"/>
              </w:rPr>
              <w:t> </w:t>
            </w:r>
          </w:p>
        </w:tc>
        <w:tc>
          <w:tcPr>
            <w:tcW w:w="155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b/>
                <w:color w:val="000000"/>
                <w:sz w:val="22"/>
                <w:shd w:fill="FFFFFF" w:val="clear"/>
              </w:rPr>
              <w:t> </w:t>
            </w:r>
          </w:p>
        </w:tc>
        <w:tc>
          <w:tcPr>
            <w:tcW w:w="156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b/>
                <w:color w:val="000000"/>
                <w:sz w:val="22"/>
                <w:shd w:fill="FFFFFF" w:val="clear"/>
              </w:rPr>
              <w:t> </w:t>
            </w:r>
          </w:p>
        </w:tc>
      </w:tr>
      <w:tr>
        <w:trPr>
          <w:trHeight w:val="390" w:hRule="atLeast"/>
        </w:trPr>
        <w:tc>
          <w:tcPr>
            <w:tcW w:w="1956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b/>
                <w:color w:val="000000"/>
                <w:sz w:val="22"/>
                <w:shd w:fill="FFFFFF" w:val="clear"/>
              </w:rPr>
              <w:t> </w:t>
            </w:r>
          </w:p>
        </w:tc>
        <w:tc>
          <w:tcPr>
            <w:tcW w:w="284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b/>
                <w:color w:val="000000"/>
                <w:sz w:val="22"/>
                <w:shd w:fill="FFFFFF" w:val="clear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b/>
                <w:color w:val="000000"/>
                <w:sz w:val="22"/>
                <w:shd w:fill="FFFFFF" w:val="clear"/>
              </w:rPr>
              <w:t> </w:t>
            </w:r>
          </w:p>
        </w:tc>
        <w:tc>
          <w:tcPr>
            <w:tcW w:w="155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b/>
                <w:color w:val="000000"/>
                <w:sz w:val="22"/>
                <w:shd w:fill="FFFFFF" w:val="clear"/>
              </w:rPr>
              <w:t> </w:t>
            </w:r>
          </w:p>
        </w:tc>
        <w:tc>
          <w:tcPr>
            <w:tcW w:w="156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b/>
                <w:color w:val="000000"/>
                <w:sz w:val="22"/>
                <w:shd w:fill="FFFFFF" w:val="clear"/>
              </w:rPr>
              <w:t> </w:t>
            </w:r>
          </w:p>
        </w:tc>
      </w:tr>
      <w:tr>
        <w:trPr>
          <w:trHeight w:val="390" w:hRule="atLeast"/>
        </w:trPr>
        <w:tc>
          <w:tcPr>
            <w:tcW w:w="1956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b/>
                <w:color w:val="000000"/>
                <w:sz w:val="22"/>
                <w:shd w:fill="FFFFFF" w:val="clear"/>
              </w:rPr>
              <w:t> </w:t>
            </w:r>
          </w:p>
        </w:tc>
        <w:tc>
          <w:tcPr>
            <w:tcW w:w="284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b/>
                <w:color w:val="000000"/>
                <w:sz w:val="22"/>
                <w:shd w:fill="FFFFFF" w:val="clear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b/>
                <w:color w:val="000000"/>
                <w:sz w:val="22"/>
                <w:shd w:fill="FFFFFF" w:val="clear"/>
              </w:rPr>
              <w:t> </w:t>
            </w:r>
          </w:p>
        </w:tc>
        <w:tc>
          <w:tcPr>
            <w:tcW w:w="155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b/>
                <w:color w:val="000000"/>
                <w:sz w:val="22"/>
                <w:shd w:fill="FFFFFF" w:val="clear"/>
              </w:rPr>
              <w:t> </w:t>
            </w:r>
          </w:p>
        </w:tc>
        <w:tc>
          <w:tcPr>
            <w:tcW w:w="156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b/>
                <w:color w:val="000000"/>
                <w:sz w:val="22"/>
                <w:shd w:fill="FFFFFF" w:val="clear"/>
              </w:rPr>
              <w:t> </w:t>
            </w:r>
          </w:p>
        </w:tc>
      </w:tr>
      <w:tr>
        <w:trPr>
          <w:trHeight w:val="390" w:hRule="atLeast"/>
        </w:trPr>
        <w:tc>
          <w:tcPr>
            <w:tcW w:w="1956" w:type="dxa"/>
            <w:tcBorders>
              <w:top w:val="single" w:sz="4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b/>
                <w:color w:val="000000"/>
                <w:sz w:val="22"/>
                <w:shd w:fill="FFFFFF" w:val="clear"/>
              </w:rPr>
              <w:t> </w:t>
            </w:r>
          </w:p>
        </w:tc>
        <w:tc>
          <w:tcPr>
            <w:tcW w:w="2849" w:type="dxa"/>
            <w:tcBorders>
              <w:top w:val="single" w:sz="4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b/>
                <w:color w:val="000000"/>
                <w:sz w:val="22"/>
                <w:shd w:fill="FFFFFF" w:val="clear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b/>
                <w:color w:val="000000"/>
                <w:sz w:val="22"/>
                <w:shd w:fill="FFFFFF" w:val="clear"/>
              </w:rPr>
              <w:t> </w:t>
            </w:r>
          </w:p>
        </w:tc>
        <w:tc>
          <w:tcPr>
            <w:tcW w:w="1559" w:type="dxa"/>
            <w:tcBorders>
              <w:top w:val="single" w:sz="4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b/>
                <w:color w:val="000000"/>
                <w:sz w:val="22"/>
                <w:shd w:fill="FFFFFF" w:val="clear"/>
              </w:rPr>
              <w:t> </w:t>
            </w:r>
          </w:p>
        </w:tc>
        <w:tc>
          <w:tcPr>
            <w:tcW w:w="1560" w:type="dxa"/>
            <w:tcBorders>
              <w:top w:val="single" w:sz="4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b/>
                <w:color w:val="000000"/>
                <w:sz w:val="22"/>
                <w:shd w:fill="FFFFFF" w:val="clear"/>
              </w:rPr>
              <w:t> </w:t>
            </w:r>
          </w:p>
        </w:tc>
      </w:tr>
    </w:tbl>
    <w:p>
      <w:pPr>
        <w:pStyle w:val="Normal"/>
        <w:spacing w:lineRule="exact" w:line="240" w:before="240" w:after="160"/>
        <w:jc w:val="both"/>
        <w:rPr>
          <w:rFonts w:ascii="Times New Roman" w:hAnsi="Times New Roman" w:cs="Times New Roman"/>
          <w:b/>
          <w:b/>
          <w:sz w:val="22"/>
          <w:highlight w:val="white"/>
        </w:rPr>
      </w:pPr>
      <w:r>
        <w:rPr>
          <w:rFonts w:cs="Times New Roman" w:ascii="Times New Roman" w:hAnsi="Times New Roman"/>
          <w:b/>
          <w:sz w:val="22"/>
          <w:shd w:fill="FFFFFF" w:val="clear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>
      <w:pPr>
        <w:pStyle w:val="Normal"/>
        <w:spacing w:lineRule="exact" w:line="240" w:before="240" w:after="160"/>
        <w:ind w:left="993" w:hanging="993"/>
        <w:jc w:val="both"/>
        <w:rPr>
          <w:rFonts w:ascii="Times New Roman" w:hAnsi="Times New Roman" w:cs="Times New Roman"/>
          <w:b/>
          <w:b/>
          <w:sz w:val="22"/>
          <w:highlight w:val="white"/>
        </w:rPr>
      </w:pPr>
      <w:r>
        <w:rPr>
          <w:rFonts w:cs="Times New Roman" w:ascii="Times New Roman" w:hAnsi="Times New Roman"/>
          <w:b/>
          <w:sz w:val="22"/>
          <w:shd w:fill="FFFFFF" w:val="clear"/>
        </w:rPr>
        <w:t>III. 4 e)</w:t>
        <w:tab/>
        <w:t>Ocenenie finančných nástrojov pri oceňovaní obstarávacou cenou alebo vlastnými nákladmi</w:t>
      </w:r>
    </w:p>
    <w:tbl>
      <w:tblPr>
        <w:tblW w:w="9465" w:type="dxa"/>
        <w:jc w:val="left"/>
        <w:tblInd w:w="-148" w:type="dxa"/>
        <w:tblBorders>
          <w:top w:val="single" w:sz="18" w:space="0" w:color="000001"/>
          <w:left w:val="single" w:sz="18" w:space="0" w:color="000001"/>
          <w:bottom w:val="single" w:sz="12" w:space="0" w:color="000001"/>
          <w:right w:val="single" w:sz="12" w:space="0" w:color="000001"/>
          <w:insideH w:val="single" w:sz="12" w:space="0" w:color="000001"/>
          <w:insideV w:val="single" w:sz="12" w:space="0" w:color="000001"/>
        </w:tblBorders>
        <w:tblCellMar>
          <w:top w:w="0" w:type="dxa"/>
          <w:left w:w="-22" w:type="dxa"/>
          <w:bottom w:w="0" w:type="dxa"/>
          <w:right w:w="70" w:type="dxa"/>
        </w:tblCellMar>
        <w:tblLook w:val="0000"/>
      </w:tblPr>
      <w:tblGrid>
        <w:gridCol w:w="1958"/>
        <w:gridCol w:w="1571"/>
        <w:gridCol w:w="1701"/>
        <w:gridCol w:w="1835"/>
        <w:gridCol w:w="2400"/>
      </w:tblGrid>
      <w:tr>
        <w:trPr>
          <w:trHeight w:val="569" w:hRule="atLeast"/>
        </w:trPr>
        <w:tc>
          <w:tcPr>
            <w:tcW w:w="1958" w:type="dxa"/>
            <w:tcBorders>
              <w:top w:val="single" w:sz="18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Druh FM</w:t>
            </w:r>
          </w:p>
        </w:tc>
        <w:tc>
          <w:tcPr>
            <w:tcW w:w="1571" w:type="dxa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Charakteristika FM</w:t>
            </w:r>
          </w:p>
        </w:tc>
        <w:tc>
          <w:tcPr>
            <w:tcW w:w="2400" w:type="dxa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Dôvod pre nezníženie účtovnej hodnoty</w:t>
            </w:r>
          </w:p>
        </w:tc>
      </w:tr>
      <w:tr>
        <w:trPr>
          <w:trHeight w:val="285" w:hRule="atLeast"/>
        </w:trPr>
        <w:tc>
          <w:tcPr>
            <w:tcW w:w="1958" w:type="dxa"/>
            <w:tcBorders>
              <w:top w:val="single" w:sz="12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 </w:t>
            </w:r>
          </w:p>
        </w:tc>
        <w:tc>
          <w:tcPr>
            <w:tcW w:w="157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 </w:t>
            </w:r>
          </w:p>
        </w:tc>
        <w:tc>
          <w:tcPr>
            <w:tcW w:w="170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 </w:t>
            </w:r>
          </w:p>
        </w:tc>
        <w:tc>
          <w:tcPr>
            <w:tcW w:w="183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 </w:t>
            </w:r>
          </w:p>
        </w:tc>
        <w:tc>
          <w:tcPr>
            <w:tcW w:w="240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 </w:t>
            </w:r>
          </w:p>
        </w:tc>
      </w:tr>
      <w:tr>
        <w:trPr>
          <w:trHeight w:val="285" w:hRule="atLeast"/>
        </w:trPr>
        <w:tc>
          <w:tcPr>
            <w:tcW w:w="1958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 </w:t>
            </w:r>
          </w:p>
        </w:tc>
        <w:tc>
          <w:tcPr>
            <w:tcW w:w="157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 </w:t>
            </w:r>
          </w:p>
        </w:tc>
        <w:tc>
          <w:tcPr>
            <w:tcW w:w="183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 </w:t>
            </w:r>
          </w:p>
        </w:tc>
        <w:tc>
          <w:tcPr>
            <w:tcW w:w="240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 </w:t>
            </w:r>
          </w:p>
        </w:tc>
      </w:tr>
      <w:tr>
        <w:trPr>
          <w:trHeight w:val="285" w:hRule="atLeast"/>
        </w:trPr>
        <w:tc>
          <w:tcPr>
            <w:tcW w:w="1958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 </w:t>
            </w:r>
          </w:p>
        </w:tc>
        <w:tc>
          <w:tcPr>
            <w:tcW w:w="157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 </w:t>
            </w:r>
          </w:p>
        </w:tc>
        <w:tc>
          <w:tcPr>
            <w:tcW w:w="183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 </w:t>
            </w:r>
          </w:p>
        </w:tc>
        <w:tc>
          <w:tcPr>
            <w:tcW w:w="240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 </w:t>
            </w:r>
          </w:p>
        </w:tc>
      </w:tr>
      <w:tr>
        <w:trPr>
          <w:trHeight w:val="285" w:hRule="atLeast"/>
        </w:trPr>
        <w:tc>
          <w:tcPr>
            <w:tcW w:w="1958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 </w:t>
            </w:r>
          </w:p>
        </w:tc>
        <w:tc>
          <w:tcPr>
            <w:tcW w:w="157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 </w:t>
            </w:r>
          </w:p>
        </w:tc>
        <w:tc>
          <w:tcPr>
            <w:tcW w:w="183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 </w:t>
            </w:r>
          </w:p>
        </w:tc>
        <w:tc>
          <w:tcPr>
            <w:tcW w:w="240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 </w:t>
            </w:r>
          </w:p>
        </w:tc>
      </w:tr>
      <w:tr>
        <w:trPr>
          <w:trHeight w:val="285" w:hRule="atLeast"/>
        </w:trPr>
        <w:tc>
          <w:tcPr>
            <w:tcW w:w="1958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 </w:t>
            </w:r>
          </w:p>
        </w:tc>
        <w:tc>
          <w:tcPr>
            <w:tcW w:w="157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 </w:t>
            </w:r>
          </w:p>
        </w:tc>
        <w:tc>
          <w:tcPr>
            <w:tcW w:w="183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 </w:t>
            </w:r>
          </w:p>
        </w:tc>
        <w:tc>
          <w:tcPr>
            <w:tcW w:w="240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 </w:t>
            </w:r>
          </w:p>
        </w:tc>
      </w:tr>
      <w:tr>
        <w:trPr>
          <w:trHeight w:val="285" w:hRule="atLeast"/>
        </w:trPr>
        <w:tc>
          <w:tcPr>
            <w:tcW w:w="1958" w:type="dxa"/>
            <w:tcBorders>
              <w:top w:val="single" w:sz="4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 </w:t>
            </w:r>
          </w:p>
        </w:tc>
        <w:tc>
          <w:tcPr>
            <w:tcW w:w="1571" w:type="dxa"/>
            <w:tcBorders>
              <w:top w:val="single" w:sz="4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 </w:t>
            </w:r>
          </w:p>
        </w:tc>
        <w:tc>
          <w:tcPr>
            <w:tcW w:w="1835" w:type="dxa"/>
            <w:tcBorders>
              <w:top w:val="single" w:sz="4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 </w:t>
            </w:r>
          </w:p>
        </w:tc>
        <w:tc>
          <w:tcPr>
            <w:tcW w:w="2400" w:type="dxa"/>
            <w:tcBorders>
              <w:top w:val="single" w:sz="4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 </w:t>
            </w:r>
          </w:p>
        </w:tc>
      </w:tr>
    </w:tbl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shd w:fill="FFFFFF" w:val="clear"/>
        </w:rPr>
      </w:pPr>
      <w:r>
        <w:rPr>
          <w:rFonts w:cs="Times New Roman" w:ascii="Times New Roman" w:hAnsi="Times New Roman"/>
          <w:shd w:fill="FFFFFF" w:val="clear"/>
        </w:rPr>
      </w:r>
    </w:p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b/>
          <w:b/>
          <w:sz w:val="22"/>
          <w:highlight w:val="white"/>
        </w:rPr>
      </w:pPr>
      <w:r>
        <w:rPr/>
      </w:r>
    </w:p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b/>
          <w:b/>
          <w:sz w:val="22"/>
          <w:highlight w:val="white"/>
        </w:rPr>
      </w:pPr>
      <w:r>
        <w:rPr/>
      </w:r>
    </w:p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b/>
          <w:b/>
          <w:sz w:val="22"/>
          <w:highlight w:val="white"/>
        </w:rPr>
      </w:pPr>
      <w:r>
        <w:rPr>
          <w:rFonts w:cs="Times New Roman" w:ascii="Times New Roman" w:hAnsi="Times New Roman"/>
          <w:b/>
          <w:sz w:val="22"/>
          <w:shd w:fill="FFFFFF" w:val="clear"/>
        </w:rPr>
        <w:t>III. 4 f)      Spôsob stanovenia metódy vlastného imania</w:t>
      </w:r>
    </w:p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shd w:fill="FFFFFF" w:val="clear"/>
        </w:rPr>
      </w:pPr>
      <w:r>
        <w:rPr>
          <w:rFonts w:cs="Times New Roman" w:ascii="Times New Roman" w:hAnsi="Times New Roman"/>
          <w:shd w:fill="FFFFFF" w:val="clear"/>
        </w:rPr>
      </w:r>
    </w:p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b/>
          <w:b/>
          <w:sz w:val="22"/>
          <w:highlight w:val="white"/>
        </w:rPr>
      </w:pPr>
      <w:r>
        <w:rPr>
          <w:rFonts w:cs="Times New Roman" w:ascii="Times New Roman" w:hAnsi="Times New Roman"/>
          <w:b/>
          <w:sz w:val="22"/>
          <w:shd w:fill="FFFFFF" w:val="clear"/>
        </w:rPr>
        <w:t>III. 4 g)     Spôsob zostavenia odpisového plánu dlhodobého majetku</w:t>
      </w:r>
    </w:p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sz w:val="22"/>
          <w:highlight w:val="white"/>
        </w:rPr>
      </w:pPr>
      <w:r>
        <w:rPr>
          <w:rFonts w:cs="Times New Roman" w:ascii="Times New Roman" w:hAnsi="Times New Roman"/>
          <w:sz w:val="22"/>
          <w:shd w:fill="FFFFFF" w:val="clear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W w:w="9356" w:type="dxa"/>
        <w:jc w:val="left"/>
        <w:tblInd w:w="-110" w:type="dxa"/>
        <w:tblBorders>
          <w:top w:val="single" w:sz="18" w:space="0" w:color="000001"/>
          <w:left w:val="single" w:sz="18" w:space="0" w:color="000001"/>
          <w:bottom w:val="single" w:sz="18" w:space="0" w:color="000001"/>
          <w:right w:val="single" w:sz="12" w:space="0" w:color="000001"/>
          <w:insideH w:val="single" w:sz="18" w:space="0" w:color="000001"/>
          <w:insideV w:val="single" w:sz="12" w:space="0" w:color="000001"/>
        </w:tblBorders>
        <w:tblCellMar>
          <w:top w:w="0" w:type="dxa"/>
          <w:left w:w="-22" w:type="dxa"/>
          <w:bottom w:w="0" w:type="dxa"/>
          <w:right w:w="108" w:type="dxa"/>
        </w:tblCellMar>
        <w:tblLook w:val="0000"/>
      </w:tblPr>
      <w:tblGrid>
        <w:gridCol w:w="2839"/>
        <w:gridCol w:w="2264"/>
        <w:gridCol w:w="1986"/>
        <w:gridCol w:w="2266"/>
      </w:tblGrid>
      <w:tr>
        <w:trPr>
          <w:trHeight w:val="1" w:hRule="atLeast"/>
        </w:trPr>
        <w:tc>
          <w:tcPr>
            <w:tcW w:w="2839" w:type="dxa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000000" w:fill="FFFFFF" w:val="clear"/>
            <w:tcMar>
              <w:left w:w="-22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000000" w:fill="FFFFFF" w:val="clear"/>
            <w:tcMar>
              <w:left w:w="18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Doba odpisovania</w:t>
            </w:r>
          </w:p>
        </w:tc>
        <w:tc>
          <w:tcPr>
            <w:tcW w:w="1986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000000" w:fill="FFFFFF" w:val="clear"/>
            <w:tcMar>
              <w:left w:w="18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Sadzba odpisov</w:t>
            </w:r>
          </w:p>
        </w:tc>
        <w:tc>
          <w:tcPr>
            <w:tcW w:w="2266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000000" w:fill="FFFFFF" w:val="clear"/>
            <w:tcMar>
              <w:left w:w="18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Odpisová metóda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14" w:space="0" w:color="000001"/>
              <w:left w:val="single" w:sz="14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000000" w:fill="FFFFFF" w:val="clear"/>
            <w:tcMar>
              <w:left w:w="-17" w:type="dxa"/>
              <w:right w:w="0" w:type="dxa"/>
            </w:tcMar>
          </w:tcPr>
          <w:p>
            <w:pPr>
              <w:pStyle w:val="Normal"/>
              <w:rPr>
                <w:color w:val="330099"/>
                <w:sz w:val="22"/>
                <w:szCs w:val="22"/>
                <w:highlight w:val="yellow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zCs w:val="22"/>
              </w:rPr>
              <w:t>Dopravné prostriedky</w:t>
            </w:r>
          </w:p>
        </w:tc>
        <w:tc>
          <w:tcPr>
            <w:tcW w:w="2264" w:type="dxa"/>
            <w:tcBorders>
              <w:top w:val="single" w:sz="14" w:space="0" w:color="000001"/>
              <w:left w:val="single" w:sz="14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000000" w:fill="FFFFFF" w:val="clear"/>
            <w:tcMar>
              <w:left w:w="-17" w:type="dxa"/>
              <w:right w:w="0" w:type="dxa"/>
            </w:tcMar>
          </w:tcPr>
          <w:p>
            <w:pPr>
              <w:pStyle w:val="Normal"/>
              <w:jc w:val="center"/>
              <w:rPr>
                <w:color w:val="330099"/>
                <w:sz w:val="22"/>
                <w:szCs w:val="22"/>
                <w:highlight w:val="yellow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zCs w:val="22"/>
              </w:rPr>
              <w:t>4</w:t>
            </w:r>
          </w:p>
        </w:tc>
        <w:tc>
          <w:tcPr>
            <w:tcW w:w="1986" w:type="dxa"/>
            <w:tcBorders>
              <w:top w:val="single" w:sz="14" w:space="0" w:color="000001"/>
              <w:left w:val="single" w:sz="14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000000" w:fill="FFFFFF" w:val="clear"/>
            <w:tcMar>
              <w:left w:w="-17" w:type="dxa"/>
              <w:right w:w="0" w:type="dxa"/>
            </w:tcMar>
          </w:tcPr>
          <w:p>
            <w:pPr>
              <w:pStyle w:val="Normal"/>
              <w:jc w:val="center"/>
              <w:rPr>
                <w:color w:val="330099"/>
                <w:sz w:val="22"/>
                <w:szCs w:val="22"/>
                <w:highlight w:val="yellow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zCs w:val="22"/>
              </w:rPr>
              <w:t>rovnomerná</w:t>
            </w:r>
          </w:p>
        </w:tc>
        <w:tc>
          <w:tcPr>
            <w:tcW w:w="2266" w:type="dxa"/>
            <w:tcBorders>
              <w:top w:val="single" w:sz="14" w:space="0" w:color="000001"/>
              <w:left w:val="single" w:sz="14" w:space="0" w:color="000001"/>
              <w:bottom w:val="single" w:sz="18" w:space="0" w:color="000001"/>
              <w:right w:val="single" w:sz="14" w:space="0" w:color="000001"/>
              <w:insideH w:val="single" w:sz="18" w:space="0" w:color="000001"/>
              <w:insideV w:val="single" w:sz="14" w:space="0" w:color="000001"/>
            </w:tcBorders>
            <w:shd w:color="000000" w:fill="FFFFFF" w:val="clear"/>
            <w:tcMar>
              <w:left w:w="-17" w:type="dxa"/>
              <w:right w:w="0" w:type="dxa"/>
            </w:tcMar>
          </w:tcPr>
          <w:p>
            <w:pPr>
              <w:pStyle w:val="Normal"/>
              <w:jc w:val="center"/>
              <w:rPr>
                <w:color w:val="330099"/>
                <w:sz w:val="22"/>
                <w:szCs w:val="22"/>
                <w:highlight w:val="yellow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zCs w:val="22"/>
              </w:rPr>
              <w:t>25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18" w:space="0" w:color="000001"/>
              <w:left w:val="single" w:sz="14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000000" w:fill="FFFFFF" w:val="clear"/>
            <w:tcMar>
              <w:left w:w="-17" w:type="dxa"/>
              <w:right w:w="0" w:type="dxa"/>
            </w:tcMar>
          </w:tcPr>
          <w:p>
            <w:pPr>
              <w:pStyle w:val="Normal"/>
              <w:rPr>
                <w:color w:val="330099"/>
                <w:sz w:val="22"/>
                <w:szCs w:val="22"/>
                <w:highlight w:val="yellow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zCs w:val="22"/>
              </w:rPr>
              <w:t>Obstarávacou cenou</w:t>
            </w:r>
          </w:p>
        </w:tc>
        <w:tc>
          <w:tcPr>
            <w:tcW w:w="2264" w:type="dxa"/>
            <w:tcBorders>
              <w:top w:val="single" w:sz="18" w:space="0" w:color="000001"/>
              <w:left w:val="single" w:sz="14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000000" w:fill="FFFFFF" w:val="clear"/>
            <w:tcMar>
              <w:left w:w="-17" w:type="dxa"/>
              <w:right w:w="0" w:type="dxa"/>
            </w:tcMar>
          </w:tcPr>
          <w:p>
            <w:pPr>
              <w:pStyle w:val="Normal"/>
              <w:jc w:val="center"/>
              <w:rPr>
                <w:color w:val="330099"/>
                <w:sz w:val="22"/>
                <w:szCs w:val="22"/>
                <w:highlight w:val="yellow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zCs w:val="22"/>
              </w:rPr>
              <w:t>12</w:t>
            </w:r>
          </w:p>
        </w:tc>
        <w:tc>
          <w:tcPr>
            <w:tcW w:w="1986" w:type="dxa"/>
            <w:tcBorders>
              <w:top w:val="single" w:sz="18" w:space="0" w:color="000001"/>
              <w:left w:val="single" w:sz="14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000000" w:fill="FFFFFF" w:val="clear"/>
            <w:tcMar>
              <w:left w:w="-17" w:type="dxa"/>
              <w:right w:w="0" w:type="dxa"/>
            </w:tcMar>
          </w:tcPr>
          <w:p>
            <w:pPr>
              <w:pStyle w:val="Normal"/>
              <w:jc w:val="center"/>
              <w:rPr>
                <w:color w:val="330099"/>
                <w:sz w:val="22"/>
                <w:szCs w:val="22"/>
                <w:highlight w:val="yellow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zCs w:val="22"/>
              </w:rPr>
              <w:t>rovnomerná</w:t>
            </w:r>
          </w:p>
        </w:tc>
        <w:tc>
          <w:tcPr>
            <w:tcW w:w="2266" w:type="dxa"/>
            <w:tcBorders>
              <w:top w:val="single" w:sz="18" w:space="0" w:color="000001"/>
              <w:left w:val="single" w:sz="14" w:space="0" w:color="000001"/>
              <w:bottom w:val="single" w:sz="18" w:space="0" w:color="000001"/>
              <w:right w:val="single" w:sz="14" w:space="0" w:color="000001"/>
              <w:insideH w:val="single" w:sz="18" w:space="0" w:color="000001"/>
              <w:insideV w:val="single" w:sz="14" w:space="0" w:color="000001"/>
            </w:tcBorders>
            <w:shd w:color="000000" w:fill="FFFFFF" w:val="clear"/>
            <w:tcMar>
              <w:left w:w="-17" w:type="dxa"/>
              <w:right w:w="0" w:type="dxa"/>
            </w:tcMar>
          </w:tcPr>
          <w:p>
            <w:pPr>
              <w:pStyle w:val="Normal"/>
              <w:jc w:val="center"/>
              <w:rPr>
                <w:color w:val="330099"/>
                <w:sz w:val="22"/>
                <w:szCs w:val="22"/>
                <w:highlight w:val="yellow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zCs w:val="22"/>
              </w:rPr>
              <w:t>8,33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18" w:space="0" w:color="000001"/>
              <w:left w:val="single" w:sz="14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000000" w:fill="FFFFFF" w:val="clear"/>
            <w:tcMar>
              <w:left w:w="-17" w:type="dxa"/>
              <w:right w:w="0" w:type="dxa"/>
            </w:tcMar>
          </w:tcPr>
          <w:p>
            <w:pPr>
              <w:pStyle w:val="Normal"/>
              <w:rPr>
                <w:color w:val="330099"/>
                <w:sz w:val="22"/>
                <w:szCs w:val="22"/>
                <w:highlight w:val="yellow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zCs w:val="22"/>
              </w:rPr>
              <w:t>Inventár</w:t>
            </w:r>
          </w:p>
        </w:tc>
        <w:tc>
          <w:tcPr>
            <w:tcW w:w="2264" w:type="dxa"/>
            <w:tcBorders>
              <w:top w:val="single" w:sz="18" w:space="0" w:color="000001"/>
              <w:left w:val="single" w:sz="14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000000" w:fill="FFFFFF" w:val="clear"/>
            <w:tcMar>
              <w:left w:w="-17" w:type="dxa"/>
              <w:right w:w="0" w:type="dxa"/>
            </w:tcMar>
          </w:tcPr>
          <w:p>
            <w:pPr>
              <w:pStyle w:val="Normal"/>
              <w:jc w:val="center"/>
              <w:rPr>
                <w:color w:val="330099"/>
                <w:sz w:val="22"/>
                <w:szCs w:val="22"/>
                <w:highlight w:val="yellow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zCs w:val="22"/>
              </w:rPr>
              <w:t>6</w:t>
            </w:r>
          </w:p>
        </w:tc>
        <w:tc>
          <w:tcPr>
            <w:tcW w:w="1986" w:type="dxa"/>
            <w:tcBorders>
              <w:top w:val="single" w:sz="18" w:space="0" w:color="000001"/>
              <w:left w:val="single" w:sz="14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000000" w:fill="FFFFFF" w:val="clear"/>
            <w:tcMar>
              <w:left w:w="-17" w:type="dxa"/>
              <w:right w:w="0" w:type="dxa"/>
            </w:tcMar>
          </w:tcPr>
          <w:p>
            <w:pPr>
              <w:pStyle w:val="Normal"/>
              <w:jc w:val="center"/>
              <w:rPr>
                <w:color w:val="330099"/>
                <w:sz w:val="22"/>
                <w:szCs w:val="22"/>
                <w:highlight w:val="yellow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zCs w:val="22"/>
              </w:rPr>
              <w:t>rovnomerná</w:t>
            </w:r>
          </w:p>
        </w:tc>
        <w:tc>
          <w:tcPr>
            <w:tcW w:w="2266" w:type="dxa"/>
            <w:tcBorders>
              <w:top w:val="single" w:sz="18" w:space="0" w:color="000001"/>
              <w:left w:val="single" w:sz="14" w:space="0" w:color="000001"/>
              <w:bottom w:val="single" w:sz="18" w:space="0" w:color="000001"/>
              <w:right w:val="single" w:sz="14" w:space="0" w:color="000001"/>
              <w:insideH w:val="single" w:sz="18" w:space="0" w:color="000001"/>
              <w:insideV w:val="single" w:sz="14" w:space="0" w:color="000001"/>
            </w:tcBorders>
            <w:shd w:color="000000" w:fill="FFFFFF" w:val="clear"/>
            <w:tcMar>
              <w:left w:w="-17" w:type="dxa"/>
              <w:right w:w="0" w:type="dxa"/>
            </w:tcMar>
          </w:tcPr>
          <w:p>
            <w:pPr>
              <w:pStyle w:val="Normal"/>
              <w:jc w:val="center"/>
              <w:rPr>
                <w:color w:val="330099"/>
                <w:sz w:val="22"/>
                <w:szCs w:val="22"/>
                <w:highlight w:val="yellow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zCs w:val="22"/>
              </w:rPr>
              <w:t>16,67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18" w:space="0" w:color="000001"/>
              <w:left w:val="single" w:sz="14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000000" w:fill="FFFFFF" w:val="clear"/>
            <w:tcMar>
              <w:left w:w="-17" w:type="dxa"/>
              <w:right w:w="0" w:type="dxa"/>
            </w:tcMar>
          </w:tcPr>
          <w:p>
            <w:pPr>
              <w:pStyle w:val="Normal"/>
              <w:rPr>
                <w:color w:val="330099"/>
                <w:sz w:val="22"/>
                <w:szCs w:val="22"/>
                <w:highlight w:val="yellow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zCs w:val="22"/>
              </w:rPr>
              <w:t>Softvér</w:t>
            </w:r>
          </w:p>
        </w:tc>
        <w:tc>
          <w:tcPr>
            <w:tcW w:w="2264" w:type="dxa"/>
            <w:tcBorders>
              <w:top w:val="single" w:sz="18" w:space="0" w:color="000001"/>
              <w:left w:val="single" w:sz="14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000000" w:fill="FFFFFF" w:val="clear"/>
            <w:tcMar>
              <w:left w:w="-17" w:type="dxa"/>
              <w:right w:w="0" w:type="dxa"/>
            </w:tcMar>
          </w:tcPr>
          <w:p>
            <w:pPr>
              <w:pStyle w:val="Normal"/>
              <w:jc w:val="center"/>
              <w:rPr>
                <w:color w:val="330099"/>
                <w:sz w:val="22"/>
                <w:szCs w:val="22"/>
                <w:highlight w:val="yellow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zCs w:val="22"/>
              </w:rPr>
              <w:t>4</w:t>
            </w:r>
          </w:p>
        </w:tc>
        <w:tc>
          <w:tcPr>
            <w:tcW w:w="1986" w:type="dxa"/>
            <w:tcBorders>
              <w:top w:val="single" w:sz="18" w:space="0" w:color="000001"/>
              <w:left w:val="single" w:sz="14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000000" w:fill="FFFFFF" w:val="clear"/>
            <w:tcMar>
              <w:left w:w="-17" w:type="dxa"/>
              <w:right w:w="0" w:type="dxa"/>
            </w:tcMar>
          </w:tcPr>
          <w:p>
            <w:pPr>
              <w:pStyle w:val="Normal"/>
              <w:jc w:val="center"/>
              <w:rPr>
                <w:color w:val="330099"/>
                <w:sz w:val="22"/>
                <w:szCs w:val="22"/>
                <w:highlight w:val="yellow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zCs w:val="22"/>
              </w:rPr>
              <w:t>rovnomerná</w:t>
            </w:r>
          </w:p>
        </w:tc>
        <w:tc>
          <w:tcPr>
            <w:tcW w:w="2266" w:type="dxa"/>
            <w:tcBorders>
              <w:top w:val="single" w:sz="18" w:space="0" w:color="000001"/>
              <w:left w:val="single" w:sz="14" w:space="0" w:color="000001"/>
              <w:bottom w:val="single" w:sz="18" w:space="0" w:color="000001"/>
              <w:right w:val="single" w:sz="14" w:space="0" w:color="000001"/>
              <w:insideH w:val="single" w:sz="18" w:space="0" w:color="000001"/>
              <w:insideV w:val="single" w:sz="14" w:space="0" w:color="000001"/>
            </w:tcBorders>
            <w:shd w:color="000000" w:fill="FFFFFF" w:val="clear"/>
            <w:tcMar>
              <w:left w:w="-17" w:type="dxa"/>
              <w:right w:w="0" w:type="dxa"/>
            </w:tcMar>
          </w:tcPr>
          <w:p>
            <w:pPr>
              <w:pStyle w:val="Normal"/>
              <w:jc w:val="center"/>
              <w:rPr>
                <w:color w:val="330099"/>
                <w:sz w:val="22"/>
                <w:szCs w:val="22"/>
                <w:highlight w:val="yellow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zCs w:val="22"/>
              </w:rPr>
              <w:t>25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18" w:space="0" w:color="000001"/>
              <w:left w:val="single" w:sz="14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000000" w:fill="FFFFFF" w:val="clear"/>
            <w:tcMar>
              <w:left w:w="-17" w:type="dxa"/>
              <w:right w:w="0" w:type="dxa"/>
            </w:tcMar>
          </w:tcPr>
          <w:p>
            <w:pPr>
              <w:pStyle w:val="Normal"/>
              <w:rPr>
                <w:color w:val="330099"/>
                <w:sz w:val="22"/>
                <w:szCs w:val="22"/>
                <w:highlight w:val="yellow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zCs w:val="22"/>
              </w:rPr>
              <w:t>Aktivované náklady na vývoj</w:t>
            </w:r>
          </w:p>
        </w:tc>
        <w:tc>
          <w:tcPr>
            <w:tcW w:w="2264" w:type="dxa"/>
            <w:tcBorders>
              <w:top w:val="single" w:sz="18" w:space="0" w:color="000001"/>
              <w:left w:val="single" w:sz="14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000000" w:fill="FFFFFF" w:val="clear"/>
            <w:tcMar>
              <w:left w:w="-17" w:type="dxa"/>
              <w:right w:w="0" w:type="dxa"/>
            </w:tcMar>
          </w:tcPr>
          <w:p>
            <w:pPr>
              <w:pStyle w:val="Normal"/>
              <w:jc w:val="center"/>
              <w:rPr>
                <w:color w:val="330099"/>
                <w:sz w:val="22"/>
                <w:szCs w:val="22"/>
                <w:highlight w:val="yellow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zCs w:val="22"/>
              </w:rPr>
              <w:t>5</w:t>
            </w:r>
          </w:p>
        </w:tc>
        <w:tc>
          <w:tcPr>
            <w:tcW w:w="1986" w:type="dxa"/>
            <w:tcBorders>
              <w:top w:val="single" w:sz="18" w:space="0" w:color="000001"/>
              <w:left w:val="single" w:sz="14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000000" w:fill="FFFFFF" w:val="clear"/>
            <w:tcMar>
              <w:left w:w="-17" w:type="dxa"/>
              <w:right w:w="0" w:type="dxa"/>
            </w:tcMar>
          </w:tcPr>
          <w:p>
            <w:pPr>
              <w:pStyle w:val="Normal"/>
              <w:jc w:val="center"/>
              <w:rPr>
                <w:color w:val="330099"/>
                <w:sz w:val="22"/>
                <w:szCs w:val="22"/>
                <w:highlight w:val="yellow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zCs w:val="22"/>
              </w:rPr>
              <w:t>rovnomerná</w:t>
            </w:r>
          </w:p>
        </w:tc>
        <w:tc>
          <w:tcPr>
            <w:tcW w:w="2266" w:type="dxa"/>
            <w:tcBorders>
              <w:top w:val="single" w:sz="18" w:space="0" w:color="000001"/>
              <w:left w:val="single" w:sz="14" w:space="0" w:color="000001"/>
              <w:bottom w:val="single" w:sz="18" w:space="0" w:color="000001"/>
              <w:right w:val="single" w:sz="14" w:space="0" w:color="000001"/>
              <w:insideH w:val="single" w:sz="18" w:space="0" w:color="000001"/>
              <w:insideV w:val="single" w:sz="14" w:space="0" w:color="000001"/>
            </w:tcBorders>
            <w:shd w:color="000000" w:fill="FFFFFF" w:val="clear"/>
            <w:tcMar>
              <w:left w:w="-17" w:type="dxa"/>
              <w:right w:w="0" w:type="dxa"/>
            </w:tcMar>
          </w:tcPr>
          <w:p>
            <w:pPr>
              <w:pStyle w:val="Normal"/>
              <w:jc w:val="center"/>
              <w:rPr>
                <w:color w:val="330099"/>
                <w:sz w:val="22"/>
                <w:szCs w:val="22"/>
                <w:highlight w:val="yellow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zCs w:val="22"/>
              </w:rPr>
              <w:t>20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14" w:space="0" w:color="000001"/>
              <w:left w:val="single" w:sz="14" w:space="0" w:color="000001"/>
              <w:bottom w:val="single" w:sz="14" w:space="0" w:color="000001"/>
              <w:right w:val="single" w:sz="12" w:space="0" w:color="000001"/>
              <w:insideH w:val="single" w:sz="14" w:space="0" w:color="000001"/>
              <w:insideV w:val="single" w:sz="12" w:space="0" w:color="000001"/>
            </w:tcBorders>
            <w:shd w:color="000000" w:fill="FFFFFF" w:val="clear"/>
            <w:tcMar>
              <w:left w:w="-17" w:type="dxa"/>
              <w:right w:w="0" w:type="dxa"/>
            </w:tcMar>
          </w:tcPr>
          <w:p>
            <w:pPr>
              <w:pStyle w:val="Normal"/>
              <w:rPr>
                <w:color w:val="330099"/>
                <w:sz w:val="22"/>
                <w:szCs w:val="22"/>
                <w:highlight w:val="yellow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zCs w:val="22"/>
              </w:rPr>
              <w:t>Stavby – budovy pre administratívu</w:t>
            </w:r>
          </w:p>
        </w:tc>
        <w:tc>
          <w:tcPr>
            <w:tcW w:w="2264" w:type="dxa"/>
            <w:tcBorders>
              <w:top w:val="single" w:sz="14" w:space="0" w:color="000001"/>
              <w:left w:val="single" w:sz="14" w:space="0" w:color="000001"/>
              <w:bottom w:val="single" w:sz="14" w:space="0" w:color="000001"/>
              <w:right w:val="single" w:sz="12" w:space="0" w:color="000001"/>
              <w:insideH w:val="single" w:sz="14" w:space="0" w:color="000001"/>
              <w:insideV w:val="single" w:sz="12" w:space="0" w:color="000001"/>
            </w:tcBorders>
            <w:shd w:color="000000" w:fill="FFFFFF" w:val="clear"/>
            <w:tcMar>
              <w:left w:w="-17" w:type="dxa"/>
              <w:right w:w="0" w:type="dxa"/>
            </w:tcMar>
          </w:tcPr>
          <w:p>
            <w:pPr>
              <w:pStyle w:val="Normal"/>
              <w:jc w:val="center"/>
              <w:rPr>
                <w:color w:val="330099"/>
                <w:sz w:val="22"/>
                <w:szCs w:val="22"/>
                <w:highlight w:val="yellow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zCs w:val="22"/>
              </w:rPr>
              <w:t>40</w:t>
            </w:r>
          </w:p>
        </w:tc>
        <w:tc>
          <w:tcPr>
            <w:tcW w:w="1986" w:type="dxa"/>
            <w:tcBorders>
              <w:top w:val="single" w:sz="14" w:space="0" w:color="000001"/>
              <w:left w:val="single" w:sz="14" w:space="0" w:color="000001"/>
              <w:bottom w:val="single" w:sz="14" w:space="0" w:color="000001"/>
              <w:right w:val="single" w:sz="12" w:space="0" w:color="000001"/>
              <w:insideH w:val="single" w:sz="14" w:space="0" w:color="000001"/>
              <w:insideV w:val="single" w:sz="12" w:space="0" w:color="000001"/>
            </w:tcBorders>
            <w:shd w:color="000000" w:fill="FFFFFF" w:val="clear"/>
            <w:tcMar>
              <w:left w:w="-17" w:type="dxa"/>
              <w:right w:w="0" w:type="dxa"/>
            </w:tcMar>
          </w:tcPr>
          <w:p>
            <w:pPr>
              <w:pStyle w:val="Normal"/>
              <w:jc w:val="center"/>
              <w:rPr>
                <w:color w:val="330099"/>
                <w:sz w:val="22"/>
                <w:szCs w:val="22"/>
                <w:highlight w:val="yellow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zCs w:val="22"/>
              </w:rPr>
              <w:t>rovnomerná</w:t>
            </w:r>
          </w:p>
        </w:tc>
        <w:tc>
          <w:tcPr>
            <w:tcW w:w="2266" w:type="dxa"/>
            <w:tcBorders>
              <w:top w:val="single" w:sz="14" w:space="0" w:color="000001"/>
              <w:left w:val="single" w:sz="14" w:space="0" w:color="000001"/>
              <w:bottom w:val="single" w:sz="14" w:space="0" w:color="000001"/>
              <w:right w:val="single" w:sz="14" w:space="0" w:color="000001"/>
              <w:insideH w:val="single" w:sz="14" w:space="0" w:color="000001"/>
              <w:insideV w:val="single" w:sz="14" w:space="0" w:color="000001"/>
            </w:tcBorders>
            <w:shd w:color="000000" w:fill="FFFFFF" w:val="clear"/>
            <w:tcMar>
              <w:left w:w="-17" w:type="dxa"/>
              <w:right w:w="0" w:type="dxa"/>
            </w:tcMar>
          </w:tcPr>
          <w:p>
            <w:pPr>
              <w:pStyle w:val="Normal"/>
              <w:jc w:val="center"/>
              <w:rPr>
                <w:color w:val="330099"/>
                <w:sz w:val="22"/>
                <w:szCs w:val="22"/>
                <w:highlight w:val="yellow"/>
              </w:rPr>
            </w:pPr>
            <w:r>
              <w:rPr>
                <w:rFonts w:cs="Times New Roman" w:ascii="Times New Roman" w:hAnsi="Times New Roman"/>
                <w:color w:val="330099"/>
                <w:sz w:val="22"/>
                <w:szCs w:val="22"/>
              </w:rPr>
              <w:t>2,50</w:t>
            </w:r>
          </w:p>
        </w:tc>
      </w:tr>
    </w:tbl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shd w:fill="FFFFFF" w:val="clear"/>
        </w:rPr>
      </w:pPr>
      <w:r>
        <w:rPr>
          <w:rFonts w:cs="Times New Roman" w:ascii="Times New Roman" w:hAnsi="Times New Roman"/>
          <w:shd w:fill="FFFFFF" w:val="clear"/>
        </w:rPr>
      </w:r>
    </w:p>
    <w:p>
      <w:pPr>
        <w:pStyle w:val="Normal"/>
        <w:spacing w:lineRule="exact" w:line="240" w:before="0" w:after="160"/>
        <w:ind w:left="709" w:hanging="709"/>
        <w:jc w:val="both"/>
        <w:rPr>
          <w:rFonts w:ascii="Times New Roman" w:hAnsi="Times New Roman" w:cs="Times New Roman"/>
          <w:b/>
          <w:b/>
          <w:sz w:val="22"/>
          <w:highlight w:val="white"/>
        </w:rPr>
      </w:pPr>
      <w:r>
        <w:rPr>
          <w:rFonts w:cs="Times New Roman" w:ascii="Times New Roman" w:hAnsi="Times New Roman"/>
          <w:b/>
          <w:sz w:val="32"/>
          <w:shd w:fill="FFFFFF" w:val="clear"/>
        </w:rPr>
        <w:tab/>
      </w:r>
      <w:r>
        <w:rPr>
          <w:rFonts w:cs="Times New Roman" w:ascii="Times New Roman" w:hAnsi="Times New Roman"/>
          <w:sz w:val="22"/>
          <w:shd w:fill="FFFFFF" w:val="clear"/>
        </w:rPr>
        <w:t xml:space="preserve">Odpisový plán účtovných odpisov </w:t>
      </w:r>
      <w:r>
        <w:rPr>
          <w:rFonts w:cs="Times New Roman" w:ascii="Times New Roman" w:hAnsi="Times New Roman"/>
          <w:b/>
          <w:sz w:val="22"/>
          <w:shd w:fill="FFFFFF" w:val="clear"/>
        </w:rPr>
        <w:t>dlhodobého nehmotného majetku</w:t>
      </w:r>
      <w:r>
        <w:rPr>
          <w:rFonts w:cs="Times New Roman" w:ascii="Times New Roman" w:hAnsi="Times New Roman"/>
          <w:sz w:val="22"/>
          <w:shd w:fill="FFFFFF" w:val="clear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>
        <w:rPr>
          <w:rFonts w:cs="Times New Roman" w:ascii="Times New Roman" w:hAnsi="Times New Roman"/>
          <w:b/>
          <w:sz w:val="22"/>
          <w:shd w:fill="FFFFFF" w:val="clear"/>
        </w:rPr>
        <w:t>.</w:t>
      </w:r>
    </w:p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sz w:val="22"/>
          <w:highlight w:val="white"/>
        </w:rPr>
      </w:pPr>
      <w:r>
        <w:rPr>
          <w:rFonts w:cs="Times New Roman" w:ascii="Times New Roman" w:hAnsi="Times New Roman"/>
          <w:b/>
          <w:sz w:val="22"/>
          <w:shd w:fill="FFFFFF" w:val="clear"/>
        </w:rPr>
        <w:tab/>
      </w:r>
      <w:r>
        <w:rPr>
          <w:rFonts w:cs="Times New Roman" w:ascii="Times New Roman" w:hAnsi="Times New Roman"/>
          <w:sz w:val="22"/>
          <w:shd w:fill="FFFFFF" w:val="clear"/>
        </w:rPr>
        <w:t>Odpisový plán bol ovplyvnený týmito rozhodnutiami:</w:t>
      </w:r>
    </w:p>
    <w:p>
      <w:pPr>
        <w:pStyle w:val="Normal"/>
        <w:spacing w:lineRule="exact" w:line="240" w:before="0" w:after="160"/>
        <w:ind w:left="709" w:hanging="0"/>
        <w:jc w:val="both"/>
        <w:rPr/>
      </w:pPr>
      <w:r>
        <w:rPr>
          <w:rFonts w:cs="Times New Roman" w:ascii="Times New Roman" w:hAnsi="Times New Roman"/>
          <w:color w:val="330099"/>
          <w:sz w:val="22"/>
          <w:shd w:fill="auto" w:val="clear"/>
        </w:rPr>
        <w:t>Spoločnosť EQUIS INVEST CONSULTING, spol. s r. o. nevlastní a ani v priebehu roku 2016 neobstarala dlhodobý nehmotný majetok.</w:t>
      </w:r>
    </w:p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sz w:val="22"/>
          <w:shd w:fill="auto" w:val="clear"/>
        </w:rPr>
      </w:pPr>
      <w:r>
        <w:rPr>
          <w:rFonts w:cs="Times New Roman" w:ascii="Times New Roman" w:hAnsi="Times New Roman"/>
          <w:sz w:val="22"/>
          <w:shd w:fill="auto" w:val="clear"/>
        </w:rPr>
      </w:r>
    </w:p>
    <w:p>
      <w:pPr>
        <w:pStyle w:val="Normal"/>
        <w:spacing w:lineRule="exact" w:line="240" w:before="0" w:after="160"/>
        <w:ind w:left="709" w:hanging="709"/>
        <w:jc w:val="both"/>
        <w:rPr>
          <w:rFonts w:ascii="Times New Roman" w:hAnsi="Times New Roman" w:cs="Times New Roman"/>
          <w:sz w:val="22"/>
          <w:highlight w:val="white"/>
        </w:rPr>
      </w:pPr>
      <w:r>
        <w:rPr>
          <w:rFonts w:cs="Times New Roman" w:ascii="Times New Roman" w:hAnsi="Times New Roman"/>
          <w:b/>
          <w:sz w:val="22"/>
          <w:shd w:fill="FFFFFF" w:val="clear"/>
        </w:rPr>
        <w:tab/>
      </w:r>
      <w:r>
        <w:rPr>
          <w:rFonts w:cs="Times New Roman" w:ascii="Times New Roman" w:hAnsi="Times New Roman"/>
          <w:sz w:val="22"/>
          <w:shd w:fill="FFFFFF" w:val="clear"/>
        </w:rPr>
        <w:t xml:space="preserve">Odpisový plán účtovných odpisov </w:t>
      </w:r>
      <w:r>
        <w:rPr>
          <w:rFonts w:cs="Times New Roman" w:ascii="Times New Roman" w:hAnsi="Times New Roman"/>
          <w:b/>
          <w:sz w:val="22"/>
          <w:shd w:fill="FFFFFF" w:val="clear"/>
        </w:rPr>
        <w:t>dlhodobého hmotného majetku</w:t>
      </w:r>
      <w:r>
        <w:rPr>
          <w:rFonts w:cs="Times New Roman" w:ascii="Times New Roman" w:hAnsi="Times New Roman"/>
          <w:sz w:val="22"/>
          <w:shd w:fill="FFFFFF" w:val="clear"/>
        </w:rPr>
        <w:t xml:space="preserve"> podnikateľ zostavil interným predpisom, v ktorom vychádzal z predpokladaného opotrebenia zaraďovaného majetku zodpovedajúceho bežným podmienkam jeho používania. Odpisové sadzby pre </w:t>
        <w:tab/>
        <w:t xml:space="preserve">účtovné a daňové odpisy podnikateľa </w:t>
      </w:r>
      <w:r>
        <w:rPr>
          <w:rFonts w:cs="Times New Roman" w:ascii="Times New Roman" w:hAnsi="Times New Roman"/>
          <w:b/>
          <w:sz w:val="22"/>
          <w:shd w:fill="FFFFFF" w:val="clear"/>
        </w:rPr>
        <w:t>sa nerovnajú</w:t>
      </w:r>
      <w:r>
        <w:rPr>
          <w:rFonts w:cs="Times New Roman" w:ascii="Times New Roman" w:hAnsi="Times New Roman"/>
          <w:sz w:val="22"/>
          <w:shd w:fill="FFFFFF" w:val="clear"/>
        </w:rPr>
        <w:t>.</w:t>
      </w:r>
    </w:p>
    <w:p>
      <w:pPr>
        <w:pStyle w:val="Normal"/>
        <w:spacing w:lineRule="exact" w:line="240" w:before="0" w:after="160"/>
        <w:ind w:left="709" w:hanging="709"/>
        <w:jc w:val="both"/>
        <w:rPr/>
      </w:pPr>
      <w:r>
        <w:rPr>
          <w:rFonts w:cs="Times New Roman" w:ascii="Times New Roman" w:hAnsi="Times New Roman"/>
          <w:b/>
          <w:sz w:val="22"/>
          <w:shd w:fill="FFFFFF" w:val="clear"/>
        </w:rPr>
        <w:tab/>
      </w:r>
      <w:r>
        <w:rPr>
          <w:rFonts w:cs="Times New Roman" w:ascii="Times New Roman" w:hAnsi="Times New Roman"/>
          <w:sz w:val="22"/>
          <w:shd w:fill="FFFFFF" w:val="clear"/>
        </w:rPr>
        <w:t xml:space="preserve">Odpisový plán účtovných odpisov </w:t>
      </w:r>
      <w:r>
        <w:rPr>
          <w:rFonts w:cs="Times New Roman" w:ascii="Times New Roman" w:hAnsi="Times New Roman"/>
          <w:b/>
          <w:sz w:val="22"/>
          <w:shd w:fill="FFFFFF" w:val="clear"/>
        </w:rPr>
        <w:t>dlhodobého hmotného majetku</w:t>
      </w:r>
      <w:r>
        <w:rPr>
          <w:rFonts w:cs="Times New Roman" w:ascii="Times New Roman" w:hAnsi="Times New Roman"/>
          <w:sz w:val="22"/>
          <w:shd w:fill="FFFFFF" w:val="clear"/>
        </w:rPr>
        <w:t xml:space="preserve"> podnikateľ zostavil interným predpisom tak, že za základ vzal metódy používané pri vyčísľovaní daňových odpisov. Odpisové sadzby pre účtovné a daňové odpisy podnikateľa </w:t>
      </w:r>
      <w:r>
        <w:rPr>
          <w:rFonts w:cs="Times New Roman" w:ascii="Times New Roman" w:hAnsi="Times New Roman"/>
          <w:b/>
          <w:sz w:val="22"/>
          <w:shd w:fill="FFFFFF" w:val="clear"/>
        </w:rPr>
        <w:t>sa rovnajú</w:t>
      </w:r>
      <w:r>
        <w:rPr>
          <w:rFonts w:cs="Times New Roman" w:ascii="Times New Roman" w:hAnsi="Times New Roman"/>
          <w:sz w:val="22"/>
          <w:shd w:fill="FFFFFF" w:val="clear"/>
        </w:rPr>
        <w:t>. Ročný účtovný odpis sa odlišuje od daňového podľa počtu mesiacov od zaradenia do konca roka.</w:t>
      </w:r>
      <w:r>
        <w:rPr>
          <w:rFonts w:cs="Times New Roman" w:ascii="Times New Roman" w:hAnsi="Times New Roman"/>
          <w:b/>
          <w:sz w:val="22"/>
          <w:shd w:fill="FFFFFF" w:val="clear"/>
        </w:rPr>
        <w:tab/>
      </w:r>
    </w:p>
    <w:p>
      <w:pPr>
        <w:pStyle w:val="Normal"/>
        <w:spacing w:lineRule="exact" w:line="240" w:before="0" w:after="160"/>
        <w:ind w:left="709" w:firstLine="26"/>
        <w:jc w:val="both"/>
        <w:rPr/>
      </w:pPr>
      <w:r>
        <w:rPr>
          <w:rFonts w:cs="Times New Roman" w:ascii="Times New Roman" w:hAnsi="Times New Roman"/>
          <w:color w:val="330099"/>
          <w:sz w:val="22"/>
          <w:shd w:fill="auto" w:val="clear"/>
        </w:rPr>
        <w:t xml:space="preserve">Spoločnosť EQUIS INVEST CONSULTING, spol. s r. o. vlastní a v priebehu roku 2016 </w:t>
      </w:r>
    </w:p>
    <w:p>
      <w:pPr>
        <w:pStyle w:val="Normal"/>
        <w:spacing w:lineRule="exact" w:line="240" w:before="0" w:after="160"/>
        <w:ind w:left="709" w:firstLine="26"/>
        <w:jc w:val="both"/>
        <w:rPr/>
      </w:pPr>
      <w:r>
        <w:rPr>
          <w:rFonts w:cs="Times New Roman" w:ascii="Times New Roman" w:hAnsi="Times New Roman"/>
          <w:color w:val="330099"/>
          <w:sz w:val="22"/>
          <w:shd w:fill="auto" w:val="clear"/>
        </w:rPr>
        <w:t>obstarala dlhodobý hmotný majetok odpisovaný:</w:t>
      </w:r>
    </w:p>
    <w:p>
      <w:pPr>
        <w:pStyle w:val="Normal"/>
        <w:spacing w:lineRule="exact" w:line="240" w:before="0" w:after="160"/>
        <w:ind w:left="709" w:firstLine="26"/>
        <w:jc w:val="both"/>
        <w:rPr/>
      </w:pPr>
      <w:r>
        <w:rPr>
          <w:rFonts w:cs="Times New Roman" w:ascii="Times New Roman" w:hAnsi="Times New Roman"/>
          <w:color w:val="330099"/>
          <w:sz w:val="22"/>
          <w:shd w:fill="auto" w:val="clear"/>
        </w:rPr>
        <w:t>- Inventár do kancelárie 29. augusta 28/D, Bratislava,</w:t>
      </w:r>
    </w:p>
    <w:p>
      <w:pPr>
        <w:pStyle w:val="Normal"/>
        <w:spacing w:lineRule="exact" w:line="240" w:before="0" w:after="160"/>
        <w:ind w:left="709" w:firstLine="26"/>
        <w:jc w:val="both"/>
        <w:rPr/>
      </w:pPr>
      <w:r>
        <w:rPr>
          <w:rFonts w:cs="Times New Roman" w:ascii="Times New Roman" w:hAnsi="Times New Roman"/>
          <w:color w:val="330099"/>
          <w:sz w:val="22"/>
          <w:shd w:fill="auto" w:val="clear"/>
        </w:rPr>
        <w:t>- Technické zhodnotenie kaneclárie 29. augusta 28/D, Bratislava,</w:t>
      </w:r>
    </w:p>
    <w:p>
      <w:pPr>
        <w:pStyle w:val="Normal"/>
        <w:spacing w:lineRule="exact" w:line="240" w:before="0" w:after="160"/>
        <w:ind w:left="709" w:firstLine="26"/>
        <w:jc w:val="both"/>
        <w:rPr/>
      </w:pPr>
      <w:r>
        <w:rPr>
          <w:rFonts w:cs="Times New Roman" w:ascii="Times New Roman" w:hAnsi="Times New Roman"/>
          <w:color w:val="330099"/>
          <w:sz w:val="22"/>
          <w:shd w:fill="auto" w:val="clear"/>
        </w:rPr>
        <w:t>- Stavba – reštauračné zariadenie – 2 uzavreté terasy s.č. 6853, Žabotova 7, Bratislava.</w:t>
      </w:r>
    </w:p>
    <w:p>
      <w:pPr>
        <w:pStyle w:val="Normal"/>
        <w:spacing w:lineRule="exact" w:line="240" w:before="240" w:after="160"/>
        <w:ind w:left="992" w:hanging="992"/>
        <w:jc w:val="both"/>
        <w:rPr>
          <w:rFonts w:ascii="Times New Roman" w:hAnsi="Times New Roman" w:cs="Times New Roman"/>
          <w:sz w:val="22"/>
        </w:rPr>
      </w:pPr>
      <w:r>
        <w:rPr>
          <w:rFonts w:cs="Times New Roman" w:ascii="Times New Roman" w:hAnsi="Times New Roman"/>
          <w:sz w:val="22"/>
        </w:rPr>
      </w:r>
    </w:p>
    <w:p>
      <w:pPr>
        <w:pStyle w:val="Normal"/>
        <w:spacing w:lineRule="exact" w:line="240" w:before="240" w:after="160"/>
        <w:ind w:left="992" w:hanging="992"/>
        <w:jc w:val="both"/>
        <w:rPr>
          <w:rFonts w:ascii="Times New Roman" w:hAnsi="Times New Roman" w:cs="Times New Roman"/>
          <w:sz w:val="22"/>
          <w:highlight w:val="white"/>
        </w:rPr>
      </w:pPr>
      <w:r>
        <w:rPr>
          <w:rFonts w:cs="Times New Roman" w:ascii="Times New Roman" w:hAnsi="Times New Roman"/>
          <w:sz w:val="22"/>
          <w:highlight w:val="white"/>
        </w:rPr>
      </w:r>
    </w:p>
    <w:p>
      <w:pPr>
        <w:pStyle w:val="Normal"/>
        <w:spacing w:lineRule="exact" w:line="240" w:before="240" w:after="160"/>
        <w:jc w:val="both"/>
        <w:rPr/>
      </w:pPr>
      <w:r>
        <w:rPr>
          <w:rFonts w:cs="Times New Roman" w:ascii="Times New Roman" w:hAnsi="Times New Roman"/>
          <w:b/>
          <w:sz w:val="22"/>
          <w:shd w:fill="FFFFFF" w:val="clear"/>
        </w:rPr>
        <w:t>III. 4 h)</w:t>
        <w:tab/>
        <w:t>Dotácie poskytnuté na obstaranie majetku:</w:t>
      </w:r>
    </w:p>
    <w:tbl>
      <w:tblPr>
        <w:tblW w:w="9341" w:type="dxa"/>
        <w:jc w:val="left"/>
        <w:tblInd w:w="-110" w:type="dxa"/>
        <w:tblBorders>
          <w:top w:val="single" w:sz="18" w:space="0" w:color="000001"/>
          <w:left w:val="single" w:sz="18" w:space="0" w:color="000001"/>
          <w:bottom w:val="single" w:sz="18" w:space="0" w:color="000001"/>
          <w:right w:val="single" w:sz="12" w:space="0" w:color="000001"/>
          <w:insideH w:val="single" w:sz="18" w:space="0" w:color="000001"/>
          <w:insideV w:val="single" w:sz="12" w:space="0" w:color="000001"/>
        </w:tblBorders>
        <w:tblCellMar>
          <w:top w:w="0" w:type="dxa"/>
          <w:left w:w="-22" w:type="dxa"/>
          <w:bottom w:w="0" w:type="dxa"/>
          <w:right w:w="108" w:type="dxa"/>
        </w:tblCellMar>
        <w:tblLook w:val="0000"/>
      </w:tblPr>
      <w:tblGrid>
        <w:gridCol w:w="3013"/>
        <w:gridCol w:w="3351"/>
        <w:gridCol w:w="2977"/>
      </w:tblGrid>
      <w:tr>
        <w:trPr>
          <w:trHeight w:val="1" w:hRule="atLeast"/>
        </w:trPr>
        <w:tc>
          <w:tcPr>
            <w:tcW w:w="3013" w:type="dxa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000000" w:fill="FFFFFF" w:val="clear"/>
            <w:tcMar>
              <w:left w:w="-22" w:type="dxa"/>
            </w:tcMar>
          </w:tcPr>
          <w:p>
            <w:pPr>
              <w:pStyle w:val="Normal"/>
              <w:spacing w:lineRule="exact" w:line="240"/>
              <w:jc w:val="center"/>
              <w:rPr>
                <w:highlight w:val="white"/>
              </w:rPr>
            </w:pPr>
            <w:r>
              <w:rPr>
                <w:rFonts w:cs="Times New Roman" w:ascii="Times New Roman" w:hAnsi="Times New Roman"/>
                <w:b/>
                <w:shd w:fill="FFFFFF" w:val="clear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000000" w:fill="FFFFFF" w:val="clear"/>
            <w:tcMar>
              <w:left w:w="18" w:type="dxa"/>
            </w:tcMar>
          </w:tcPr>
          <w:p>
            <w:pPr>
              <w:pStyle w:val="Normal"/>
              <w:spacing w:lineRule="exact" w:line="240"/>
              <w:jc w:val="center"/>
              <w:rPr>
                <w:highlight w:val="white"/>
              </w:rPr>
            </w:pPr>
            <w:r>
              <w:rPr>
                <w:rFonts w:cs="Times New Roman" w:ascii="Times New Roman" w:hAnsi="Times New Roman"/>
                <w:b/>
                <w:shd w:fill="FFFFFF" w:val="clear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000000" w:fill="FFFFFF" w:val="clear"/>
            <w:tcMar>
              <w:left w:w="18" w:type="dxa"/>
            </w:tcMar>
          </w:tcPr>
          <w:p>
            <w:pPr>
              <w:pStyle w:val="Normal"/>
              <w:spacing w:lineRule="exact" w:line="240"/>
              <w:jc w:val="center"/>
              <w:rPr>
                <w:highlight w:val="white"/>
              </w:rPr>
            </w:pPr>
            <w:r>
              <w:rPr>
                <w:rFonts w:cs="Times New Roman" w:ascii="Times New Roman" w:hAnsi="Times New Roman"/>
                <w:b/>
                <w:shd w:fill="FFFFFF" w:val="clear"/>
              </w:rPr>
              <w:t>Výška dotácie</w:t>
            </w:r>
          </w:p>
        </w:tc>
      </w:tr>
      <w:tr>
        <w:trPr>
          <w:trHeight w:val="1" w:hRule="atLeast"/>
        </w:trPr>
        <w:tc>
          <w:tcPr>
            <w:tcW w:w="3013" w:type="dxa"/>
            <w:tcBorders>
              <w:top w:val="single" w:sz="18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-22" w:type="dxa"/>
            </w:tcMar>
          </w:tcPr>
          <w:p>
            <w:pPr>
              <w:pStyle w:val="Normal"/>
              <w:spacing w:lineRule="exact" w:line="240"/>
              <w:jc w:val="both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3351" w:type="dxa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18" w:type="dxa"/>
            </w:tcMar>
          </w:tcPr>
          <w:p>
            <w:pPr>
              <w:pStyle w:val="Normal"/>
              <w:spacing w:lineRule="exact" w:line="240"/>
              <w:jc w:val="both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2977" w:type="dxa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color="000000" w:fill="FFFFFF" w:val="clear"/>
            <w:tcMar>
              <w:left w:w="18" w:type="dxa"/>
            </w:tcMar>
          </w:tcPr>
          <w:p>
            <w:pPr>
              <w:pStyle w:val="Normal"/>
              <w:spacing w:lineRule="exact" w:line="240"/>
              <w:jc w:val="both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</w:tr>
      <w:tr>
        <w:trPr>
          <w:trHeight w:val="355" w:hRule="atLeast"/>
        </w:trPr>
        <w:tc>
          <w:tcPr>
            <w:tcW w:w="3013" w:type="dxa"/>
            <w:tcBorders>
              <w:top w:val="single" w:sz="12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-22" w:type="dxa"/>
            </w:tcMar>
          </w:tcPr>
          <w:p>
            <w:pPr>
              <w:pStyle w:val="Normal"/>
              <w:spacing w:lineRule="exact" w:line="240"/>
              <w:jc w:val="both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335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000000" w:fill="FFFFFF" w:val="clear"/>
            <w:tcMar>
              <w:left w:w="18" w:type="dxa"/>
            </w:tcMar>
          </w:tcPr>
          <w:p>
            <w:pPr>
              <w:pStyle w:val="Normal"/>
              <w:spacing w:lineRule="exact" w:line="240"/>
              <w:jc w:val="both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297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color="000000" w:fill="FFFFFF" w:val="clear"/>
            <w:tcMar>
              <w:left w:w="18" w:type="dxa"/>
            </w:tcMar>
          </w:tcPr>
          <w:p>
            <w:pPr>
              <w:pStyle w:val="Normal"/>
              <w:spacing w:lineRule="exact" w:line="240"/>
              <w:jc w:val="both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</w:tr>
      <w:tr>
        <w:trPr>
          <w:trHeight w:val="275" w:hRule="atLeast"/>
        </w:trPr>
        <w:tc>
          <w:tcPr>
            <w:tcW w:w="3013" w:type="dxa"/>
            <w:tcBorders>
              <w:top w:val="single" w:sz="4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000000" w:fill="FFFFFF" w:val="clear"/>
            <w:tcMar>
              <w:left w:w="-22" w:type="dxa"/>
            </w:tcMar>
          </w:tcPr>
          <w:p>
            <w:pPr>
              <w:pStyle w:val="Normal"/>
              <w:spacing w:lineRule="exact" w:line="240"/>
              <w:jc w:val="both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3351" w:type="dxa"/>
            <w:tcBorders>
              <w:top w:val="single" w:sz="4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000000" w:fill="FFFFFF" w:val="clear"/>
            <w:tcMar>
              <w:left w:w="18" w:type="dxa"/>
            </w:tcMar>
          </w:tcPr>
          <w:p>
            <w:pPr>
              <w:pStyle w:val="Normal"/>
              <w:spacing w:lineRule="exact" w:line="240"/>
              <w:jc w:val="both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2977" w:type="dxa"/>
            <w:tcBorders>
              <w:top w:val="single" w:sz="4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000000" w:fill="FFFFFF" w:val="clear"/>
            <w:tcMar>
              <w:left w:w="18" w:type="dxa"/>
            </w:tcMar>
          </w:tcPr>
          <w:p>
            <w:pPr>
              <w:pStyle w:val="Normal"/>
              <w:spacing w:lineRule="exact" w:line="240"/>
              <w:jc w:val="both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</w:tr>
    </w:tbl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b/>
          <w:b/>
          <w:shd w:fill="FFFFFF" w:val="clear"/>
        </w:rPr>
      </w:pPr>
      <w:r>
        <w:rPr>
          <w:rFonts w:cs="Times New Roman" w:ascii="Times New Roman" w:hAnsi="Times New Roman"/>
          <w:b/>
          <w:shd w:fill="FFFFFF" w:val="clear"/>
        </w:rPr>
      </w:r>
    </w:p>
    <w:p>
      <w:pPr>
        <w:pStyle w:val="Normal"/>
        <w:spacing w:lineRule="exact" w:line="240" w:before="0" w:after="160"/>
        <w:ind w:left="993" w:hanging="993"/>
        <w:jc w:val="both"/>
        <w:rPr>
          <w:rFonts w:ascii="Times New Roman" w:hAnsi="Times New Roman" w:cs="Times New Roman"/>
          <w:b/>
          <w:b/>
          <w:sz w:val="22"/>
          <w:highlight w:val="white"/>
        </w:rPr>
      </w:pPr>
      <w:r>
        <w:rPr>
          <w:rFonts w:cs="Times New Roman" w:ascii="Times New Roman" w:hAnsi="Times New Roman"/>
          <w:b/>
          <w:sz w:val="22"/>
          <w:shd w:fill="FFFFFF" w:val="clear"/>
        </w:rPr>
        <w:t xml:space="preserve">III. 5 </w:t>
        <w:tab/>
        <w:t>Oprava významných a nevýznamných chýb minulých účtovných období vykonaných v bežnom účtovnom období:</w:t>
      </w:r>
    </w:p>
    <w:tbl>
      <w:tblPr>
        <w:tblW w:w="9355" w:type="dxa"/>
        <w:jc w:val="left"/>
        <w:tblInd w:w="-124" w:type="dxa"/>
        <w:tblBorders>
          <w:top w:val="single" w:sz="18" w:space="0" w:color="000001"/>
          <w:left w:val="single" w:sz="18" w:space="0" w:color="000001"/>
          <w:bottom w:val="single" w:sz="18" w:space="0" w:color="000001"/>
          <w:right w:val="single" w:sz="12" w:space="0" w:color="000001"/>
          <w:insideH w:val="single" w:sz="18" w:space="0" w:color="000001"/>
          <w:insideV w:val="single" w:sz="12" w:space="0" w:color="000001"/>
        </w:tblBorders>
        <w:tblCellMar>
          <w:top w:w="0" w:type="dxa"/>
          <w:left w:w="-22" w:type="dxa"/>
          <w:bottom w:w="0" w:type="dxa"/>
          <w:right w:w="108" w:type="dxa"/>
        </w:tblCellMar>
        <w:tblLook w:val="0000"/>
      </w:tblPr>
      <w:tblGrid>
        <w:gridCol w:w="3118"/>
        <w:gridCol w:w="2927"/>
        <w:gridCol w:w="3310"/>
      </w:tblGrid>
      <w:tr>
        <w:trPr>
          <w:trHeight w:val="1" w:hRule="atLeast"/>
        </w:trPr>
        <w:tc>
          <w:tcPr>
            <w:tcW w:w="3118" w:type="dxa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000000" w:fill="FFFFFF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highlight w:val="white"/>
              </w:rPr>
            </w:pPr>
            <w:r>
              <w:rPr>
                <w:rFonts w:cs="Times New Roman" w:ascii="Times New Roman" w:hAnsi="Times New Roman"/>
                <w:b/>
                <w:shd w:fill="FFFFFF" w:val="clear"/>
              </w:rPr>
              <w:t>Druh opravy</w:t>
            </w:r>
          </w:p>
        </w:tc>
        <w:tc>
          <w:tcPr>
            <w:tcW w:w="2927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000000" w:fill="FFFFFF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highlight w:val="white"/>
              </w:rPr>
            </w:pPr>
            <w:r>
              <w:rPr>
                <w:rFonts w:cs="Times New Roman" w:ascii="Times New Roman" w:hAnsi="Times New Roman"/>
                <w:b/>
                <w:shd w:fill="FFFFFF" w:val="clear"/>
              </w:rPr>
              <w:t>Suma</w:t>
            </w:r>
          </w:p>
        </w:tc>
        <w:tc>
          <w:tcPr>
            <w:tcW w:w="3310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000000" w:fill="FFFFFF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highlight w:val="white"/>
              </w:rPr>
            </w:pPr>
            <w:r>
              <w:rPr>
                <w:rFonts w:cs="Times New Roman" w:ascii="Times New Roman" w:hAnsi="Times New Roman"/>
                <w:b/>
                <w:shd w:fill="FFFFFF" w:val="clear"/>
              </w:rPr>
              <w:t>Popis chyby a vplyvu opravy</w:t>
            </w:r>
          </w:p>
        </w:tc>
      </w:tr>
      <w:tr>
        <w:trPr>
          <w:trHeight w:val="1" w:hRule="atLeast"/>
        </w:trPr>
        <w:tc>
          <w:tcPr>
            <w:tcW w:w="3118" w:type="dxa"/>
            <w:tcBorders>
              <w:top w:val="single" w:sz="18" w:space="0" w:color="000001"/>
              <w:left w:val="single" w:sz="18" w:space="0" w:color="000001"/>
              <w:bottom w:val="single" w:sz="10" w:space="0" w:color="000001"/>
              <w:right w:val="single" w:sz="12" w:space="0" w:color="000001"/>
              <w:insideH w:val="single" w:sz="10" w:space="0" w:color="000001"/>
              <w:insideV w:val="single" w:sz="12" w:space="0" w:color="000001"/>
            </w:tcBorders>
            <w:shd w:color="000000" w:fill="FFFFFF" w:val="clear"/>
            <w:tcMar>
              <w:left w:w="-22" w:type="dxa"/>
            </w:tcMar>
          </w:tcPr>
          <w:p>
            <w:pPr>
              <w:pStyle w:val="Normal"/>
              <w:spacing w:lineRule="exact" w:line="240"/>
              <w:jc w:val="both"/>
              <w:rPr/>
            </w:pPr>
            <w:r>
              <w:rPr>
                <w:rFonts w:cs="Times New Roman" w:ascii="Times New Roman" w:hAnsi="Times New Roman"/>
                <w:shd w:fill="FFFFFF" w:val="clear"/>
              </w:rPr>
              <w:t xml:space="preserve">Oprava </w:t>
            </w:r>
            <w:r>
              <w:rPr>
                <w:rFonts w:cs="Times New Roman" w:ascii="Times New Roman" w:hAnsi="Times New Roman"/>
                <w:b/>
                <w:shd w:fill="FFFFFF" w:val="clear"/>
              </w:rPr>
              <w:t>významných</w:t>
            </w:r>
            <w:r>
              <w:rPr>
                <w:rFonts w:cs="Times New Roman" w:ascii="Times New Roman" w:hAnsi="Times New Roman"/>
                <w:shd w:fill="FFFFFF" w:val="clear"/>
              </w:rPr>
              <w:t xml:space="preserve"> chýb minulých účtovných období</w:t>
            </w:r>
          </w:p>
        </w:tc>
        <w:tc>
          <w:tcPr>
            <w:tcW w:w="2927" w:type="dxa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18" w:type="dxa"/>
            </w:tcMar>
          </w:tcPr>
          <w:p>
            <w:pPr>
              <w:pStyle w:val="Normal"/>
              <w:spacing w:lineRule="exact" w:line="240"/>
              <w:jc w:val="center"/>
              <w:rPr>
                <w:rFonts w:ascii="Times New Roman" w:hAnsi="Times New Roman" w:eastAsia="Times New Roman" w:cs="Calibri"/>
                <w:color w:val="330099"/>
                <w:sz w:val="22"/>
                <w:shd w:fill="FFFFFF" w:val="clear"/>
              </w:rPr>
            </w:pPr>
            <w:r>
              <w:rPr>
                <w:rFonts w:eastAsia="Times New Roman" w:cs="Calibri" w:ascii="Times New Roman" w:hAnsi="Times New Roman"/>
                <w:color w:val="330099"/>
                <w:sz w:val="22"/>
                <w:shd w:fill="FFFFFF" w:val="clear"/>
              </w:rPr>
            </w:r>
          </w:p>
        </w:tc>
        <w:tc>
          <w:tcPr>
            <w:tcW w:w="3310" w:type="dxa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color="000000" w:fill="FFFFFF" w:val="clear"/>
            <w:tcMar>
              <w:left w:w="18" w:type="dxa"/>
            </w:tcMar>
          </w:tcPr>
          <w:p>
            <w:pPr>
              <w:pStyle w:val="Normal"/>
              <w:spacing w:lineRule="exact" w:line="240"/>
              <w:jc w:val="center"/>
              <w:rPr>
                <w:rFonts w:ascii="Times New Roman" w:hAnsi="Times New Roman" w:eastAsia="Times New Roman" w:cs="Calibri"/>
                <w:color w:val="330099"/>
                <w:sz w:val="22"/>
                <w:shd w:fill="FFFFFF" w:val="clear"/>
              </w:rPr>
            </w:pPr>
            <w:r>
              <w:rPr>
                <w:rFonts w:eastAsia="Times New Roman" w:cs="Calibri" w:ascii="Times New Roman" w:hAnsi="Times New Roman"/>
                <w:color w:val="330099"/>
                <w:sz w:val="22"/>
                <w:shd w:fill="FFFFFF" w:val="clear"/>
              </w:rPr>
            </w:r>
          </w:p>
        </w:tc>
      </w:tr>
      <w:tr>
        <w:trPr>
          <w:trHeight w:val="1" w:hRule="atLeast"/>
        </w:trPr>
        <w:tc>
          <w:tcPr>
            <w:tcW w:w="3118" w:type="dxa"/>
            <w:tcBorders>
              <w:top w:val="single" w:sz="2" w:space="0" w:color="000001"/>
              <w:left w:val="single" w:sz="18" w:space="0" w:color="000001"/>
              <w:bottom w:val="single" w:sz="10" w:space="0" w:color="000001"/>
              <w:right w:val="single" w:sz="12" w:space="0" w:color="000001"/>
              <w:insideH w:val="single" w:sz="10" w:space="0" w:color="000001"/>
              <w:insideV w:val="single" w:sz="12" w:space="0" w:color="000001"/>
            </w:tcBorders>
            <w:shd w:color="000000" w:fill="FFFFFF" w:val="clear"/>
            <w:tcMar>
              <w:left w:w="-22" w:type="dxa"/>
            </w:tcMar>
          </w:tcPr>
          <w:p>
            <w:pPr>
              <w:pStyle w:val="Normal"/>
              <w:spacing w:lineRule="exact" w:line="24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Oprava </w:t>
            </w:r>
            <w:r>
              <w:rPr>
                <w:rFonts w:ascii="Times New Roman" w:hAnsi="Times New Roman"/>
                <w:b/>
                <w:bCs/>
              </w:rPr>
              <w:t xml:space="preserve">nevýznamných </w:t>
            </w:r>
            <w:r>
              <w:rPr>
                <w:rFonts w:ascii="Times New Roman" w:hAnsi="Times New Roman"/>
              </w:rPr>
              <w:t>chýb minulých účtovných období</w:t>
            </w:r>
          </w:p>
        </w:tc>
        <w:tc>
          <w:tcPr>
            <w:tcW w:w="292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rFonts w:ascii="Times New Roman" w:hAnsi="Times New Roman" w:eastAsia="Times New Roman" w:cs="Calibri"/>
                <w:color w:val="330099"/>
                <w:sz w:val="22"/>
              </w:rPr>
            </w:pPr>
            <w:r>
              <w:rPr/>
            </w:r>
          </w:p>
        </w:tc>
        <w:tc>
          <w:tcPr>
            <w:tcW w:w="331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color="000000" w:fill="FFFFFF" w:val="clear"/>
            <w:tcMar>
              <w:left w:w="18" w:type="dxa"/>
            </w:tcMar>
          </w:tcPr>
          <w:p>
            <w:pPr>
              <w:pStyle w:val="Normal"/>
              <w:spacing w:lineRule="exact" w:line="240"/>
              <w:jc w:val="center"/>
              <w:rPr>
                <w:rFonts w:ascii="Times New Roman" w:hAnsi="Times New Roman" w:eastAsia="Times New Roman" w:cs="Calibri"/>
                <w:color w:val="330099"/>
                <w:sz w:val="22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3118" w:type="dxa"/>
            <w:tcBorders>
              <w:top w:val="single" w:sz="12" w:space="0" w:color="000001"/>
              <w:left w:val="single" w:sz="18" w:space="0" w:color="000001"/>
              <w:bottom w:val="single" w:sz="10" w:space="0" w:color="000001"/>
              <w:right w:val="single" w:sz="12" w:space="0" w:color="000001"/>
              <w:insideH w:val="single" w:sz="10" w:space="0" w:color="000001"/>
              <w:insideV w:val="single" w:sz="12" w:space="0" w:color="000001"/>
            </w:tcBorders>
            <w:shd w:color="000000" w:fill="FFFFFF" w:val="clear"/>
            <w:tcMar>
              <w:left w:w="-22" w:type="dxa"/>
            </w:tcMar>
          </w:tcPr>
          <w:p>
            <w:pPr>
              <w:pStyle w:val="Normal"/>
              <w:spacing w:lineRule="exact" w:line="240"/>
              <w:jc w:val="both"/>
              <w:rPr/>
            </w:pPr>
            <w:r>
              <w:rPr>
                <w:rFonts w:cs="Times New Roman" w:ascii="Times New Roman" w:hAnsi="Times New Roman"/>
                <w:shd w:fill="FFFFFF" w:val="clear"/>
              </w:rPr>
              <w:t xml:space="preserve">Oprava </w:t>
            </w:r>
            <w:r>
              <w:rPr>
                <w:rFonts w:cs="Times New Roman" w:ascii="Times New Roman" w:hAnsi="Times New Roman"/>
                <w:b/>
                <w:shd w:fill="FFFFFF" w:val="clear"/>
              </w:rPr>
              <w:t>nevýznamných</w:t>
            </w:r>
            <w:r>
              <w:rPr>
                <w:rFonts w:cs="Times New Roman" w:ascii="Times New Roman" w:hAnsi="Times New Roman"/>
                <w:shd w:fill="FFFFFF" w:val="clear"/>
              </w:rPr>
              <w:t xml:space="preserve"> chýb minulých účtovných období</w:t>
            </w:r>
          </w:p>
        </w:tc>
        <w:tc>
          <w:tcPr>
            <w:tcW w:w="292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rFonts w:ascii="Times New Roman" w:hAnsi="Times New Roman" w:eastAsia="Times New Roman" w:cs="Calibri"/>
                <w:color w:val="330099"/>
                <w:sz w:val="22"/>
              </w:rPr>
            </w:pPr>
            <w:r>
              <w:rPr/>
            </w:r>
          </w:p>
        </w:tc>
        <w:tc>
          <w:tcPr>
            <w:tcW w:w="331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color="000000" w:fill="FFFFFF" w:val="clear"/>
            <w:tcMar>
              <w:left w:w="18" w:type="dxa"/>
            </w:tcMar>
          </w:tcPr>
          <w:p>
            <w:pPr>
              <w:pStyle w:val="Normal"/>
              <w:spacing w:lineRule="exact" w:line="240"/>
              <w:jc w:val="center"/>
              <w:rPr>
                <w:rFonts w:ascii="Times New Roman" w:hAnsi="Times New Roman" w:eastAsia="Times New Roman" w:cs="Calibri"/>
                <w:color w:val="330099"/>
                <w:sz w:val="22"/>
              </w:rPr>
            </w:pPr>
            <w:r>
              <w:rPr/>
            </w:r>
          </w:p>
        </w:tc>
      </w:tr>
      <w:tr>
        <w:trPr>
          <w:trHeight w:val="70" w:hRule="atLeast"/>
        </w:trPr>
        <w:tc>
          <w:tcPr>
            <w:tcW w:w="3118" w:type="dxa"/>
            <w:tcBorders>
              <w:top w:val="single" w:sz="12" w:space="0" w:color="000001"/>
              <w:left w:val="single" w:sz="10" w:space="0" w:color="000001"/>
              <w:bottom w:val="single" w:sz="10" w:space="0" w:color="000001"/>
              <w:right w:val="single" w:sz="12" w:space="0" w:color="000001"/>
              <w:insideH w:val="single" w:sz="10" w:space="0" w:color="000001"/>
              <w:insideV w:val="single" w:sz="12" w:space="0" w:color="000001"/>
            </w:tcBorders>
            <w:shd w:color="000000" w:fill="FFFFFF" w:val="clear"/>
          </w:tcPr>
          <w:p>
            <w:pPr>
              <w:pStyle w:val="Normal"/>
              <w:spacing w:lineRule="exact" w:line="240"/>
              <w:jc w:val="both"/>
              <w:rPr/>
            </w:pPr>
            <w:r>
              <w:rPr>
                <w:rFonts w:cs="Times New Roman" w:ascii="Times New Roman" w:hAnsi="Times New Roman"/>
                <w:shd w:fill="FFFFFF" w:val="clear"/>
              </w:rPr>
              <w:t xml:space="preserve">Oprava </w:t>
            </w:r>
            <w:r>
              <w:rPr>
                <w:rFonts w:cs="Times New Roman" w:ascii="Times New Roman" w:hAnsi="Times New Roman"/>
                <w:b/>
                <w:shd w:fill="FFFFFF" w:val="clear"/>
              </w:rPr>
              <w:t>nevýznamných</w:t>
            </w:r>
            <w:r>
              <w:rPr>
                <w:rFonts w:cs="Times New Roman" w:ascii="Times New Roman" w:hAnsi="Times New Roman"/>
                <w:shd w:fill="FFFFFF" w:val="clear"/>
              </w:rPr>
              <w:t xml:space="preserve"> chýb minulých účtovných období</w:t>
            </w:r>
          </w:p>
        </w:tc>
        <w:tc>
          <w:tcPr>
            <w:tcW w:w="2927" w:type="dxa"/>
            <w:tcBorders>
              <w:top w:val="single" w:sz="12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000000" w:fill="FFFFFF" w:val="clear"/>
            <w:tcMar>
              <w:left w:w="18" w:type="dxa"/>
            </w:tcMar>
          </w:tcPr>
          <w:p>
            <w:pPr>
              <w:pStyle w:val="Normal"/>
              <w:spacing w:lineRule="exact" w:line="240"/>
              <w:jc w:val="center"/>
              <w:rPr>
                <w:rFonts w:ascii="Times New Roman" w:hAnsi="Times New Roman" w:eastAsia="Times New Roman" w:cs="Calibri"/>
                <w:color w:val="330099"/>
                <w:sz w:val="22"/>
              </w:rPr>
            </w:pPr>
            <w:r>
              <w:rPr/>
            </w:r>
          </w:p>
        </w:tc>
        <w:tc>
          <w:tcPr>
            <w:tcW w:w="3310" w:type="dxa"/>
            <w:tcBorders>
              <w:top w:val="single" w:sz="12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000000" w:fill="FFFFFF" w:val="clear"/>
            <w:tcMar>
              <w:left w:w="18" w:type="dxa"/>
            </w:tcMar>
          </w:tcPr>
          <w:p>
            <w:pPr>
              <w:pStyle w:val="Normal"/>
              <w:spacing w:lineRule="exact" w:line="240"/>
              <w:jc w:val="center"/>
              <w:rPr>
                <w:rFonts w:ascii="Times New Roman" w:hAnsi="Times New Roman" w:eastAsia="Times New Roman" w:cs="Calibri"/>
                <w:color w:val="330099"/>
                <w:sz w:val="22"/>
              </w:rPr>
            </w:pPr>
            <w:r>
              <w:rPr/>
            </w:r>
          </w:p>
        </w:tc>
      </w:tr>
      <w:tr>
        <w:trPr>
          <w:trHeight w:val="70" w:hRule="atLeast"/>
        </w:trPr>
        <w:tc>
          <w:tcPr>
            <w:tcW w:w="3118" w:type="dxa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000000" w:fill="FFFFFF" w:val="clear"/>
            <w:tcMar>
              <w:left w:w="-22" w:type="dxa"/>
            </w:tcMar>
          </w:tcPr>
          <w:p>
            <w:pPr>
              <w:pStyle w:val="Normal"/>
              <w:spacing w:lineRule="exact" w:line="240"/>
              <w:jc w:val="both"/>
              <w:rPr/>
            </w:pPr>
            <w:r>
              <w:rPr>
                <w:rFonts w:cs="Times New Roman" w:ascii="Times New Roman" w:hAnsi="Times New Roman"/>
                <w:shd w:fill="FFFFFF" w:val="clear"/>
              </w:rPr>
              <w:t xml:space="preserve">Oprava </w:t>
            </w:r>
            <w:r>
              <w:rPr>
                <w:rFonts w:cs="Times New Roman" w:ascii="Times New Roman" w:hAnsi="Times New Roman"/>
                <w:b/>
                <w:shd w:fill="FFFFFF" w:val="clear"/>
              </w:rPr>
              <w:t>nevýznamných</w:t>
            </w:r>
            <w:r>
              <w:rPr>
                <w:rFonts w:cs="Times New Roman" w:ascii="Times New Roman" w:hAnsi="Times New Roman"/>
                <w:shd w:fill="FFFFFF" w:val="clear"/>
              </w:rPr>
              <w:t xml:space="preserve"> chýb minulých účtovných období</w:t>
            </w:r>
          </w:p>
        </w:tc>
        <w:tc>
          <w:tcPr>
            <w:tcW w:w="2927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000000" w:fill="FFFFFF" w:val="clear"/>
            <w:tcMar>
              <w:left w:w="18" w:type="dxa"/>
            </w:tcMar>
          </w:tcPr>
          <w:p>
            <w:pPr>
              <w:pStyle w:val="Normal"/>
              <w:spacing w:lineRule="exact" w:line="240"/>
              <w:jc w:val="center"/>
              <w:rPr>
                <w:rFonts w:ascii="Times New Roman" w:hAnsi="Times New Roman" w:eastAsia="Times New Roman" w:cs="Calibri"/>
                <w:color w:val="330099"/>
                <w:sz w:val="22"/>
              </w:rPr>
            </w:pPr>
            <w:r>
              <w:rPr/>
            </w:r>
          </w:p>
        </w:tc>
        <w:tc>
          <w:tcPr>
            <w:tcW w:w="3310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000000" w:fill="FFFFFF" w:val="clear"/>
            <w:tcMar>
              <w:left w:w="18" w:type="dxa"/>
            </w:tcMar>
          </w:tcPr>
          <w:p>
            <w:pPr>
              <w:pStyle w:val="Normal"/>
              <w:spacing w:lineRule="exact" w:line="240"/>
              <w:jc w:val="center"/>
              <w:rPr>
                <w:rFonts w:ascii="Times New Roman" w:hAnsi="Times New Roman" w:eastAsia="Times New Roman" w:cs="Calibri"/>
                <w:color w:val="330099"/>
                <w:sz w:val="22"/>
              </w:rPr>
            </w:pPr>
            <w:r>
              <w:rPr/>
            </w:r>
          </w:p>
        </w:tc>
      </w:tr>
    </w:tbl>
    <w:p>
      <w:pPr>
        <w:pStyle w:val="Normal"/>
        <w:spacing w:lineRule="exact" w:line="240"/>
        <w:jc w:val="center"/>
        <w:rPr>
          <w:rFonts w:ascii="Times New Roman" w:hAnsi="Times New Roman" w:cs="Times New Roman"/>
          <w:b/>
          <w:b/>
          <w:shd w:fill="FFFFFF" w:val="clear"/>
        </w:rPr>
      </w:pPr>
      <w:r>
        <w:rPr>
          <w:rFonts w:cs="Times New Roman" w:ascii="Times New Roman" w:hAnsi="Times New Roman"/>
          <w:b/>
          <w:shd w:fill="FFFFFF" w:val="clear"/>
        </w:rPr>
      </w:r>
    </w:p>
    <w:p>
      <w:pPr>
        <w:pStyle w:val="Normal"/>
        <w:spacing w:lineRule="exact" w:line="240" w:before="240" w:after="0"/>
        <w:ind w:left="992" w:hanging="992"/>
        <w:rPr>
          <w:rFonts w:ascii="Times New Roman" w:hAnsi="Times New Roman" w:cs="Times New Roman"/>
          <w:b/>
          <w:b/>
          <w:color w:val="5B9BD5"/>
          <w:sz w:val="22"/>
          <w:highlight w:val="white"/>
        </w:rPr>
      </w:pPr>
      <w:r>
        <w:rPr>
          <w:rFonts w:cs="Times New Roman" w:ascii="Times New Roman" w:hAnsi="Times New Roman"/>
          <w:b/>
          <w:color w:val="5B9BD5"/>
          <w:sz w:val="22"/>
          <w:shd w:fill="FFFFFF" w:val="clear"/>
        </w:rPr>
        <w:t>Čl. IV</w:t>
        <w:tab/>
        <w:t>Informácie, ktoré vysvetľujú a dopĺňajú položky výkazu ziskov a strát</w:t>
      </w:r>
    </w:p>
    <w:p>
      <w:pPr>
        <w:pStyle w:val="Normal"/>
        <w:spacing w:lineRule="exact" w:line="240"/>
        <w:ind w:left="993" w:hanging="993"/>
        <w:rPr>
          <w:rFonts w:ascii="Times New Roman" w:hAnsi="Times New Roman" w:cs="Times New Roman"/>
          <w:b/>
          <w:b/>
          <w:sz w:val="22"/>
          <w:shd w:fill="FFFFFF" w:val="clear"/>
        </w:rPr>
      </w:pPr>
      <w:r>
        <w:rPr>
          <w:rFonts w:cs="Times New Roman" w:ascii="Times New Roman" w:hAnsi="Times New Roman"/>
          <w:b/>
          <w:sz w:val="22"/>
          <w:shd w:fill="FFFFFF" w:val="clear"/>
        </w:rPr>
      </w:r>
    </w:p>
    <w:p>
      <w:pPr>
        <w:pStyle w:val="Normal"/>
        <w:spacing w:lineRule="exact" w:line="240" w:before="0" w:after="160"/>
        <w:ind w:left="993" w:hanging="993"/>
        <w:jc w:val="both"/>
        <w:rPr>
          <w:rFonts w:ascii="Times New Roman" w:hAnsi="Times New Roman" w:cs="Times New Roman"/>
          <w:b/>
          <w:b/>
          <w:sz w:val="22"/>
          <w:highlight w:val="white"/>
        </w:rPr>
      </w:pPr>
      <w:r>
        <w:rPr/>
      </w:r>
    </w:p>
    <w:p>
      <w:pPr>
        <w:pStyle w:val="Normal"/>
        <w:spacing w:lineRule="exact" w:line="240" w:before="0" w:after="160"/>
        <w:ind w:left="993" w:hanging="993"/>
        <w:jc w:val="both"/>
        <w:rPr>
          <w:rFonts w:ascii="Times New Roman" w:hAnsi="Times New Roman" w:cs="Times New Roman"/>
          <w:b/>
          <w:b/>
          <w:sz w:val="22"/>
          <w:highlight w:val="white"/>
        </w:rPr>
      </w:pPr>
      <w:r>
        <w:rPr>
          <w:rFonts w:cs="Times New Roman" w:ascii="Times New Roman" w:hAnsi="Times New Roman"/>
          <w:b/>
          <w:sz w:val="22"/>
          <w:shd w:fill="FFFFFF" w:val="clear"/>
        </w:rPr>
        <w:t>IV. 1</w:t>
        <w:tab/>
        <w:t>Charakteristika Goodwilu:</w:t>
      </w:r>
    </w:p>
    <w:tbl>
      <w:tblPr>
        <w:tblW w:w="9279" w:type="dxa"/>
        <w:jc w:val="left"/>
        <w:tblInd w:w="-86" w:type="dxa"/>
        <w:tblBorders>
          <w:top w:val="single" w:sz="18" w:space="0" w:color="000001"/>
          <w:left w:val="single" w:sz="18" w:space="0" w:color="000001"/>
          <w:bottom w:val="single" w:sz="18" w:space="0" w:color="000001"/>
          <w:right w:val="single" w:sz="12" w:space="0" w:color="000001"/>
          <w:insideH w:val="single" w:sz="18" w:space="0" w:color="000001"/>
          <w:insideV w:val="single" w:sz="12" w:space="0" w:color="000001"/>
        </w:tblBorders>
        <w:tblCellMar>
          <w:top w:w="0" w:type="dxa"/>
          <w:left w:w="-22" w:type="dxa"/>
          <w:bottom w:w="0" w:type="dxa"/>
          <w:right w:w="70" w:type="dxa"/>
        </w:tblCellMar>
        <w:tblLook w:val="0000"/>
      </w:tblPr>
      <w:tblGrid>
        <w:gridCol w:w="2956"/>
        <w:gridCol w:w="2070"/>
        <w:gridCol w:w="1710"/>
        <w:gridCol w:w="2542"/>
      </w:tblGrid>
      <w:tr>
        <w:trPr>
          <w:trHeight w:val="330" w:hRule="atLeast"/>
        </w:trPr>
        <w:tc>
          <w:tcPr>
            <w:tcW w:w="2956" w:type="dxa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Charakteristika goodwillu</w:t>
            </w:r>
          </w:p>
        </w:tc>
        <w:tc>
          <w:tcPr>
            <w:tcW w:w="2070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Dôvod vzniku</w:t>
            </w:r>
          </w:p>
        </w:tc>
        <w:tc>
          <w:tcPr>
            <w:tcW w:w="1710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Hodnota</w:t>
            </w:r>
          </w:p>
        </w:tc>
        <w:tc>
          <w:tcPr>
            <w:tcW w:w="2542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Spôsob výpočtu hodnoty</w:t>
            </w:r>
          </w:p>
        </w:tc>
      </w:tr>
      <w:tr>
        <w:trPr>
          <w:trHeight w:val="330" w:hRule="atLeast"/>
        </w:trPr>
        <w:tc>
          <w:tcPr>
            <w:tcW w:w="2956" w:type="dxa"/>
            <w:tcBorders>
              <w:top w:val="single" w:sz="18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070" w:type="dxa"/>
            <w:tcBorders>
              <w:top w:val="single" w:sz="1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710" w:type="dxa"/>
            <w:tcBorders>
              <w:top w:val="single" w:sz="1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542" w:type="dxa"/>
            <w:tcBorders>
              <w:top w:val="single" w:sz="18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956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07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71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54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956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07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71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54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956" w:type="dxa"/>
            <w:tcBorders>
              <w:top w:val="single" w:sz="4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070" w:type="dxa"/>
            <w:tcBorders>
              <w:top w:val="single" w:sz="4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710" w:type="dxa"/>
            <w:tcBorders>
              <w:top w:val="single" w:sz="4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542" w:type="dxa"/>
            <w:tcBorders>
              <w:top w:val="single" w:sz="4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</w:tbl>
    <w:p>
      <w:pPr>
        <w:pStyle w:val="Normal"/>
        <w:spacing w:lineRule="exact" w:line="240" w:before="240" w:after="160"/>
        <w:jc w:val="both"/>
        <w:rPr/>
      </w:pPr>
      <w:r>
        <w:rPr>
          <w:rFonts w:cs="Times New Roman" w:ascii="Times New Roman" w:hAnsi="Times New Roman"/>
          <w:b/>
          <w:shd w:fill="FFFFFF" w:val="clear"/>
        </w:rPr>
        <w:t>Ďalšie dôležité informácie o goodwille</w:t>
      </w:r>
      <w:r>
        <w:rPr>
          <w:rFonts w:cs="Times New Roman" w:ascii="Times New Roman" w:hAnsi="Times New Roman"/>
          <w:shd w:fill="FFFFFF" w:val="clear"/>
        </w:rPr>
        <w:t xml:space="preserve"> (prehodnotenie opodstatnenosti jeho výšky </w:t>
      </w:r>
    </w:p>
    <w:p>
      <w:pPr>
        <w:pStyle w:val="Normal"/>
        <w:spacing w:lineRule="exact" w:line="240" w:before="240" w:after="160"/>
        <w:jc w:val="both"/>
        <w:rPr>
          <w:rFonts w:ascii="Times New Roman" w:hAnsi="Times New Roman" w:cs="Times New Roman"/>
          <w:b/>
          <w:b/>
          <w:highlight w:val="white"/>
        </w:rPr>
      </w:pPr>
      <w:r>
        <w:rPr>
          <w:rFonts w:cs="Times New Roman" w:ascii="Times New Roman" w:hAnsi="Times New Roman"/>
          <w:shd w:fill="FFFFFF" w:val="clear"/>
        </w:rPr>
        <w:t>a odpisu hodnoty):</w:t>
      </w:r>
    </w:p>
    <w:p>
      <w:pPr>
        <w:pStyle w:val="Normal"/>
        <w:spacing w:lineRule="exact" w:line="240" w:before="0" w:after="160"/>
        <w:jc w:val="both"/>
        <w:rPr/>
      </w:pPr>
      <w:r>
        <w:rPr>
          <w:rFonts w:cs="Times New Roman" w:ascii="Times New Roman" w:hAnsi="Times New Roman"/>
          <w:b/>
          <w:sz w:val="22"/>
          <w:shd w:fill="FFFFFF" w:val="clear"/>
        </w:rPr>
        <w:t>IV. 2</w:t>
        <w:tab/>
        <w:t>Informácie o významných položkách derivátov za bežné účtovné obdobie:</w:t>
      </w:r>
    </w:p>
    <w:tbl>
      <w:tblPr>
        <w:tblW w:w="10065" w:type="dxa"/>
        <w:jc w:val="left"/>
        <w:tblInd w:w="-506" w:type="dxa"/>
        <w:tblBorders>
          <w:top w:val="single" w:sz="6" w:space="0" w:color="000001"/>
          <w:left w:val="single" w:sz="6" w:space="0" w:color="000001"/>
          <w:bottom w:val="single" w:sz="6" w:space="0" w:color="000001"/>
          <w:right w:val="single" w:sz="6" w:space="0" w:color="000001"/>
          <w:insideH w:val="single" w:sz="6" w:space="0" w:color="000001"/>
          <w:insideV w:val="single" w:sz="6" w:space="0" w:color="000001"/>
        </w:tblBorders>
        <w:tblCellMar>
          <w:top w:w="0" w:type="dxa"/>
          <w:left w:w="22" w:type="dxa"/>
          <w:bottom w:w="0" w:type="dxa"/>
          <w:right w:w="70" w:type="dxa"/>
        </w:tblCellMar>
        <w:tblLook w:val="0000"/>
      </w:tblPr>
      <w:tblGrid>
        <w:gridCol w:w="2036"/>
        <w:gridCol w:w="732"/>
        <w:gridCol w:w="604"/>
        <w:gridCol w:w="490"/>
        <w:gridCol w:w="754"/>
        <w:gridCol w:w="376"/>
        <w:gridCol w:w="1"/>
        <w:gridCol w:w="438"/>
        <w:gridCol w:w="553"/>
        <w:gridCol w:w="90"/>
        <w:gridCol w:w="279"/>
        <w:gridCol w:w="274"/>
        <w:gridCol w:w="294"/>
        <w:gridCol w:w="378"/>
        <w:gridCol w:w="323"/>
        <w:gridCol w:w="418"/>
        <w:gridCol w:w="499"/>
        <w:gridCol w:w="1"/>
        <w:gridCol w:w="1524"/>
      </w:tblGrid>
      <w:tr>
        <w:trPr>
          <w:trHeight w:val="330" w:hRule="atLeast"/>
        </w:trPr>
        <w:tc>
          <w:tcPr>
            <w:tcW w:w="276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Tabuľka č. 1</w:t>
            </w:r>
          </w:p>
        </w:tc>
        <w:tc>
          <w:tcPr>
            <w:tcW w:w="60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620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439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22" w:type="dxa"/>
            </w:tcMar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196" w:type="dxa"/>
            <w:gridSpan w:val="4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22" w:type="dxa"/>
            </w:tcMar>
          </w:tcPr>
          <w:p>
            <w:pPr>
              <w:pStyle w:val="Normal"/>
              <w:spacing w:lineRule="exact" w:line="240"/>
              <w:jc w:val="center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29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22" w:type="dxa"/>
            </w:tcMar>
          </w:tcPr>
          <w:p>
            <w:pPr>
              <w:pStyle w:val="Normal"/>
              <w:spacing w:lineRule="exact" w:line="240"/>
              <w:jc w:val="center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119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22" w:type="dxa"/>
            </w:tcMar>
          </w:tcPr>
          <w:p>
            <w:pPr>
              <w:pStyle w:val="Normal"/>
              <w:spacing w:lineRule="exact" w:line="240"/>
              <w:jc w:val="center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49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22" w:type="dxa"/>
            </w:tcMar>
          </w:tcPr>
          <w:p>
            <w:pPr>
              <w:pStyle w:val="Normal"/>
              <w:spacing w:lineRule="exact" w:line="240"/>
              <w:jc w:val="center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52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22" w:type="dxa"/>
            </w:tcMar>
          </w:tcPr>
          <w:p>
            <w:pPr>
              <w:pStyle w:val="Normal"/>
              <w:spacing w:lineRule="exact" w:line="240"/>
              <w:jc w:val="right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</w:tr>
      <w:tr>
        <w:trPr>
          <w:trHeight w:val="330" w:hRule="atLeast"/>
        </w:trPr>
        <w:tc>
          <w:tcPr>
            <w:tcW w:w="2036" w:type="dxa"/>
            <w:tcBorders>
              <w:top w:val="single" w:sz="18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Názov položky</w:t>
            </w:r>
          </w:p>
        </w:tc>
        <w:tc>
          <w:tcPr>
            <w:tcW w:w="1336" w:type="dxa"/>
            <w:gridSpan w:val="2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Účtovná hodnota</w:t>
            </w:r>
          </w:p>
        </w:tc>
        <w:tc>
          <w:tcPr>
            <w:tcW w:w="6692" w:type="dxa"/>
            <w:gridSpan w:val="16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/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Dohodnutá cena podkladového nástroja</w:t>
            </w:r>
          </w:p>
        </w:tc>
      </w:tr>
      <w:tr>
        <w:trPr>
          <w:trHeight w:val="330" w:hRule="atLeast"/>
        </w:trPr>
        <w:tc>
          <w:tcPr>
            <w:tcW w:w="2036" w:type="dxa"/>
            <w:tcBorders>
              <w:top w:val="single" w:sz="12" w:space="0" w:color="000001"/>
              <w:left w:val="single" w:sz="18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76" w:before="0" w:after="20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336" w:type="dxa"/>
            <w:gridSpan w:val="2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pohľadávky</w:t>
            </w:r>
          </w:p>
        </w:tc>
        <w:tc>
          <w:tcPr>
            <w:tcW w:w="1244" w:type="dxa"/>
            <w:gridSpan w:val="2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záväzku</w:t>
            </w:r>
          </w:p>
        </w:tc>
        <w:tc>
          <w:tcPr>
            <w:tcW w:w="5448" w:type="dxa"/>
            <w:gridSpan w:val="14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8" w:space="0" w:color="000001"/>
              <w:insideH w:val="single" w:sz="6" w:space="0" w:color="000001"/>
              <w:insideV w:val="single" w:sz="18" w:space="0" w:color="000001"/>
            </w:tcBorders>
            <w:shd w:color="000000"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76" w:before="0" w:after="200"/>
              <w:rPr>
                <w:sz w:val="22"/>
                <w:shd w:fill="FFFFFF" w:val="clear"/>
              </w:rPr>
            </w:pPr>
            <w:r>
              <w:rPr>
                <w:sz w:val="22"/>
                <w:shd w:fill="FFFFFF" w:val="clear"/>
              </w:rPr>
            </w:r>
          </w:p>
        </w:tc>
      </w:tr>
      <w:tr>
        <w:trPr>
          <w:trHeight w:val="330" w:hRule="atLeast"/>
        </w:trPr>
        <w:tc>
          <w:tcPr>
            <w:tcW w:w="2036" w:type="dxa"/>
            <w:tcBorders>
              <w:top w:val="single" w:sz="6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a</w:t>
            </w:r>
          </w:p>
        </w:tc>
        <w:tc>
          <w:tcPr>
            <w:tcW w:w="1336" w:type="dxa"/>
            <w:gridSpan w:val="2"/>
            <w:tcBorders>
              <w:top w:val="single" w:sz="6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b</w:t>
            </w:r>
          </w:p>
        </w:tc>
        <w:tc>
          <w:tcPr>
            <w:tcW w:w="1244" w:type="dxa"/>
            <w:gridSpan w:val="2"/>
            <w:tcBorders>
              <w:top w:val="single" w:sz="6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c</w:t>
            </w:r>
          </w:p>
        </w:tc>
        <w:tc>
          <w:tcPr>
            <w:tcW w:w="5448" w:type="dxa"/>
            <w:gridSpan w:val="14"/>
            <w:tcBorders>
              <w:top w:val="single" w:sz="6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d</w:t>
            </w:r>
          </w:p>
        </w:tc>
      </w:tr>
      <w:tr>
        <w:trPr>
          <w:trHeight w:val="556" w:hRule="atLeast"/>
        </w:trPr>
        <w:tc>
          <w:tcPr>
            <w:tcW w:w="2036" w:type="dxa"/>
            <w:tcBorders>
              <w:top w:val="single" w:sz="18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Deriváty určené na obchodovanie, z toho: </w:t>
            </w:r>
          </w:p>
        </w:tc>
        <w:tc>
          <w:tcPr>
            <w:tcW w:w="1336" w:type="dxa"/>
            <w:gridSpan w:val="2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1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244" w:type="dxa"/>
            <w:gridSpan w:val="2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1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5448" w:type="dxa"/>
            <w:gridSpan w:val="14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1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036" w:type="dxa"/>
            <w:tcBorders>
              <w:top w:val="single" w:sz="12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1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336" w:type="dxa"/>
            <w:gridSpan w:val="2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244" w:type="dxa"/>
            <w:gridSpan w:val="2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5448" w:type="dxa"/>
            <w:gridSpan w:val="14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036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1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336" w:type="dxa"/>
            <w:gridSpan w:val="2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244" w:type="dxa"/>
            <w:gridSpan w:val="2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5448" w:type="dxa"/>
            <w:gridSpan w:val="14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036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1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336" w:type="dxa"/>
            <w:gridSpan w:val="2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244" w:type="dxa"/>
            <w:gridSpan w:val="2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5448" w:type="dxa"/>
            <w:gridSpan w:val="14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036" w:type="dxa"/>
            <w:tcBorders>
              <w:top w:val="single" w:sz="4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1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336" w:type="dxa"/>
            <w:gridSpan w:val="2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244" w:type="dxa"/>
            <w:gridSpan w:val="2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5448" w:type="dxa"/>
            <w:gridSpan w:val="14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13" w:right="624" w:firstLine="227"/>
              <w:jc w:val="right"/>
              <w:rPr/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572" w:hRule="atLeast"/>
        </w:trPr>
        <w:tc>
          <w:tcPr>
            <w:tcW w:w="2036" w:type="dxa"/>
            <w:tcBorders>
              <w:top w:val="single" w:sz="12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Zabezpečovacie deriváty, z toho:</w:t>
            </w:r>
          </w:p>
        </w:tc>
        <w:tc>
          <w:tcPr>
            <w:tcW w:w="1336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1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244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1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5448" w:type="dxa"/>
            <w:gridSpan w:val="14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1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036" w:type="dxa"/>
            <w:tcBorders>
              <w:top w:val="single" w:sz="12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1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336" w:type="dxa"/>
            <w:gridSpan w:val="2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244" w:type="dxa"/>
            <w:gridSpan w:val="2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5448" w:type="dxa"/>
            <w:gridSpan w:val="14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036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1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336" w:type="dxa"/>
            <w:gridSpan w:val="2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244" w:type="dxa"/>
            <w:gridSpan w:val="2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5448" w:type="dxa"/>
            <w:gridSpan w:val="14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036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1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336" w:type="dxa"/>
            <w:gridSpan w:val="2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244" w:type="dxa"/>
            <w:gridSpan w:val="2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5448" w:type="dxa"/>
            <w:gridSpan w:val="14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036" w:type="dxa"/>
            <w:tcBorders>
              <w:top w:val="single" w:sz="4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1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336" w:type="dxa"/>
            <w:gridSpan w:val="2"/>
            <w:tcBorders>
              <w:top w:val="single" w:sz="4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244" w:type="dxa"/>
            <w:gridSpan w:val="2"/>
            <w:tcBorders>
              <w:top w:val="single" w:sz="4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5448" w:type="dxa"/>
            <w:gridSpan w:val="14"/>
            <w:tcBorders>
              <w:top w:val="single" w:sz="4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3372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  <w:insideH w:val="single" w:sz="12" w:space="0" w:color="000001"/>
              <w:insideV w:val="single" w:sz="6" w:space="0" w:color="000001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exact" w:line="240" w:before="240" w:after="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Tabuľka č. 2</w:t>
            </w:r>
          </w:p>
        </w:tc>
        <w:tc>
          <w:tcPr>
            <w:tcW w:w="4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131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081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22" w:type="dxa"/>
            </w:tcMar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2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22" w:type="dxa"/>
            </w:tcMar>
          </w:tcPr>
          <w:p>
            <w:pPr>
              <w:pStyle w:val="Normal"/>
              <w:spacing w:lineRule="exact" w:line="240"/>
              <w:jc w:val="center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946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22" w:type="dxa"/>
            </w:tcMar>
          </w:tcPr>
          <w:p>
            <w:pPr>
              <w:pStyle w:val="Normal"/>
              <w:spacing w:lineRule="exact" w:line="240"/>
              <w:jc w:val="center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3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22" w:type="dxa"/>
            </w:tcMar>
          </w:tcPr>
          <w:p>
            <w:pPr>
              <w:pStyle w:val="Normal"/>
              <w:spacing w:lineRule="exact" w:line="240"/>
              <w:jc w:val="center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918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22" w:type="dxa"/>
            </w:tcMar>
          </w:tcPr>
          <w:p>
            <w:pPr>
              <w:pStyle w:val="Normal"/>
              <w:spacing w:lineRule="exact" w:line="240"/>
              <w:jc w:val="center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52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22" w:type="dxa"/>
            </w:tcMar>
          </w:tcPr>
          <w:p>
            <w:pPr>
              <w:pStyle w:val="Normal"/>
              <w:spacing w:lineRule="exact" w:line="240"/>
              <w:jc w:val="center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</w:tr>
      <w:tr>
        <w:trPr>
          <w:trHeight w:val="600" w:hRule="atLeast"/>
        </w:trPr>
        <w:tc>
          <w:tcPr>
            <w:tcW w:w="2036" w:type="dxa"/>
            <w:vMerge w:val="restart"/>
            <w:tcBorders>
              <w:top w:val="single" w:sz="18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Názov položky</w:t>
            </w:r>
          </w:p>
        </w:tc>
        <w:tc>
          <w:tcPr>
            <w:tcW w:w="1336" w:type="dxa"/>
            <w:gridSpan w:val="2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Bežné účtovné obdobie</w:t>
            </w:r>
          </w:p>
        </w:tc>
        <w:tc>
          <w:tcPr>
            <w:tcW w:w="6692" w:type="dxa"/>
            <w:gridSpan w:val="16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Bezprostredne predchádzajúce účtovné obdobie</w:t>
            </w:r>
          </w:p>
        </w:tc>
      </w:tr>
      <w:tr>
        <w:trPr>
          <w:trHeight w:val="690" w:hRule="atLeast"/>
        </w:trPr>
        <w:tc>
          <w:tcPr>
            <w:tcW w:w="2036" w:type="dxa"/>
            <w:vMerge w:val="continue"/>
            <w:tcBorders>
              <w:top w:val="single" w:sz="12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76" w:before="0" w:after="20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336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Zmena reálnej hodn. (+/-) s vplyvom na</w:t>
            </w:r>
          </w:p>
        </w:tc>
        <w:tc>
          <w:tcPr>
            <w:tcW w:w="6692" w:type="dxa"/>
            <w:gridSpan w:val="1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Zmena reálnej hodn. (+/-) s vplyvom na</w:t>
            </w:r>
          </w:p>
        </w:tc>
      </w:tr>
      <w:tr>
        <w:trPr>
          <w:trHeight w:val="372" w:hRule="atLeast"/>
        </w:trPr>
        <w:tc>
          <w:tcPr>
            <w:tcW w:w="2036" w:type="dxa"/>
            <w:vMerge w:val="continue"/>
            <w:tcBorders>
              <w:top w:val="single" w:sz="12" w:space="0" w:color="000001"/>
              <w:left w:val="single" w:sz="18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76" w:before="0" w:after="20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336" w:type="dxa"/>
            <w:gridSpan w:val="2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výsledok hospodárenia</w:t>
            </w:r>
          </w:p>
        </w:tc>
        <w:tc>
          <w:tcPr>
            <w:tcW w:w="1244" w:type="dxa"/>
            <w:gridSpan w:val="2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vlastné imanie</w:t>
            </w:r>
          </w:p>
        </w:tc>
        <w:tc>
          <w:tcPr>
            <w:tcW w:w="1368" w:type="dxa"/>
            <w:gridSpan w:val="4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výsledok hospodárenia</w:t>
            </w:r>
          </w:p>
        </w:tc>
        <w:tc>
          <w:tcPr>
            <w:tcW w:w="4080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8" w:space="0" w:color="000001"/>
              <w:insideH w:val="single" w:sz="6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vlastné imanie</w:t>
            </w:r>
          </w:p>
        </w:tc>
      </w:tr>
      <w:tr>
        <w:trPr>
          <w:trHeight w:val="330" w:hRule="atLeast"/>
        </w:trPr>
        <w:tc>
          <w:tcPr>
            <w:tcW w:w="2036" w:type="dxa"/>
            <w:tcBorders>
              <w:top w:val="single" w:sz="6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a</w:t>
            </w:r>
          </w:p>
        </w:tc>
        <w:tc>
          <w:tcPr>
            <w:tcW w:w="1336" w:type="dxa"/>
            <w:gridSpan w:val="2"/>
            <w:tcBorders>
              <w:top w:val="single" w:sz="6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b</w:t>
            </w:r>
          </w:p>
        </w:tc>
        <w:tc>
          <w:tcPr>
            <w:tcW w:w="1244" w:type="dxa"/>
            <w:gridSpan w:val="2"/>
            <w:tcBorders>
              <w:top w:val="single" w:sz="6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c</w:t>
            </w:r>
          </w:p>
        </w:tc>
        <w:tc>
          <w:tcPr>
            <w:tcW w:w="1368" w:type="dxa"/>
            <w:gridSpan w:val="4"/>
            <w:tcBorders>
              <w:top w:val="single" w:sz="6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d</w:t>
            </w:r>
          </w:p>
        </w:tc>
        <w:tc>
          <w:tcPr>
            <w:tcW w:w="4080" w:type="dxa"/>
            <w:gridSpan w:val="10"/>
            <w:tcBorders>
              <w:top w:val="single" w:sz="6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e</w:t>
            </w:r>
          </w:p>
        </w:tc>
      </w:tr>
      <w:tr>
        <w:trPr>
          <w:trHeight w:val="570" w:hRule="atLeast"/>
        </w:trPr>
        <w:tc>
          <w:tcPr>
            <w:tcW w:w="2036" w:type="dxa"/>
            <w:tcBorders>
              <w:top w:val="single" w:sz="18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Deriváty určené na obchodovanie, z toho: </w:t>
            </w:r>
          </w:p>
        </w:tc>
        <w:tc>
          <w:tcPr>
            <w:tcW w:w="1336" w:type="dxa"/>
            <w:gridSpan w:val="2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1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244" w:type="dxa"/>
            <w:gridSpan w:val="2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1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368" w:type="dxa"/>
            <w:gridSpan w:val="4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1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4080" w:type="dxa"/>
            <w:gridSpan w:val="10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1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036" w:type="dxa"/>
            <w:tcBorders>
              <w:top w:val="single" w:sz="12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5B9BD5"/>
                <w:sz w:val="22"/>
                <w:shd w:fill="FFFFFF" w:val="clear"/>
              </w:rPr>
              <w:t> </w:t>
            </w:r>
          </w:p>
        </w:tc>
        <w:tc>
          <w:tcPr>
            <w:tcW w:w="1336" w:type="dxa"/>
            <w:gridSpan w:val="2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244" w:type="dxa"/>
            <w:gridSpan w:val="2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368" w:type="dxa"/>
            <w:gridSpan w:val="4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4080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036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5B9BD5"/>
                <w:sz w:val="22"/>
                <w:shd w:fill="FFFFFF" w:val="clear"/>
              </w:rPr>
              <w:t> </w:t>
            </w:r>
          </w:p>
        </w:tc>
        <w:tc>
          <w:tcPr>
            <w:tcW w:w="1336" w:type="dxa"/>
            <w:gridSpan w:val="2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244" w:type="dxa"/>
            <w:gridSpan w:val="2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368" w:type="dxa"/>
            <w:gridSpan w:val="4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4080" w:type="dxa"/>
            <w:gridSpan w:val="10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036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5B9BD5"/>
                <w:sz w:val="22"/>
                <w:shd w:fill="FFFFFF" w:val="clear"/>
              </w:rPr>
              <w:t> </w:t>
            </w:r>
          </w:p>
        </w:tc>
        <w:tc>
          <w:tcPr>
            <w:tcW w:w="1336" w:type="dxa"/>
            <w:gridSpan w:val="2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244" w:type="dxa"/>
            <w:gridSpan w:val="2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368" w:type="dxa"/>
            <w:gridSpan w:val="4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4080" w:type="dxa"/>
            <w:gridSpan w:val="10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036" w:type="dxa"/>
            <w:tcBorders>
              <w:top w:val="single" w:sz="4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5B9BD5"/>
                <w:sz w:val="22"/>
                <w:shd w:fill="FFFFFF" w:val="clear"/>
              </w:rPr>
              <w:t> </w:t>
            </w:r>
          </w:p>
        </w:tc>
        <w:tc>
          <w:tcPr>
            <w:tcW w:w="1336" w:type="dxa"/>
            <w:gridSpan w:val="2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244" w:type="dxa"/>
            <w:gridSpan w:val="2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368" w:type="dxa"/>
            <w:gridSpan w:val="4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4080" w:type="dxa"/>
            <w:gridSpan w:val="10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600" w:hRule="atLeast"/>
        </w:trPr>
        <w:tc>
          <w:tcPr>
            <w:tcW w:w="2036" w:type="dxa"/>
            <w:tcBorders>
              <w:top w:val="single" w:sz="12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Zabezpečovacie deriváty, z toho:</w:t>
            </w:r>
          </w:p>
        </w:tc>
        <w:tc>
          <w:tcPr>
            <w:tcW w:w="1336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1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244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1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368" w:type="dxa"/>
            <w:gridSpan w:val="4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1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4080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1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036" w:type="dxa"/>
            <w:tcBorders>
              <w:top w:val="single" w:sz="12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5B9BD5"/>
                <w:sz w:val="22"/>
                <w:shd w:fill="FFFFFF" w:val="clear"/>
              </w:rPr>
              <w:t> </w:t>
            </w:r>
          </w:p>
        </w:tc>
        <w:tc>
          <w:tcPr>
            <w:tcW w:w="1336" w:type="dxa"/>
            <w:gridSpan w:val="2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244" w:type="dxa"/>
            <w:gridSpan w:val="2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368" w:type="dxa"/>
            <w:gridSpan w:val="4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4080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036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5B9BD5"/>
                <w:sz w:val="22"/>
                <w:shd w:fill="FFFFFF" w:val="clear"/>
              </w:rPr>
              <w:t> </w:t>
            </w:r>
          </w:p>
        </w:tc>
        <w:tc>
          <w:tcPr>
            <w:tcW w:w="1336" w:type="dxa"/>
            <w:gridSpan w:val="2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244" w:type="dxa"/>
            <w:gridSpan w:val="2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368" w:type="dxa"/>
            <w:gridSpan w:val="4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4080" w:type="dxa"/>
            <w:gridSpan w:val="10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036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5B9BD5"/>
                <w:sz w:val="22"/>
                <w:shd w:fill="FFFFFF" w:val="clear"/>
              </w:rPr>
              <w:t> </w:t>
            </w:r>
          </w:p>
        </w:tc>
        <w:tc>
          <w:tcPr>
            <w:tcW w:w="1336" w:type="dxa"/>
            <w:gridSpan w:val="2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244" w:type="dxa"/>
            <w:gridSpan w:val="2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368" w:type="dxa"/>
            <w:gridSpan w:val="4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4080" w:type="dxa"/>
            <w:gridSpan w:val="10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036" w:type="dxa"/>
            <w:tcBorders>
              <w:top w:val="single" w:sz="4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5B9BD5"/>
                <w:sz w:val="22"/>
                <w:shd w:fill="FFFFFF" w:val="clear"/>
              </w:rPr>
              <w:t> </w:t>
            </w:r>
          </w:p>
        </w:tc>
        <w:tc>
          <w:tcPr>
            <w:tcW w:w="1336" w:type="dxa"/>
            <w:gridSpan w:val="2"/>
            <w:tcBorders>
              <w:top w:val="single" w:sz="4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244" w:type="dxa"/>
            <w:gridSpan w:val="2"/>
            <w:tcBorders>
              <w:top w:val="single" w:sz="4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368" w:type="dxa"/>
            <w:gridSpan w:val="4"/>
            <w:tcBorders>
              <w:top w:val="single" w:sz="4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4080" w:type="dxa"/>
            <w:gridSpan w:val="10"/>
            <w:tcBorders>
              <w:top w:val="single" w:sz="4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</w:tbl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b/>
          <w:b/>
          <w:shd w:fill="FFFFFF" w:val="clear"/>
        </w:rPr>
      </w:pPr>
      <w:r>
        <w:rPr>
          <w:rFonts w:cs="Times New Roman" w:ascii="Times New Roman" w:hAnsi="Times New Roman"/>
          <w:b/>
          <w:shd w:fill="FFFFFF" w:val="clear"/>
        </w:rPr>
      </w:r>
    </w:p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b/>
          <w:b/>
          <w:shd w:fill="FFFFFF" w:val="clear"/>
        </w:rPr>
      </w:pPr>
      <w:r>
        <w:rPr>
          <w:rFonts w:cs="Times New Roman" w:ascii="Times New Roman" w:hAnsi="Times New Roman"/>
          <w:b/>
          <w:shd w:fill="FFFFFF" w:val="clear"/>
        </w:rPr>
      </w:r>
    </w:p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b/>
          <w:b/>
          <w:sz w:val="22"/>
          <w:highlight w:val="white"/>
        </w:rPr>
      </w:pPr>
      <w:r>
        <w:rPr/>
      </w:r>
    </w:p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b/>
          <w:b/>
          <w:sz w:val="22"/>
          <w:highlight w:val="white"/>
        </w:rPr>
      </w:pPr>
      <w:r>
        <w:rPr/>
      </w:r>
    </w:p>
    <w:p>
      <w:pPr>
        <w:pStyle w:val="Normal"/>
        <w:spacing w:lineRule="exact" w:line="240" w:before="0" w:after="160"/>
        <w:jc w:val="both"/>
        <w:rPr/>
      </w:pPr>
      <w:r>
        <w:rPr>
          <w:rFonts w:cs="Times New Roman" w:ascii="Times New Roman" w:hAnsi="Times New Roman"/>
          <w:b/>
          <w:sz w:val="22"/>
          <w:shd w:fill="FFFFFF" w:val="clear"/>
        </w:rPr>
        <w:t xml:space="preserve">Ďalšie dôležité informácie o významných položkách derivátov za bežné účtovné obdobie </w:t>
      </w:r>
      <w:r>
        <w:rPr>
          <w:rFonts w:cs="Times New Roman" w:ascii="Times New Roman" w:hAnsi="Times New Roman"/>
          <w:sz w:val="22"/>
          <w:shd w:fill="FFFFFF" w:val="clear"/>
        </w:rPr>
        <w:t>(napr. informácie o rozsahu a povahe týchto derivátov vrátane významných podmienok, ktoré môžu ovplyvniť sumu, načasovanie a mieru istoty budúcich peňažných tokov):</w:t>
      </w:r>
    </w:p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b/>
          <w:b/>
          <w:shd w:fill="FFFFFF" w:val="clear"/>
        </w:rPr>
      </w:pPr>
      <w:r>
        <w:rPr>
          <w:rFonts w:cs="Times New Roman" w:ascii="Times New Roman" w:hAnsi="Times New Roman"/>
          <w:b/>
          <w:shd w:fill="FFFFFF" w:val="clear"/>
        </w:rPr>
      </w:r>
    </w:p>
    <w:tbl>
      <w:tblPr>
        <w:tblW w:w="10198" w:type="dxa"/>
        <w:jc w:val="left"/>
        <w:tblInd w:w="-522" w:type="dxa"/>
        <w:tblBorders>
          <w:top w:val="single" w:sz="6" w:space="0" w:color="000001"/>
          <w:left w:val="single" w:sz="6" w:space="0" w:color="000001"/>
          <w:bottom w:val="single" w:sz="18" w:space="0" w:color="000001"/>
          <w:right w:val="single" w:sz="6" w:space="0" w:color="000001"/>
          <w:insideH w:val="single" w:sz="18" w:space="0" w:color="000001"/>
          <w:insideV w:val="single" w:sz="6" w:space="0" w:color="000001"/>
        </w:tblBorders>
        <w:tblCellMar>
          <w:top w:w="0" w:type="dxa"/>
          <w:left w:w="22" w:type="dxa"/>
          <w:bottom w:w="0" w:type="dxa"/>
          <w:right w:w="70" w:type="dxa"/>
        </w:tblCellMar>
        <w:tblLook w:val="0000"/>
      </w:tblPr>
      <w:tblGrid>
        <w:gridCol w:w="5589"/>
        <w:gridCol w:w="741"/>
        <w:gridCol w:w="375"/>
        <w:gridCol w:w="87"/>
        <w:gridCol w:w="177"/>
        <w:gridCol w:w="175"/>
        <w:gridCol w:w="177"/>
        <w:gridCol w:w="162"/>
        <w:gridCol w:w="261"/>
        <w:gridCol w:w="176"/>
        <w:gridCol w:w="2277"/>
      </w:tblGrid>
      <w:tr>
        <w:trPr>
          <w:trHeight w:val="330" w:hRule="atLeast"/>
        </w:trPr>
        <w:tc>
          <w:tcPr>
            <w:tcW w:w="63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8" w:space="0" w:color="000001"/>
              <w:right w:val="single" w:sz="6" w:space="0" w:color="000001"/>
              <w:insideH w:val="single" w:sz="18" w:space="0" w:color="000001"/>
              <w:insideV w:val="single" w:sz="6" w:space="0" w:color="000001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Tabuľka č. 3</w:t>
            </w:r>
          </w:p>
        </w:tc>
        <w:tc>
          <w:tcPr>
            <w:tcW w:w="462" w:type="dxa"/>
            <w:gridSpan w:val="2"/>
            <w:tcBorders>
              <w:top w:val="single" w:sz="6" w:space="0" w:color="000001"/>
              <w:left w:val="single" w:sz="6" w:space="0" w:color="000001"/>
              <w:bottom w:val="single" w:sz="18" w:space="0" w:color="000001"/>
              <w:right w:val="single" w:sz="6" w:space="0" w:color="000001"/>
              <w:insideH w:val="single" w:sz="18" w:space="0" w:color="000001"/>
              <w:insideV w:val="single" w:sz="6" w:space="0" w:color="000001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77" w:type="dxa"/>
            <w:tcBorders>
              <w:top w:val="single" w:sz="6" w:space="0" w:color="000001"/>
              <w:left w:val="single" w:sz="6" w:space="0" w:color="000001"/>
              <w:bottom w:val="single" w:sz="18" w:space="0" w:color="000001"/>
              <w:right w:val="single" w:sz="6" w:space="0" w:color="000001"/>
              <w:insideH w:val="single" w:sz="18" w:space="0" w:color="000001"/>
              <w:insideV w:val="single" w:sz="6" w:space="0" w:color="000001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7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2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7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227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</w:tr>
      <w:tr>
        <w:trPr>
          <w:trHeight w:val="330" w:hRule="atLeast"/>
        </w:trPr>
        <w:tc>
          <w:tcPr>
            <w:tcW w:w="5589" w:type="dxa"/>
            <w:vMerge w:val="restart"/>
            <w:tcBorders>
              <w:top w:val="single" w:sz="18" w:space="0" w:color="000001"/>
              <w:left w:val="single" w:sz="18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Zabezpečovaná položka</w:t>
            </w:r>
          </w:p>
        </w:tc>
        <w:tc>
          <w:tcPr>
            <w:tcW w:w="4608" w:type="dxa"/>
            <w:gridSpan w:val="10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Reálna hodnota</w:t>
            </w:r>
          </w:p>
        </w:tc>
      </w:tr>
      <w:tr>
        <w:trPr>
          <w:trHeight w:val="266" w:hRule="atLeast"/>
        </w:trPr>
        <w:tc>
          <w:tcPr>
            <w:tcW w:w="5589" w:type="dxa"/>
            <w:vMerge w:val="continue"/>
            <w:tcBorders>
              <w:top w:val="single" w:sz="6" w:space="0" w:color="000001"/>
              <w:left w:val="single" w:sz="18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76" w:before="0" w:after="20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116" w:type="dxa"/>
            <w:gridSpan w:val="2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BO</w:t>
            </w:r>
          </w:p>
        </w:tc>
        <w:tc>
          <w:tcPr>
            <w:tcW w:w="3492" w:type="dxa"/>
            <w:gridSpan w:val="8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8" w:space="0" w:color="000001"/>
              <w:insideH w:val="single" w:sz="6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PO</w:t>
            </w:r>
          </w:p>
        </w:tc>
      </w:tr>
      <w:tr>
        <w:trPr>
          <w:trHeight w:val="330" w:hRule="atLeast"/>
        </w:trPr>
        <w:tc>
          <w:tcPr>
            <w:tcW w:w="5589" w:type="dxa"/>
            <w:tcBorders>
              <w:top w:val="single" w:sz="6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a</w:t>
            </w:r>
          </w:p>
        </w:tc>
        <w:tc>
          <w:tcPr>
            <w:tcW w:w="1116" w:type="dxa"/>
            <w:gridSpan w:val="2"/>
            <w:tcBorders>
              <w:top w:val="single" w:sz="6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b</w:t>
            </w:r>
          </w:p>
        </w:tc>
        <w:tc>
          <w:tcPr>
            <w:tcW w:w="3492" w:type="dxa"/>
            <w:gridSpan w:val="8"/>
            <w:tcBorders>
              <w:top w:val="single" w:sz="6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c</w:t>
            </w:r>
          </w:p>
        </w:tc>
      </w:tr>
      <w:tr>
        <w:trPr>
          <w:trHeight w:val="330" w:hRule="atLeast"/>
        </w:trPr>
        <w:tc>
          <w:tcPr>
            <w:tcW w:w="5589" w:type="dxa"/>
            <w:tcBorders>
              <w:top w:val="single" w:sz="18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Majetok vykázaný v súvahe</w:t>
            </w:r>
          </w:p>
        </w:tc>
        <w:tc>
          <w:tcPr>
            <w:tcW w:w="1116" w:type="dxa"/>
            <w:gridSpan w:val="2"/>
            <w:tcBorders>
              <w:top w:val="single" w:sz="18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3492" w:type="dxa"/>
            <w:gridSpan w:val="8"/>
            <w:tcBorders>
              <w:top w:val="single" w:sz="18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5589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Záväzok vykázaný v súvahe</w:t>
            </w:r>
          </w:p>
        </w:tc>
        <w:tc>
          <w:tcPr>
            <w:tcW w:w="1116" w:type="dxa"/>
            <w:gridSpan w:val="2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3492" w:type="dxa"/>
            <w:gridSpan w:val="8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448" w:hRule="atLeast"/>
        </w:trPr>
        <w:tc>
          <w:tcPr>
            <w:tcW w:w="5589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6" w:space="0" w:color="000001"/>
              <w:insideH w:val="single" w:sz="4" w:space="0" w:color="000001"/>
              <w:insideV w:val="single" w:sz="6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Zmluvy, ktoré sa neúčtujú na súvahových účtoch</w:t>
            </w:r>
          </w:p>
        </w:tc>
        <w:tc>
          <w:tcPr>
            <w:tcW w:w="1116" w:type="dxa"/>
            <w:gridSpan w:val="2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3492" w:type="dxa"/>
            <w:gridSpan w:val="8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484" w:hRule="atLeast"/>
        </w:trPr>
        <w:tc>
          <w:tcPr>
            <w:tcW w:w="5589" w:type="dxa"/>
            <w:tcBorders>
              <w:top w:val="single" w:sz="4" w:space="0" w:color="000001"/>
              <w:left w:val="single" w:sz="18" w:space="0" w:color="000001"/>
              <w:bottom w:val="single" w:sz="18" w:space="0" w:color="000001"/>
              <w:right w:val="single" w:sz="6" w:space="0" w:color="000001"/>
              <w:insideH w:val="single" w:sz="18" w:space="0" w:color="000001"/>
              <w:insideV w:val="single" w:sz="6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Očakávané budúce obchody dosiaľ zmluvne nezabezpečené</w:t>
            </w:r>
          </w:p>
        </w:tc>
        <w:tc>
          <w:tcPr>
            <w:tcW w:w="1116" w:type="dxa"/>
            <w:gridSpan w:val="2"/>
            <w:tcBorders>
              <w:top w:val="single" w:sz="4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3492" w:type="dxa"/>
            <w:gridSpan w:val="8"/>
            <w:tcBorders>
              <w:top w:val="single" w:sz="4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5589" w:type="dxa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6" w:space="0" w:color="000001"/>
              <w:insideH w:val="single" w:sz="18" w:space="0" w:color="000001"/>
              <w:insideV w:val="single" w:sz="6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Spolu</w:t>
            </w:r>
          </w:p>
        </w:tc>
        <w:tc>
          <w:tcPr>
            <w:tcW w:w="1116" w:type="dxa"/>
            <w:gridSpan w:val="2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ind w:left="300" w:firstLine="663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3492" w:type="dxa"/>
            <w:gridSpan w:val="8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ind w:left="300" w:firstLine="663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</w:tr>
    </w:tbl>
    <w:p>
      <w:pPr>
        <w:pStyle w:val="Normal"/>
        <w:spacing w:lineRule="exact" w:line="240" w:before="240" w:after="160"/>
        <w:ind w:right="-284" w:hanging="0"/>
        <w:jc w:val="both"/>
        <w:rPr/>
      </w:pPr>
      <w:r>
        <w:rPr>
          <w:rFonts w:cs="Times New Roman" w:ascii="Times New Roman" w:hAnsi="Times New Roman"/>
          <w:b/>
          <w:sz w:val="22"/>
          <w:shd w:fill="FFFFFF" w:val="clear"/>
        </w:rPr>
        <w:t>Ďalšie dôležité informácie o položkách zabezpečených derivátmi (najmä forma zabezpečenia):</w:t>
      </w:r>
    </w:p>
    <w:p>
      <w:pPr>
        <w:pStyle w:val="Normal"/>
        <w:spacing w:lineRule="exact" w:line="240" w:before="0" w:after="160"/>
        <w:ind w:right="-284" w:hanging="0"/>
        <w:jc w:val="both"/>
        <w:rPr>
          <w:rFonts w:ascii="Times New Roman" w:hAnsi="Times New Roman" w:cs="Times New Roman"/>
          <w:b/>
          <w:b/>
          <w:sz w:val="22"/>
          <w:shd w:fill="FFFFFF" w:val="clear"/>
        </w:rPr>
      </w:pPr>
      <w:r>
        <w:rPr>
          <w:rFonts w:cs="Times New Roman" w:ascii="Times New Roman" w:hAnsi="Times New Roman"/>
          <w:b/>
          <w:sz w:val="22"/>
          <w:shd w:fill="FFFFFF" w:val="clear"/>
        </w:rPr>
      </w:r>
    </w:p>
    <w:p>
      <w:pPr>
        <w:pStyle w:val="Normal"/>
        <w:spacing w:lineRule="exact" w:line="240" w:before="0" w:after="160"/>
        <w:ind w:left="993" w:hanging="993"/>
        <w:jc w:val="both"/>
        <w:rPr>
          <w:rFonts w:ascii="Times New Roman" w:hAnsi="Times New Roman" w:cs="Times New Roman"/>
          <w:b/>
          <w:b/>
          <w:sz w:val="22"/>
          <w:highlight w:val="white"/>
        </w:rPr>
      </w:pPr>
      <w:r>
        <w:rPr>
          <w:rFonts w:cs="Times New Roman" w:ascii="Times New Roman" w:hAnsi="Times New Roman"/>
          <w:b/>
          <w:sz w:val="22"/>
          <w:shd w:fill="FFFFFF" w:val="clear"/>
        </w:rPr>
        <w:t>IV. 3 a)</w:t>
        <w:tab/>
        <w:t xml:space="preserve">Informácie o záväzkoch </w:t>
      </w:r>
    </w:p>
    <w:tbl>
      <w:tblPr>
        <w:tblW w:w="10260" w:type="dxa"/>
        <w:jc w:val="left"/>
        <w:tblInd w:w="-566" w:type="dxa"/>
        <w:tblBorders>
          <w:top w:val="single" w:sz="18" w:space="0" w:color="000001"/>
          <w:left w:val="single" w:sz="18" w:space="0" w:color="000001"/>
          <w:bottom w:val="single" w:sz="18" w:space="0" w:color="000001"/>
          <w:right w:val="single" w:sz="12" w:space="0" w:color="000001"/>
          <w:insideH w:val="single" w:sz="18" w:space="0" w:color="000001"/>
          <w:insideV w:val="single" w:sz="12" w:space="0" w:color="000001"/>
        </w:tblBorders>
        <w:tblCellMar>
          <w:top w:w="0" w:type="dxa"/>
          <w:left w:w="-22" w:type="dxa"/>
          <w:bottom w:w="0" w:type="dxa"/>
          <w:right w:w="70" w:type="dxa"/>
        </w:tblCellMar>
        <w:tblLook w:val="0000"/>
      </w:tblPr>
      <w:tblGrid>
        <w:gridCol w:w="3656"/>
        <w:gridCol w:w="2985"/>
        <w:gridCol w:w="3619"/>
      </w:tblGrid>
      <w:tr>
        <w:trPr>
          <w:trHeight w:val="330" w:hRule="atLeast"/>
        </w:trPr>
        <w:tc>
          <w:tcPr>
            <w:tcW w:w="3656" w:type="dxa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Názov položky</w:t>
            </w:r>
          </w:p>
        </w:tc>
        <w:tc>
          <w:tcPr>
            <w:tcW w:w="2985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BO</w:t>
            </w:r>
          </w:p>
        </w:tc>
        <w:tc>
          <w:tcPr>
            <w:tcW w:w="3619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PO</w:t>
            </w:r>
          </w:p>
        </w:tc>
      </w:tr>
      <w:tr>
        <w:trPr>
          <w:trHeight w:val="580" w:hRule="atLeast"/>
        </w:trPr>
        <w:tc>
          <w:tcPr>
            <w:tcW w:w="3656" w:type="dxa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/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Záväzky so zostatkovou dobou splatnosti nad päť rokov</w:t>
            </w:r>
          </w:p>
        </w:tc>
        <w:tc>
          <w:tcPr>
            <w:tcW w:w="2985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rFonts w:ascii="Times New Roman" w:hAnsi="Times New Roman" w:cs="Times New Roman"/>
                <w:color w:val="330099"/>
                <w:sz w:val="22"/>
                <w:highlight w:val="yellow"/>
              </w:rPr>
            </w:pPr>
            <w:r>
              <w:rPr/>
            </w:r>
          </w:p>
        </w:tc>
        <w:tc>
          <w:tcPr>
            <w:tcW w:w="3619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jc w:val="center"/>
              <w:rPr>
                <w:rFonts w:ascii="Times New Roman" w:hAnsi="Times New Roman" w:cs="Times New Roman"/>
                <w:color w:val="330099"/>
                <w:sz w:val="22"/>
              </w:rPr>
            </w:pPr>
            <w:r>
              <w:rPr/>
            </w:r>
          </w:p>
        </w:tc>
      </w:tr>
    </w:tbl>
    <w:p>
      <w:pPr>
        <w:pStyle w:val="Normal"/>
        <w:spacing w:lineRule="exact" w:line="240" w:before="240" w:after="160"/>
        <w:jc w:val="both"/>
        <w:rPr>
          <w:rFonts w:ascii="Times New Roman" w:hAnsi="Times New Roman" w:cs="Times New Roman"/>
          <w:b/>
          <w:b/>
          <w:sz w:val="22"/>
          <w:highlight w:val="white"/>
        </w:rPr>
      </w:pPr>
      <w:r>
        <w:rPr>
          <w:rFonts w:cs="Times New Roman" w:ascii="Times New Roman" w:hAnsi="Times New Roman"/>
          <w:b/>
          <w:sz w:val="22"/>
          <w:shd w:fill="FFFFFF" w:val="clear"/>
        </w:rPr>
        <w:t>Ďalšie dôležité informácie o záväzkoch:</w:t>
      </w:r>
    </w:p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b/>
          <w:b/>
          <w:shd w:fill="FFFFFF" w:val="clear"/>
        </w:rPr>
      </w:pPr>
      <w:r>
        <w:rPr>
          <w:rFonts w:cs="Times New Roman" w:ascii="Times New Roman" w:hAnsi="Times New Roman"/>
          <w:b/>
          <w:shd w:fill="FFFFFF" w:val="clear"/>
        </w:rPr>
      </w:r>
    </w:p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b/>
          <w:b/>
          <w:shd w:fill="FFFFFF" w:val="clear"/>
        </w:rPr>
      </w:pPr>
      <w:r>
        <w:rPr>
          <w:rFonts w:cs="Times New Roman" w:ascii="Times New Roman" w:hAnsi="Times New Roman"/>
          <w:b/>
          <w:shd w:fill="FFFFFF" w:val="clear"/>
        </w:rPr>
      </w:r>
    </w:p>
    <w:p>
      <w:pPr>
        <w:pStyle w:val="Normal"/>
        <w:spacing w:lineRule="exact" w:line="240" w:before="0" w:after="160"/>
        <w:ind w:left="993" w:hanging="993"/>
        <w:jc w:val="both"/>
        <w:rPr>
          <w:rFonts w:ascii="Times New Roman" w:hAnsi="Times New Roman" w:cs="Times New Roman"/>
          <w:b/>
          <w:b/>
          <w:sz w:val="22"/>
          <w:highlight w:val="white"/>
        </w:rPr>
      </w:pPr>
      <w:r>
        <w:rPr>
          <w:rFonts w:cs="Times New Roman" w:ascii="Times New Roman" w:hAnsi="Times New Roman"/>
          <w:b/>
          <w:sz w:val="22"/>
          <w:shd w:fill="FFFFFF" w:val="clear"/>
        </w:rPr>
        <w:t>IV. 3 b)</w:t>
        <w:tab/>
        <w:t>Hodnota záväzkov zabezpečená záložným právom</w:t>
      </w:r>
    </w:p>
    <w:tbl>
      <w:tblPr>
        <w:tblW w:w="10155" w:type="dxa"/>
        <w:jc w:val="left"/>
        <w:tblInd w:w="-536" w:type="dxa"/>
        <w:tblBorders>
          <w:top w:val="single" w:sz="18" w:space="0" w:color="000001"/>
          <w:left w:val="single" w:sz="18" w:space="0" w:color="000001"/>
          <w:bottom w:val="single" w:sz="12" w:space="0" w:color="000001"/>
          <w:right w:val="single" w:sz="12" w:space="0" w:color="000001"/>
          <w:insideH w:val="single" w:sz="12" w:space="0" w:color="000001"/>
          <w:insideV w:val="single" w:sz="12" w:space="0" w:color="000001"/>
        </w:tblBorders>
        <w:tblCellMar>
          <w:top w:w="0" w:type="dxa"/>
          <w:left w:w="-22" w:type="dxa"/>
          <w:bottom w:w="0" w:type="dxa"/>
          <w:right w:w="70" w:type="dxa"/>
        </w:tblCellMar>
        <w:tblLook w:val="0000"/>
      </w:tblPr>
      <w:tblGrid>
        <w:gridCol w:w="5190"/>
        <w:gridCol w:w="2415"/>
        <w:gridCol w:w="2550"/>
      </w:tblGrid>
      <w:tr>
        <w:trPr>
          <w:trHeight w:val="330" w:hRule="atLeast"/>
        </w:trPr>
        <w:tc>
          <w:tcPr>
            <w:tcW w:w="5190" w:type="dxa"/>
            <w:vMerge w:val="restart"/>
            <w:tcBorders>
              <w:top w:val="single" w:sz="18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/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Druh formy zabezpečenia záväzku</w:t>
            </w:r>
          </w:p>
        </w:tc>
        <w:tc>
          <w:tcPr>
            <w:tcW w:w="4965" w:type="dxa"/>
            <w:gridSpan w:val="2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/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Hodnota záväzku zabezpečená</w:t>
            </w:r>
          </w:p>
        </w:tc>
      </w:tr>
      <w:tr>
        <w:trPr>
          <w:trHeight w:val="458" w:hRule="atLeast"/>
        </w:trPr>
        <w:tc>
          <w:tcPr>
            <w:tcW w:w="5190" w:type="dxa"/>
            <w:vMerge w:val="continue"/>
            <w:tcBorders>
              <w:top w:val="single" w:sz="12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000000" w:fill="FFFFFF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76" w:before="0" w:after="20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2415" w:type="dxa"/>
            <w:tcBorders>
              <w:top w:val="single" w:sz="12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Záložným právom</w:t>
            </w:r>
          </w:p>
        </w:tc>
        <w:tc>
          <w:tcPr>
            <w:tcW w:w="2550" w:type="dxa"/>
            <w:tcBorders>
              <w:top w:val="single" w:sz="12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Inou formou zabezp.</w:t>
            </w:r>
          </w:p>
        </w:tc>
      </w:tr>
      <w:tr>
        <w:trPr>
          <w:trHeight w:val="330" w:hRule="atLeast"/>
        </w:trPr>
        <w:tc>
          <w:tcPr>
            <w:tcW w:w="5190" w:type="dxa"/>
            <w:tcBorders>
              <w:top w:val="single" w:sz="18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1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415" w:type="dxa"/>
            <w:tcBorders>
              <w:top w:val="single" w:sz="1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300" w:firstLine="663"/>
              <w:jc w:val="right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550" w:type="dxa"/>
            <w:tcBorders>
              <w:top w:val="single" w:sz="18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0"/>
              <w:jc w:val="right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5190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1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41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300" w:firstLine="663"/>
              <w:jc w:val="right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55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0"/>
              <w:jc w:val="right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5190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1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41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300" w:firstLine="663"/>
              <w:jc w:val="right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55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0"/>
              <w:jc w:val="right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5190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1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41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300" w:firstLine="663"/>
              <w:jc w:val="right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55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0"/>
              <w:jc w:val="right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5190" w:type="dxa"/>
            <w:tcBorders>
              <w:top w:val="single" w:sz="6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1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415" w:type="dxa"/>
            <w:tcBorders>
              <w:top w:val="single" w:sz="4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300" w:firstLine="663"/>
              <w:jc w:val="right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550" w:type="dxa"/>
            <w:tcBorders>
              <w:top w:val="single" w:sz="6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0"/>
              <w:jc w:val="right"/>
              <w:rPr>
                <w:sz w:val="22"/>
                <w:highlight w:val="white"/>
              </w:rPr>
            </w:pPr>
            <w:r>
              <w:rPr>
                <w:rFonts w:eastAsia="Times New Roman" w:ascii="Arial" w:hAnsi="Arial"/>
                <w:color w:val="2F75B5"/>
                <w:sz w:val="22"/>
                <w:shd w:fill="FFFFFF" w:val="clear"/>
              </w:rPr>
              <w:t> </w:t>
            </w:r>
          </w:p>
        </w:tc>
      </w:tr>
    </w:tbl>
    <w:p>
      <w:pPr>
        <w:pStyle w:val="Normal"/>
        <w:spacing w:lineRule="exact" w:line="240" w:before="240" w:after="160"/>
        <w:ind w:right="-284" w:hanging="0"/>
        <w:jc w:val="both"/>
        <w:rPr>
          <w:rFonts w:ascii="Times New Roman" w:hAnsi="Times New Roman" w:cs="Times New Roman"/>
          <w:b/>
          <w:b/>
          <w:sz w:val="22"/>
          <w:highlight w:val="white"/>
        </w:rPr>
      </w:pPr>
      <w:r>
        <w:rPr/>
      </w:r>
    </w:p>
    <w:p>
      <w:pPr>
        <w:pStyle w:val="Normal"/>
        <w:spacing w:lineRule="exact" w:line="240" w:before="240" w:after="160"/>
        <w:ind w:right="-284" w:hanging="0"/>
        <w:jc w:val="both"/>
        <w:rPr>
          <w:rFonts w:ascii="Times New Roman" w:hAnsi="Times New Roman" w:cs="Times New Roman"/>
          <w:b/>
          <w:b/>
          <w:sz w:val="22"/>
          <w:highlight w:val="white"/>
        </w:rPr>
      </w:pPr>
      <w:r>
        <w:rPr/>
      </w:r>
    </w:p>
    <w:p>
      <w:pPr>
        <w:pStyle w:val="Normal"/>
        <w:spacing w:lineRule="exact" w:line="240" w:before="240" w:after="160"/>
        <w:ind w:right="-284" w:hanging="0"/>
        <w:jc w:val="both"/>
        <w:rPr>
          <w:rFonts w:ascii="Times New Roman" w:hAnsi="Times New Roman" w:cs="Times New Roman"/>
          <w:b/>
          <w:b/>
          <w:sz w:val="22"/>
          <w:highlight w:val="white"/>
        </w:rPr>
      </w:pPr>
      <w:r>
        <w:rPr/>
      </w:r>
    </w:p>
    <w:p>
      <w:pPr>
        <w:pStyle w:val="Normal"/>
        <w:spacing w:lineRule="exact" w:line="240" w:before="240" w:after="160"/>
        <w:ind w:right="-284" w:hanging="0"/>
        <w:jc w:val="both"/>
        <w:rPr>
          <w:rFonts w:ascii="Times New Roman" w:hAnsi="Times New Roman" w:cs="Times New Roman"/>
          <w:b/>
          <w:b/>
          <w:sz w:val="22"/>
          <w:highlight w:val="white"/>
        </w:rPr>
      </w:pPr>
      <w:r>
        <w:rPr>
          <w:rFonts w:cs="Times New Roman" w:ascii="Times New Roman" w:hAnsi="Times New Roman"/>
          <w:b/>
          <w:sz w:val="22"/>
          <w:shd w:fill="FFFFFF" w:val="clear"/>
        </w:rPr>
        <w:t>Ďalšie dôležité informácie o záväzkoch zabezp. záložným právom alebo inou formou zabezpečenia:</w:t>
      </w:r>
    </w:p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b/>
          <w:b/>
          <w:shd w:fill="FFFFFF" w:val="clear"/>
        </w:rPr>
      </w:pPr>
      <w:r>
        <w:rPr>
          <w:rFonts w:cs="Times New Roman" w:ascii="Times New Roman" w:hAnsi="Times New Roman"/>
          <w:b/>
          <w:shd w:fill="FFFFFF" w:val="clear"/>
        </w:rPr>
      </w:r>
    </w:p>
    <w:p>
      <w:pPr>
        <w:pStyle w:val="Normal"/>
        <w:spacing w:lineRule="exact" w:line="240"/>
        <w:ind w:left="993" w:hanging="993"/>
        <w:jc w:val="both"/>
        <w:rPr>
          <w:rFonts w:ascii="Times New Roman" w:hAnsi="Times New Roman" w:cs="Times New Roman"/>
          <w:b/>
          <w:b/>
          <w:sz w:val="22"/>
          <w:highlight w:val="white"/>
        </w:rPr>
      </w:pPr>
      <w:r>
        <w:rPr>
          <w:rFonts w:cs="Times New Roman" w:ascii="Times New Roman" w:hAnsi="Times New Roman"/>
          <w:b/>
          <w:sz w:val="22"/>
          <w:shd w:fill="FFFFFF" w:val="clear"/>
        </w:rPr>
        <w:t xml:space="preserve">IV. 4 </w:t>
        <w:tab/>
        <w:t>Informácie o vlastných akciách</w:t>
      </w:r>
    </w:p>
    <w:p>
      <w:pPr>
        <w:pStyle w:val="Normal"/>
        <w:spacing w:lineRule="exact" w:line="240"/>
        <w:ind w:left="993" w:hanging="993"/>
        <w:jc w:val="both"/>
        <w:rPr>
          <w:rFonts w:ascii="Times New Roman" w:hAnsi="Times New Roman" w:cs="Times New Roman"/>
          <w:b/>
          <w:b/>
          <w:sz w:val="22"/>
          <w:highlight w:val="white"/>
        </w:rPr>
      </w:pPr>
      <w:r>
        <w:rPr>
          <w:rFonts w:cs="Times New Roman" w:ascii="Times New Roman" w:hAnsi="Times New Roman"/>
          <w:b/>
          <w:sz w:val="22"/>
          <w:shd w:fill="FFFFFF" w:val="clear"/>
        </w:rPr>
        <w:t>a) - c)</w:t>
        <w:tab/>
      </w:r>
    </w:p>
    <w:tbl>
      <w:tblPr>
        <w:tblW w:w="10155" w:type="dxa"/>
        <w:jc w:val="left"/>
        <w:tblInd w:w="-506" w:type="dxa"/>
        <w:tblBorders>
          <w:top w:val="single" w:sz="18" w:space="0" w:color="000001"/>
          <w:left w:val="single" w:sz="18" w:space="0" w:color="000001"/>
          <w:bottom w:val="single" w:sz="12" w:space="0" w:color="000001"/>
          <w:right w:val="single" w:sz="12" w:space="0" w:color="000001"/>
          <w:insideH w:val="single" w:sz="12" w:space="0" w:color="000001"/>
          <w:insideV w:val="single" w:sz="12" w:space="0" w:color="000001"/>
        </w:tblBorders>
        <w:tblCellMar>
          <w:top w:w="0" w:type="dxa"/>
          <w:left w:w="-22" w:type="dxa"/>
          <w:bottom w:w="0" w:type="dxa"/>
          <w:right w:w="70" w:type="dxa"/>
        </w:tblCellMar>
        <w:tblLook w:val="0000"/>
      </w:tblPr>
      <w:tblGrid>
        <w:gridCol w:w="2174"/>
        <w:gridCol w:w="1575"/>
        <w:gridCol w:w="1980"/>
        <w:gridCol w:w="2128"/>
        <w:gridCol w:w="2298"/>
      </w:tblGrid>
      <w:tr>
        <w:trPr>
          <w:trHeight w:val="330" w:hRule="atLeast"/>
        </w:trPr>
        <w:tc>
          <w:tcPr>
            <w:tcW w:w="2174" w:type="dxa"/>
            <w:vMerge w:val="restart"/>
            <w:tcBorders>
              <w:top w:val="single" w:sz="18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Dôvod nadobudnutia vlastných akcií počas účtovného obdobia</w:t>
            </w:r>
          </w:p>
        </w:tc>
        <w:tc>
          <w:tcPr>
            <w:tcW w:w="7981" w:type="dxa"/>
            <w:gridSpan w:val="4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Bežné účtovné obdobie</w:t>
            </w:r>
          </w:p>
        </w:tc>
      </w:tr>
      <w:tr>
        <w:trPr>
          <w:trHeight w:val="855" w:hRule="atLeast"/>
        </w:trPr>
        <w:tc>
          <w:tcPr>
            <w:tcW w:w="2174" w:type="dxa"/>
            <w:vMerge w:val="continue"/>
            <w:tcBorders>
              <w:top w:val="single" w:sz="12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76" w:before="0" w:after="20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575" w:type="dxa"/>
            <w:vMerge w:val="restart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Stav na začiatku účtovného obdobia</w:t>
            </w:r>
          </w:p>
        </w:tc>
        <w:tc>
          <w:tcPr>
            <w:tcW w:w="198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Prírastky</w:t>
            </w:r>
          </w:p>
        </w:tc>
        <w:tc>
          <w:tcPr>
            <w:tcW w:w="212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Úbytky</w:t>
            </w:r>
          </w:p>
        </w:tc>
        <w:tc>
          <w:tcPr>
            <w:tcW w:w="229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74" w:type="dxa"/>
            <w:vMerge w:val="continue"/>
            <w:tcBorders>
              <w:top w:val="single" w:sz="12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76" w:before="0" w:after="20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575" w:type="dxa"/>
            <w:vMerge w:val="continue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76" w:before="0" w:after="20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98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Počet akcií</w:t>
            </w:r>
          </w:p>
        </w:tc>
        <w:tc>
          <w:tcPr>
            <w:tcW w:w="212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Počet akcií</w:t>
            </w:r>
          </w:p>
        </w:tc>
        <w:tc>
          <w:tcPr>
            <w:tcW w:w="229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Počet akcií</w:t>
            </w:r>
          </w:p>
        </w:tc>
      </w:tr>
      <w:tr>
        <w:trPr>
          <w:trHeight w:val="330" w:hRule="atLeast"/>
        </w:trPr>
        <w:tc>
          <w:tcPr>
            <w:tcW w:w="2174" w:type="dxa"/>
            <w:vMerge w:val="continue"/>
            <w:tcBorders>
              <w:top w:val="single" w:sz="12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76" w:before="0" w:after="20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575" w:type="dxa"/>
            <w:vMerge w:val="continue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76" w:before="0" w:after="20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98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Podiel na ZI v %</w:t>
            </w:r>
          </w:p>
        </w:tc>
        <w:tc>
          <w:tcPr>
            <w:tcW w:w="212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Podiel na ZI v %</w:t>
            </w:r>
          </w:p>
        </w:tc>
        <w:tc>
          <w:tcPr>
            <w:tcW w:w="229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Podiel na ZI v %</w:t>
            </w:r>
          </w:p>
        </w:tc>
      </w:tr>
      <w:tr>
        <w:trPr>
          <w:trHeight w:val="330" w:hRule="atLeast"/>
        </w:trPr>
        <w:tc>
          <w:tcPr>
            <w:tcW w:w="2174" w:type="dxa"/>
            <w:vMerge w:val="continue"/>
            <w:tcBorders>
              <w:top w:val="single" w:sz="12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76" w:before="0" w:after="20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575" w:type="dxa"/>
            <w:vMerge w:val="continue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76" w:before="0" w:after="20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98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 xml:space="preserve"> </w:t>
            </w: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Menovitá hodnota</w:t>
            </w:r>
          </w:p>
        </w:tc>
        <w:tc>
          <w:tcPr>
            <w:tcW w:w="212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Menovitá hodnota</w:t>
            </w:r>
          </w:p>
        </w:tc>
        <w:tc>
          <w:tcPr>
            <w:tcW w:w="229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Menovitá hodnota</w:t>
            </w:r>
          </w:p>
        </w:tc>
      </w:tr>
      <w:tr>
        <w:trPr>
          <w:trHeight w:val="330" w:hRule="atLeast"/>
        </w:trPr>
        <w:tc>
          <w:tcPr>
            <w:tcW w:w="2174" w:type="dxa"/>
            <w:vMerge w:val="continue"/>
            <w:tcBorders>
              <w:top w:val="single" w:sz="12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000000" w:fill="FFFFFF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76" w:before="0" w:after="20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575" w:type="dxa"/>
            <w:vMerge w:val="continue"/>
            <w:tcBorders>
              <w:top w:val="single" w:sz="12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000000"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76" w:before="0" w:after="20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980" w:type="dxa"/>
            <w:tcBorders>
              <w:top w:val="single" w:sz="12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Hodnota nadobudn.</w:t>
            </w:r>
          </w:p>
        </w:tc>
        <w:tc>
          <w:tcPr>
            <w:tcW w:w="2128" w:type="dxa"/>
            <w:tcBorders>
              <w:top w:val="single" w:sz="12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Hodnota za prevod</w:t>
            </w:r>
          </w:p>
        </w:tc>
        <w:tc>
          <w:tcPr>
            <w:tcW w:w="2298" w:type="dxa"/>
            <w:tcBorders>
              <w:top w:val="single" w:sz="12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Hodnota nadobudn.</w:t>
            </w:r>
          </w:p>
        </w:tc>
      </w:tr>
      <w:tr>
        <w:trPr>
          <w:trHeight w:val="330" w:hRule="atLeast"/>
        </w:trPr>
        <w:tc>
          <w:tcPr>
            <w:tcW w:w="2174" w:type="dxa"/>
            <w:vMerge w:val="restart"/>
            <w:tcBorders>
              <w:top w:val="single" w:sz="18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rPr>
                <w:rFonts w:ascii="Times New Roman" w:hAnsi="Times New Roman" w:cs="Times New Roman"/>
                <w:color w:val="2F75B5"/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  <w:p>
            <w:pPr>
              <w:pStyle w:val="Normal"/>
              <w:spacing w:lineRule="exact" w:line="240"/>
              <w:rPr>
                <w:sz w:val="22"/>
                <w:shd w:fill="FFFFFF" w:val="clear"/>
              </w:rPr>
            </w:pPr>
            <w:r>
              <w:rPr>
                <w:sz w:val="22"/>
                <w:shd w:fill="FFFFFF" w:val="clear"/>
              </w:rPr>
            </w:r>
          </w:p>
        </w:tc>
        <w:tc>
          <w:tcPr>
            <w:tcW w:w="1575" w:type="dxa"/>
            <w:vMerge w:val="restart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980" w:type="dxa"/>
            <w:tcBorders>
              <w:top w:val="single" w:sz="1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1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128" w:type="dxa"/>
            <w:tcBorders>
              <w:top w:val="single" w:sz="1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1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298" w:type="dxa"/>
            <w:tcBorders>
              <w:top w:val="single" w:sz="18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1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74" w:type="dxa"/>
            <w:vMerge w:val="continue"/>
            <w:tcBorders>
              <w:top w:val="single" w:sz="12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76" w:before="0" w:after="20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575" w:type="dxa"/>
            <w:vMerge w:val="continue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76" w:before="0" w:after="20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98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1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1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29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1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74" w:type="dxa"/>
            <w:vMerge w:val="continue"/>
            <w:tcBorders>
              <w:top w:val="single" w:sz="12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76" w:before="0" w:after="20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575" w:type="dxa"/>
            <w:vMerge w:val="continue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76" w:before="0" w:after="20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98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1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1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29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1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74" w:type="dxa"/>
            <w:vMerge w:val="continue"/>
            <w:tcBorders>
              <w:top w:val="single" w:sz="12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76" w:before="0" w:after="20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575" w:type="dxa"/>
            <w:vMerge w:val="continue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76" w:before="0" w:after="20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98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1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1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29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1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74" w:type="dxa"/>
            <w:vMerge w:val="restart"/>
            <w:tcBorders>
              <w:top w:val="single" w:sz="12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575" w:type="dxa"/>
            <w:vMerge w:val="restart"/>
            <w:tcBorders>
              <w:top w:val="single" w:sz="12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98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1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12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1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29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1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74" w:type="dxa"/>
            <w:vMerge w:val="continue"/>
            <w:tcBorders>
              <w:top w:val="single" w:sz="12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000000" w:fill="FFFFFF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76" w:before="0" w:after="20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575" w:type="dxa"/>
            <w:vMerge w:val="continue"/>
            <w:tcBorders>
              <w:top w:val="single" w:sz="12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000000"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76" w:before="0" w:after="20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98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1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1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29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1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74" w:type="dxa"/>
            <w:vMerge w:val="continue"/>
            <w:tcBorders>
              <w:top w:val="single" w:sz="12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000000" w:fill="FFFFFF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76" w:before="0" w:after="20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575" w:type="dxa"/>
            <w:vMerge w:val="continue"/>
            <w:tcBorders>
              <w:top w:val="single" w:sz="12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000000"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76" w:before="0" w:after="20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98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1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1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29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1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74" w:type="dxa"/>
            <w:vMerge w:val="continue"/>
            <w:tcBorders>
              <w:top w:val="single" w:sz="12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000000" w:fill="FFFFFF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76" w:before="0" w:after="20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575" w:type="dxa"/>
            <w:vMerge w:val="continue"/>
            <w:tcBorders>
              <w:top w:val="single" w:sz="12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000000"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76" w:before="0" w:after="20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980" w:type="dxa"/>
            <w:tcBorders>
              <w:top w:val="single" w:sz="6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1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128" w:type="dxa"/>
            <w:tcBorders>
              <w:top w:val="single" w:sz="6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1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298" w:type="dxa"/>
            <w:tcBorders>
              <w:top w:val="single" w:sz="6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bottom"/>
          </w:tcPr>
          <w:p>
            <w:pPr>
              <w:pStyle w:val="Normal"/>
              <w:spacing w:lineRule="exact" w:line="240"/>
              <w:ind w:left="100" w:firstLine="221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</w:tr>
    </w:tbl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b/>
          <w:b/>
          <w:sz w:val="22"/>
          <w:shd w:fill="FFFFFF" w:val="clear"/>
        </w:rPr>
      </w:pPr>
      <w:r>
        <w:rPr>
          <w:rFonts w:cs="Times New Roman" w:ascii="Times New Roman" w:hAnsi="Times New Roman"/>
          <w:b/>
          <w:sz w:val="22"/>
          <w:shd w:fill="FFFFFF" w:val="clear"/>
        </w:rPr>
      </w:r>
    </w:p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b/>
          <w:b/>
          <w:sz w:val="22"/>
          <w:highlight w:val="white"/>
        </w:rPr>
      </w:pPr>
      <w:r>
        <w:rPr>
          <w:rFonts w:cs="Times New Roman" w:ascii="Times New Roman" w:hAnsi="Times New Roman"/>
          <w:b/>
          <w:sz w:val="22"/>
          <w:shd w:fill="FFFFFF" w:val="clear"/>
        </w:rPr>
        <w:t>Ďalšie dôležité informácie o vlastných akciách:</w:t>
      </w:r>
    </w:p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b/>
          <w:b/>
          <w:shd w:fill="FFFFFF" w:val="clear"/>
        </w:rPr>
      </w:pPr>
      <w:r>
        <w:rPr>
          <w:rFonts w:cs="Times New Roman" w:ascii="Times New Roman" w:hAnsi="Times New Roman"/>
          <w:b/>
          <w:shd w:fill="FFFFFF" w:val="clear"/>
        </w:rPr>
      </w:r>
    </w:p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b/>
          <w:b/>
          <w:shd w:fill="FFFFFF" w:val="clear"/>
        </w:rPr>
      </w:pPr>
      <w:r>
        <w:rPr>
          <w:rFonts w:cs="Times New Roman" w:ascii="Times New Roman" w:hAnsi="Times New Roman"/>
          <w:b/>
          <w:shd w:fill="FFFFFF" w:val="clear"/>
        </w:rPr>
      </w:r>
    </w:p>
    <w:p>
      <w:pPr>
        <w:pStyle w:val="Normal"/>
        <w:spacing w:lineRule="exact" w:line="240" w:before="0" w:after="160"/>
        <w:ind w:left="993" w:hanging="993"/>
        <w:jc w:val="both"/>
        <w:rPr>
          <w:rFonts w:ascii="Times New Roman" w:hAnsi="Times New Roman" w:cs="Times New Roman"/>
          <w:b/>
          <w:b/>
          <w:sz w:val="22"/>
          <w:highlight w:val="white"/>
        </w:rPr>
      </w:pPr>
      <w:r>
        <w:rPr>
          <w:rFonts w:cs="Times New Roman" w:ascii="Times New Roman" w:hAnsi="Times New Roman"/>
          <w:b/>
          <w:sz w:val="22"/>
          <w:shd w:fill="FFFFFF" w:val="clear"/>
        </w:rPr>
        <w:t>IV. 5</w:t>
        <w:tab/>
        <w:t>Informácie o výnosoch a nákladoch, ktoré majú výnimočný rozsah alebo výskyt</w:t>
      </w:r>
    </w:p>
    <w:tbl>
      <w:tblPr>
        <w:tblW w:w="10168" w:type="dxa"/>
        <w:jc w:val="left"/>
        <w:tblInd w:w="-433" w:type="dxa"/>
        <w:tblBorders>
          <w:top w:val="single" w:sz="6" w:space="0" w:color="000001"/>
          <w:left w:val="single" w:sz="6" w:space="0" w:color="000001"/>
          <w:bottom w:val="single" w:sz="6" w:space="0" w:color="000001"/>
          <w:right w:val="single" w:sz="6" w:space="0" w:color="000001"/>
          <w:insideH w:val="single" w:sz="6" w:space="0" w:color="000001"/>
          <w:insideV w:val="single" w:sz="6" w:space="0" w:color="000001"/>
        </w:tblBorders>
        <w:tblCellMar>
          <w:top w:w="0" w:type="dxa"/>
          <w:left w:w="22" w:type="dxa"/>
          <w:bottom w:w="0" w:type="dxa"/>
          <w:right w:w="70" w:type="dxa"/>
        </w:tblCellMar>
        <w:tblLook w:val="0000"/>
      </w:tblPr>
      <w:tblGrid>
        <w:gridCol w:w="3046"/>
        <w:gridCol w:w="540"/>
        <w:gridCol w:w="885"/>
        <w:gridCol w:w="90"/>
        <w:gridCol w:w="225"/>
        <w:gridCol w:w="795"/>
        <w:gridCol w:w="855"/>
        <w:gridCol w:w="435"/>
        <w:gridCol w:w="825"/>
        <w:gridCol w:w="450"/>
        <w:gridCol w:w="2021"/>
      </w:tblGrid>
      <w:tr>
        <w:trPr>
          <w:trHeight w:val="330" w:hRule="atLeast"/>
        </w:trPr>
        <w:tc>
          <w:tcPr>
            <w:tcW w:w="358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Tabuľka č. 1</w:t>
            </w:r>
          </w:p>
        </w:tc>
        <w:tc>
          <w:tcPr>
            <w:tcW w:w="97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2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79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22" w:type="dxa"/>
            </w:tcMar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8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22" w:type="dxa"/>
            </w:tcMar>
          </w:tcPr>
          <w:p>
            <w:pPr>
              <w:pStyle w:val="Normal"/>
              <w:spacing w:lineRule="exact" w:line="240"/>
              <w:jc w:val="center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43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22" w:type="dxa"/>
            </w:tcMar>
          </w:tcPr>
          <w:p>
            <w:pPr>
              <w:pStyle w:val="Normal"/>
              <w:spacing w:lineRule="exact" w:line="240"/>
              <w:jc w:val="center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8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22" w:type="dxa"/>
            </w:tcMar>
          </w:tcPr>
          <w:p>
            <w:pPr>
              <w:pStyle w:val="Normal"/>
              <w:spacing w:lineRule="exact" w:line="240"/>
              <w:jc w:val="center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4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22" w:type="dxa"/>
            </w:tcMar>
          </w:tcPr>
          <w:p>
            <w:pPr>
              <w:pStyle w:val="Normal"/>
              <w:spacing w:lineRule="exact" w:line="240"/>
              <w:jc w:val="center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202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22" w:type="dxa"/>
            </w:tcMar>
          </w:tcPr>
          <w:p>
            <w:pPr>
              <w:pStyle w:val="Normal"/>
              <w:spacing w:lineRule="exact" w:line="240"/>
              <w:jc w:val="center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</w:tr>
      <w:tr>
        <w:trPr>
          <w:trHeight w:val="975" w:hRule="atLeast"/>
        </w:trPr>
        <w:tc>
          <w:tcPr>
            <w:tcW w:w="3046" w:type="dxa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Výnosy, ktoré majú výnimočný rozsah alebo výskyt</w:t>
            </w:r>
          </w:p>
        </w:tc>
        <w:tc>
          <w:tcPr>
            <w:tcW w:w="1425" w:type="dxa"/>
            <w:gridSpan w:val="2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Bežné účtovné obdobie</w:t>
            </w:r>
          </w:p>
        </w:tc>
        <w:tc>
          <w:tcPr>
            <w:tcW w:w="5696" w:type="dxa"/>
            <w:gridSpan w:val="8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046" w:type="dxa"/>
            <w:tcBorders>
              <w:top w:val="single" w:sz="6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425" w:type="dxa"/>
            <w:gridSpan w:val="2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5696" w:type="dxa"/>
            <w:gridSpan w:val="8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3046" w:type="dxa"/>
            <w:tcBorders>
              <w:top w:val="single" w:sz="6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425" w:type="dxa"/>
            <w:gridSpan w:val="2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5696" w:type="dxa"/>
            <w:gridSpan w:val="8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3046" w:type="dxa"/>
            <w:tcBorders>
              <w:top w:val="single" w:sz="6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425" w:type="dxa"/>
            <w:gridSpan w:val="2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5696" w:type="dxa"/>
            <w:gridSpan w:val="8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3046" w:type="dxa"/>
            <w:tcBorders>
              <w:top w:val="single" w:sz="6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425" w:type="dxa"/>
            <w:gridSpan w:val="2"/>
            <w:tcBorders>
              <w:top w:val="single" w:sz="6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5696" w:type="dxa"/>
            <w:gridSpan w:val="8"/>
            <w:tcBorders>
              <w:top w:val="single" w:sz="6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</w:tbl>
    <w:p>
      <w:pPr>
        <w:pStyle w:val="Normal"/>
        <w:spacing w:lineRule="exact" w:line="240" w:before="240" w:after="160"/>
        <w:jc w:val="both"/>
        <w:rPr>
          <w:rFonts w:ascii="Times New Roman" w:hAnsi="Times New Roman" w:cs="Times New Roman"/>
          <w:b/>
          <w:b/>
          <w:sz w:val="22"/>
          <w:highlight w:val="white"/>
        </w:rPr>
      </w:pPr>
      <w:r>
        <w:rPr/>
      </w:r>
    </w:p>
    <w:p>
      <w:pPr>
        <w:pStyle w:val="Normal"/>
        <w:spacing w:lineRule="exact" w:line="240" w:before="240" w:after="160"/>
        <w:jc w:val="both"/>
        <w:rPr>
          <w:rFonts w:ascii="Times New Roman" w:hAnsi="Times New Roman" w:cs="Times New Roman"/>
          <w:b/>
          <w:b/>
          <w:sz w:val="22"/>
          <w:highlight w:val="white"/>
        </w:rPr>
      </w:pPr>
      <w:r>
        <w:rPr/>
      </w:r>
    </w:p>
    <w:p>
      <w:pPr>
        <w:pStyle w:val="Normal"/>
        <w:spacing w:lineRule="exact" w:line="240" w:before="240" w:after="160"/>
        <w:jc w:val="both"/>
        <w:rPr>
          <w:rFonts w:ascii="Times New Roman" w:hAnsi="Times New Roman" w:cs="Times New Roman"/>
          <w:b/>
          <w:b/>
          <w:sz w:val="22"/>
          <w:highlight w:val="white"/>
        </w:rPr>
      </w:pPr>
      <w:r>
        <w:rPr/>
      </w:r>
    </w:p>
    <w:p>
      <w:pPr>
        <w:pStyle w:val="Normal"/>
        <w:spacing w:lineRule="exact" w:line="240" w:before="240" w:after="160"/>
        <w:jc w:val="both"/>
        <w:rPr/>
      </w:pPr>
      <w:r>
        <w:rPr>
          <w:rFonts w:cs="Times New Roman" w:ascii="Times New Roman" w:hAnsi="Times New Roman"/>
          <w:b/>
          <w:sz w:val="22"/>
          <w:shd w:fill="FFFFFF" w:val="clear"/>
        </w:rPr>
        <w:t>Ďalšie dôležité informácie o výnosoch, ktoré majú výnimočný rozsah alebo výskyt:</w:t>
      </w:r>
    </w:p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b/>
          <w:b/>
          <w:shd w:fill="FFFFFF" w:val="clear"/>
        </w:rPr>
      </w:pPr>
      <w:r>
        <w:rPr>
          <w:rFonts w:cs="Times New Roman" w:ascii="Times New Roman" w:hAnsi="Times New Roman"/>
          <w:b/>
          <w:shd w:fill="FFFFFF" w:val="clear"/>
        </w:rPr>
      </w:r>
    </w:p>
    <w:tbl>
      <w:tblPr>
        <w:tblW w:w="10168" w:type="dxa"/>
        <w:jc w:val="left"/>
        <w:tblInd w:w="-373" w:type="dxa"/>
        <w:tblBorders>
          <w:top w:val="single" w:sz="6" w:space="0" w:color="000001"/>
          <w:left w:val="single" w:sz="6" w:space="0" w:color="000001"/>
          <w:bottom w:val="single" w:sz="6" w:space="0" w:color="000001"/>
          <w:right w:val="single" w:sz="6" w:space="0" w:color="000001"/>
          <w:insideH w:val="single" w:sz="6" w:space="0" w:color="000001"/>
          <w:insideV w:val="single" w:sz="6" w:space="0" w:color="000001"/>
        </w:tblBorders>
        <w:tblCellMar>
          <w:top w:w="0" w:type="dxa"/>
          <w:left w:w="22" w:type="dxa"/>
          <w:bottom w:w="0" w:type="dxa"/>
          <w:right w:w="70" w:type="dxa"/>
        </w:tblCellMar>
        <w:tblLook w:val="0000"/>
      </w:tblPr>
      <w:tblGrid>
        <w:gridCol w:w="3165"/>
        <w:gridCol w:w="721"/>
        <w:gridCol w:w="522"/>
        <w:gridCol w:w="301"/>
        <w:gridCol w:w="333"/>
        <w:gridCol w:w="823"/>
        <w:gridCol w:w="585"/>
        <w:gridCol w:w="165"/>
        <w:gridCol w:w="870"/>
        <w:gridCol w:w="525"/>
        <w:gridCol w:w="2157"/>
      </w:tblGrid>
      <w:tr>
        <w:trPr>
          <w:trHeight w:val="330" w:hRule="atLeast"/>
        </w:trPr>
        <w:tc>
          <w:tcPr>
            <w:tcW w:w="388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Tabuľka č. 2</w:t>
            </w:r>
          </w:p>
        </w:tc>
        <w:tc>
          <w:tcPr>
            <w:tcW w:w="823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22" w:type="dxa"/>
            </w:tcMar>
            <w:vAlign w:val="bottom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33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22" w:type="dxa"/>
            </w:tcMar>
            <w:vAlign w:val="bottom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823" w:type="dxa"/>
            <w:tcBorders>
              <w:top w:val="single" w:sz="6" w:space="0" w:color="000001"/>
              <w:left w:val="single" w:sz="6" w:space="0" w:color="000001"/>
              <w:bottom w:val="single" w:sz="18" w:space="0" w:color="000001"/>
              <w:right w:val="single" w:sz="6" w:space="0" w:color="000001"/>
              <w:insideH w:val="single" w:sz="18" w:space="0" w:color="000001"/>
              <w:insideV w:val="single" w:sz="6" w:space="0" w:color="000001"/>
            </w:tcBorders>
            <w:shd w:fill="auto" w:val="clear"/>
            <w:tcMar>
              <w:left w:w="22" w:type="dxa"/>
            </w:tcMar>
            <w:vAlign w:val="bottom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585" w:type="dxa"/>
            <w:tcBorders>
              <w:top w:val="single" w:sz="6" w:space="0" w:color="000001"/>
              <w:left w:val="single" w:sz="6" w:space="0" w:color="000001"/>
              <w:bottom w:val="single" w:sz="18" w:space="0" w:color="000001"/>
              <w:right w:val="single" w:sz="6" w:space="0" w:color="000001"/>
              <w:insideH w:val="single" w:sz="18" w:space="0" w:color="000001"/>
              <w:insideV w:val="single" w:sz="6" w:space="0" w:color="000001"/>
            </w:tcBorders>
            <w:shd w:fill="auto" w:val="clear"/>
            <w:tcMar>
              <w:left w:w="22" w:type="dxa"/>
            </w:tcMar>
            <w:vAlign w:val="bottom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65" w:type="dxa"/>
            <w:tcBorders>
              <w:top w:val="single" w:sz="6" w:space="0" w:color="000001"/>
              <w:left w:val="single" w:sz="6" w:space="0" w:color="000001"/>
              <w:bottom w:val="single" w:sz="18" w:space="0" w:color="000001"/>
              <w:right w:val="single" w:sz="6" w:space="0" w:color="000001"/>
              <w:insideH w:val="single" w:sz="18" w:space="0" w:color="000001"/>
              <w:insideV w:val="single" w:sz="6" w:space="0" w:color="000001"/>
            </w:tcBorders>
            <w:shd w:fill="auto" w:val="clear"/>
            <w:tcMar>
              <w:left w:w="22" w:type="dxa"/>
            </w:tcMar>
            <w:vAlign w:val="bottom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8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22" w:type="dxa"/>
            </w:tcMar>
            <w:vAlign w:val="bottom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5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22" w:type="dxa"/>
            </w:tcMar>
            <w:vAlign w:val="bottom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215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22" w:type="dxa"/>
            </w:tcMar>
            <w:vAlign w:val="bottom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</w:tr>
      <w:tr>
        <w:trPr>
          <w:trHeight w:val="694" w:hRule="atLeast"/>
        </w:trPr>
        <w:tc>
          <w:tcPr>
            <w:tcW w:w="3165" w:type="dxa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Náklady, ktoré majú výnimočný rozsah alebo výskyt</w:t>
            </w:r>
          </w:p>
        </w:tc>
        <w:tc>
          <w:tcPr>
            <w:tcW w:w="1243" w:type="dxa"/>
            <w:gridSpan w:val="2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Bežné účtovné obdobie</w:t>
            </w:r>
          </w:p>
        </w:tc>
        <w:tc>
          <w:tcPr>
            <w:tcW w:w="5759" w:type="dxa"/>
            <w:gridSpan w:val="8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165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 </w:t>
            </w:r>
          </w:p>
        </w:tc>
        <w:tc>
          <w:tcPr>
            <w:tcW w:w="1243" w:type="dxa"/>
            <w:gridSpan w:val="2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5759" w:type="dxa"/>
            <w:gridSpan w:val="8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3165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 </w:t>
            </w:r>
          </w:p>
        </w:tc>
        <w:tc>
          <w:tcPr>
            <w:tcW w:w="1243" w:type="dxa"/>
            <w:gridSpan w:val="2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5759" w:type="dxa"/>
            <w:gridSpan w:val="8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3165" w:type="dxa"/>
            <w:tcBorders>
              <w:top w:val="single" w:sz="6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243" w:type="dxa"/>
            <w:gridSpan w:val="2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5759" w:type="dxa"/>
            <w:gridSpan w:val="8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3165" w:type="dxa"/>
            <w:tcBorders>
              <w:top w:val="single" w:sz="6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ind w:left="100" w:firstLine="22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243" w:type="dxa"/>
            <w:gridSpan w:val="2"/>
            <w:tcBorders>
              <w:top w:val="single" w:sz="6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5759" w:type="dxa"/>
            <w:gridSpan w:val="8"/>
            <w:tcBorders>
              <w:top w:val="single" w:sz="6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</w:tbl>
    <w:p>
      <w:pPr>
        <w:pStyle w:val="Normal"/>
        <w:spacing w:lineRule="exact" w:line="240" w:before="240" w:after="160"/>
        <w:jc w:val="both"/>
        <w:rPr>
          <w:rFonts w:ascii="Times New Roman" w:hAnsi="Times New Roman" w:cs="Times New Roman"/>
          <w:b/>
          <w:b/>
          <w:sz w:val="22"/>
          <w:highlight w:val="white"/>
        </w:rPr>
      </w:pPr>
      <w:r>
        <w:rPr>
          <w:rFonts w:cs="Times New Roman" w:ascii="Times New Roman" w:hAnsi="Times New Roman"/>
          <w:b/>
          <w:sz w:val="22"/>
          <w:shd w:fill="FFFFFF" w:val="clear"/>
        </w:rPr>
        <w:t>Ďalšie dôležité informácie o nákladoch, ktoré majú výnimočný rozsah alebo výskyt:</w:t>
      </w:r>
    </w:p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b/>
          <w:b/>
          <w:shd w:fill="FFFFFF" w:val="clear"/>
        </w:rPr>
      </w:pPr>
      <w:r>
        <w:rPr>
          <w:rFonts w:cs="Times New Roman" w:ascii="Times New Roman" w:hAnsi="Times New Roman"/>
          <w:b/>
          <w:shd w:fill="FFFFFF" w:val="clear"/>
        </w:rPr>
      </w:r>
    </w:p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b/>
          <w:b/>
          <w:shd w:fill="FFFFFF" w:val="clear"/>
        </w:rPr>
      </w:pPr>
      <w:r>
        <w:rPr>
          <w:rFonts w:cs="Times New Roman" w:ascii="Times New Roman" w:hAnsi="Times New Roman"/>
          <w:b/>
          <w:shd w:fill="FFFFFF" w:val="clear"/>
        </w:rPr>
      </w:r>
    </w:p>
    <w:p>
      <w:pPr>
        <w:pStyle w:val="Normal"/>
        <w:spacing w:lineRule="exact" w:line="240"/>
        <w:ind w:left="993" w:hanging="993"/>
        <w:rPr>
          <w:rFonts w:ascii="Times New Roman" w:hAnsi="Times New Roman" w:cs="Times New Roman"/>
          <w:b/>
          <w:b/>
          <w:color w:val="5B9BD5"/>
          <w:sz w:val="22"/>
          <w:highlight w:val="white"/>
        </w:rPr>
      </w:pPr>
      <w:r>
        <w:rPr>
          <w:rFonts w:cs="Times New Roman" w:ascii="Times New Roman" w:hAnsi="Times New Roman"/>
          <w:b/>
          <w:color w:val="5B9BD5"/>
          <w:sz w:val="22"/>
          <w:shd w:fill="FFFFFF" w:val="clear"/>
        </w:rPr>
        <w:t>Čl. V</w:t>
        <w:tab/>
        <w:t>Informácie o iných aktívach a iných pasívach</w:t>
      </w:r>
    </w:p>
    <w:p>
      <w:pPr>
        <w:pStyle w:val="Normal"/>
        <w:spacing w:lineRule="exact" w:line="240"/>
        <w:ind w:left="993" w:hanging="993"/>
        <w:rPr>
          <w:rFonts w:ascii="Times New Roman" w:hAnsi="Times New Roman" w:cs="Times New Roman"/>
          <w:b/>
          <w:b/>
          <w:sz w:val="22"/>
          <w:shd w:fill="FFFFFF" w:val="clear"/>
        </w:rPr>
      </w:pPr>
      <w:r>
        <w:rPr>
          <w:rFonts w:cs="Times New Roman" w:ascii="Times New Roman" w:hAnsi="Times New Roman"/>
          <w:b/>
          <w:sz w:val="22"/>
          <w:shd w:fill="FFFFFF" w:val="clear"/>
        </w:rPr>
      </w:r>
    </w:p>
    <w:p>
      <w:pPr>
        <w:pStyle w:val="Normal"/>
        <w:spacing w:lineRule="exact" w:line="240" w:before="0" w:after="160"/>
        <w:ind w:left="993" w:hanging="993"/>
        <w:jc w:val="both"/>
        <w:rPr>
          <w:rFonts w:ascii="Times New Roman" w:hAnsi="Times New Roman" w:cs="Times New Roman"/>
          <w:b/>
          <w:b/>
          <w:sz w:val="22"/>
          <w:highlight w:val="white"/>
        </w:rPr>
      </w:pPr>
      <w:r>
        <w:rPr>
          <w:rFonts w:cs="Times New Roman" w:ascii="Times New Roman" w:hAnsi="Times New Roman"/>
          <w:b/>
          <w:sz w:val="22"/>
          <w:shd w:fill="FFFFFF" w:val="clear"/>
        </w:rPr>
        <w:t>V. 1 a)</w:t>
        <w:tab/>
        <w:t>Informácie o podmienenom majetku</w:t>
      </w:r>
    </w:p>
    <w:tbl>
      <w:tblPr>
        <w:tblW w:w="10155" w:type="dxa"/>
        <w:jc w:val="left"/>
        <w:tblInd w:w="-446" w:type="dxa"/>
        <w:tblBorders>
          <w:top w:val="single" w:sz="18" w:space="0" w:color="000001"/>
          <w:left w:val="single" w:sz="18" w:space="0" w:color="000001"/>
          <w:bottom w:val="single" w:sz="12" w:space="0" w:color="000001"/>
          <w:right w:val="single" w:sz="12" w:space="0" w:color="000001"/>
          <w:insideH w:val="single" w:sz="12" w:space="0" w:color="000001"/>
          <w:insideV w:val="single" w:sz="12" w:space="0" w:color="000001"/>
        </w:tblBorders>
        <w:tblCellMar>
          <w:top w:w="0" w:type="dxa"/>
          <w:left w:w="-22" w:type="dxa"/>
          <w:bottom w:w="0" w:type="dxa"/>
          <w:right w:w="70" w:type="dxa"/>
        </w:tblCellMar>
        <w:tblLook w:val="0000"/>
      </w:tblPr>
      <w:tblGrid>
        <w:gridCol w:w="4436"/>
        <w:gridCol w:w="2655"/>
        <w:gridCol w:w="3064"/>
      </w:tblGrid>
      <w:tr>
        <w:trPr>
          <w:trHeight w:val="330" w:hRule="atLeast"/>
        </w:trPr>
        <w:tc>
          <w:tcPr>
            <w:tcW w:w="4436" w:type="dxa"/>
            <w:vMerge w:val="restart"/>
            <w:tcBorders>
              <w:top w:val="single" w:sz="18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Druh podmieneného majetku</w:t>
            </w:r>
          </w:p>
        </w:tc>
        <w:tc>
          <w:tcPr>
            <w:tcW w:w="5719" w:type="dxa"/>
            <w:gridSpan w:val="2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Hodnota</w:t>
            </w:r>
          </w:p>
        </w:tc>
      </w:tr>
      <w:tr>
        <w:trPr>
          <w:trHeight w:val="330" w:hRule="atLeast"/>
        </w:trPr>
        <w:tc>
          <w:tcPr>
            <w:tcW w:w="4436" w:type="dxa"/>
            <w:vMerge w:val="continue"/>
            <w:tcBorders>
              <w:top w:val="single" w:sz="12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000000" w:fill="FFFFFF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76" w:before="0" w:after="20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2655" w:type="dxa"/>
            <w:tcBorders>
              <w:top w:val="single" w:sz="12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BO</w:t>
            </w:r>
          </w:p>
        </w:tc>
        <w:tc>
          <w:tcPr>
            <w:tcW w:w="3064" w:type="dxa"/>
            <w:tcBorders>
              <w:top w:val="single" w:sz="12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PO</w:t>
            </w:r>
          </w:p>
        </w:tc>
      </w:tr>
      <w:tr>
        <w:trPr>
          <w:trHeight w:val="135" w:hRule="atLeast"/>
        </w:trPr>
        <w:tc>
          <w:tcPr>
            <w:tcW w:w="4436" w:type="dxa"/>
            <w:tcBorders>
              <w:top w:val="single" w:sz="18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Práva zo servisných zmlúv</w:t>
            </w:r>
          </w:p>
        </w:tc>
        <w:tc>
          <w:tcPr>
            <w:tcW w:w="2655" w:type="dxa"/>
            <w:tcBorders>
              <w:top w:val="single" w:sz="1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3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3064" w:type="dxa"/>
            <w:tcBorders>
              <w:top w:val="single" w:sz="18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3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218" w:hRule="atLeast"/>
        </w:trPr>
        <w:tc>
          <w:tcPr>
            <w:tcW w:w="4436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Práva z poistných zmlúv</w:t>
            </w:r>
          </w:p>
        </w:tc>
        <w:tc>
          <w:tcPr>
            <w:tcW w:w="265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3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306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3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308" w:hRule="atLeast"/>
        </w:trPr>
        <w:tc>
          <w:tcPr>
            <w:tcW w:w="4436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Práva z koncesionárskych zmlúv</w:t>
            </w:r>
          </w:p>
        </w:tc>
        <w:tc>
          <w:tcPr>
            <w:tcW w:w="265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3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306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3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243" w:hRule="atLeast"/>
        </w:trPr>
        <w:tc>
          <w:tcPr>
            <w:tcW w:w="4436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Práva z licenčných zmlúv</w:t>
            </w:r>
          </w:p>
        </w:tc>
        <w:tc>
          <w:tcPr>
            <w:tcW w:w="265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3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306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3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473" w:hRule="atLeast"/>
        </w:trPr>
        <w:tc>
          <w:tcPr>
            <w:tcW w:w="4436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Práva z investovania prostriedkov získaných oslobodením od dane z príjmov</w:t>
            </w:r>
          </w:p>
        </w:tc>
        <w:tc>
          <w:tcPr>
            <w:tcW w:w="265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3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306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3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240" w:hRule="atLeast"/>
        </w:trPr>
        <w:tc>
          <w:tcPr>
            <w:tcW w:w="4436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Práva z privatizácie</w:t>
            </w:r>
          </w:p>
        </w:tc>
        <w:tc>
          <w:tcPr>
            <w:tcW w:w="265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3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306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3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188" w:hRule="atLeast"/>
        </w:trPr>
        <w:tc>
          <w:tcPr>
            <w:tcW w:w="4436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Práva zo súdnych sporov</w:t>
            </w:r>
          </w:p>
        </w:tc>
        <w:tc>
          <w:tcPr>
            <w:tcW w:w="265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3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306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3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245" w:hRule="atLeast"/>
        </w:trPr>
        <w:tc>
          <w:tcPr>
            <w:tcW w:w="4436" w:type="dxa"/>
            <w:tcBorders>
              <w:top w:val="single" w:sz="6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Iné práva</w:t>
            </w:r>
          </w:p>
        </w:tc>
        <w:tc>
          <w:tcPr>
            <w:tcW w:w="2655" w:type="dxa"/>
            <w:tcBorders>
              <w:top w:val="single" w:sz="4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3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3064" w:type="dxa"/>
            <w:tcBorders>
              <w:top w:val="single" w:sz="6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3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</w:tr>
    </w:tbl>
    <w:p>
      <w:pPr>
        <w:pStyle w:val="Normal"/>
        <w:spacing w:lineRule="exact" w:line="240" w:before="240" w:after="160"/>
        <w:jc w:val="both"/>
        <w:rPr>
          <w:rFonts w:ascii="Times New Roman" w:hAnsi="Times New Roman" w:cs="Times New Roman"/>
          <w:b/>
          <w:b/>
          <w:sz w:val="22"/>
          <w:highlight w:val="white"/>
        </w:rPr>
      </w:pPr>
      <w:r>
        <w:rPr>
          <w:rFonts w:cs="Times New Roman" w:ascii="Times New Roman" w:hAnsi="Times New Roman"/>
          <w:b/>
          <w:sz w:val="22"/>
          <w:shd w:fill="FFFFFF" w:val="clear"/>
        </w:rPr>
        <w:t>Ďalšie dôležité informácie o podmienenom majetku:</w:t>
      </w:r>
    </w:p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b/>
          <w:b/>
          <w:shd w:fill="FFFFFF" w:val="clear"/>
        </w:rPr>
      </w:pPr>
      <w:r>
        <w:rPr>
          <w:rFonts w:cs="Times New Roman" w:ascii="Times New Roman" w:hAnsi="Times New Roman"/>
          <w:b/>
          <w:shd w:fill="FFFFFF" w:val="clear"/>
        </w:rPr>
      </w:r>
    </w:p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b/>
          <w:b/>
          <w:shd w:fill="FFFFFF" w:val="clear"/>
        </w:rPr>
      </w:pPr>
      <w:r>
        <w:rPr>
          <w:rFonts w:cs="Times New Roman" w:ascii="Times New Roman" w:hAnsi="Times New Roman"/>
          <w:b/>
          <w:shd w:fill="FFFFFF" w:val="clear"/>
        </w:rPr>
      </w:r>
    </w:p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b/>
          <w:b/>
          <w:shd w:fill="FFFFFF" w:val="clear"/>
        </w:rPr>
      </w:pPr>
      <w:r>
        <w:rPr>
          <w:rFonts w:cs="Times New Roman" w:ascii="Times New Roman" w:hAnsi="Times New Roman"/>
          <w:b/>
          <w:shd w:fill="FFFFFF" w:val="clear"/>
        </w:rPr>
      </w:r>
    </w:p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b/>
          <w:b/>
          <w:shd w:fill="FFFFFF" w:val="clear"/>
        </w:rPr>
      </w:pPr>
      <w:r>
        <w:rPr>
          <w:rFonts w:cs="Times New Roman" w:ascii="Times New Roman" w:hAnsi="Times New Roman"/>
          <w:b/>
          <w:shd w:fill="FFFFFF" w:val="clear"/>
        </w:rPr>
      </w:r>
    </w:p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b/>
          <w:b/>
          <w:shd w:fill="FFFFFF" w:val="clear"/>
        </w:rPr>
      </w:pPr>
      <w:r>
        <w:rPr>
          <w:rFonts w:cs="Times New Roman" w:ascii="Times New Roman" w:hAnsi="Times New Roman"/>
          <w:b/>
          <w:shd w:fill="FFFFFF" w:val="clear"/>
        </w:rPr>
      </w:r>
    </w:p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b/>
          <w:b/>
          <w:shd w:fill="FFFFFF" w:val="clear"/>
        </w:rPr>
      </w:pPr>
      <w:r>
        <w:rPr>
          <w:rFonts w:cs="Times New Roman" w:ascii="Times New Roman" w:hAnsi="Times New Roman"/>
          <w:b/>
          <w:shd w:fill="FFFFFF" w:val="clear"/>
        </w:rPr>
      </w:r>
    </w:p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b/>
          <w:b/>
          <w:shd w:fill="FFFFFF" w:val="clear"/>
        </w:rPr>
      </w:pPr>
      <w:r>
        <w:rPr>
          <w:rFonts w:cs="Times New Roman" w:ascii="Times New Roman" w:hAnsi="Times New Roman"/>
          <w:b/>
          <w:shd w:fill="FFFFFF" w:val="clear"/>
        </w:rPr>
      </w:r>
    </w:p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b/>
          <w:b/>
          <w:shd w:fill="FFFFFF" w:val="clear"/>
        </w:rPr>
      </w:pPr>
      <w:r>
        <w:rPr>
          <w:rFonts w:cs="Times New Roman" w:ascii="Times New Roman" w:hAnsi="Times New Roman"/>
          <w:b/>
          <w:shd w:fill="FFFFFF" w:val="clear"/>
        </w:rPr>
      </w:r>
    </w:p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b/>
          <w:b/>
          <w:shd w:fill="FFFFFF" w:val="clear"/>
        </w:rPr>
      </w:pPr>
      <w:r>
        <w:rPr>
          <w:rFonts w:cs="Times New Roman" w:ascii="Times New Roman" w:hAnsi="Times New Roman"/>
          <w:b/>
          <w:shd w:fill="FFFFFF" w:val="clear"/>
        </w:rPr>
      </w:r>
    </w:p>
    <w:p>
      <w:pPr>
        <w:pStyle w:val="Normal"/>
        <w:spacing w:lineRule="exact" w:line="240" w:before="0" w:after="160"/>
        <w:ind w:left="993" w:hanging="993"/>
        <w:jc w:val="both"/>
        <w:rPr>
          <w:rFonts w:ascii="Times New Roman" w:hAnsi="Times New Roman" w:cs="Times New Roman"/>
          <w:b/>
          <w:b/>
          <w:sz w:val="22"/>
          <w:highlight w:val="white"/>
        </w:rPr>
      </w:pPr>
      <w:r>
        <w:rPr>
          <w:rFonts w:cs="Times New Roman" w:ascii="Times New Roman" w:hAnsi="Times New Roman"/>
          <w:b/>
          <w:sz w:val="22"/>
          <w:shd w:fill="FFFFFF" w:val="clear"/>
        </w:rPr>
        <w:t>V. 1 b)</w:t>
        <w:tab/>
        <w:t>Informácie o podmienených záväzkoch</w:t>
      </w:r>
    </w:p>
    <w:tbl>
      <w:tblPr>
        <w:tblW w:w="10155" w:type="dxa"/>
        <w:jc w:val="left"/>
        <w:tblInd w:w="-341" w:type="dxa"/>
        <w:tblBorders>
          <w:top w:val="single" w:sz="6" w:space="0" w:color="000001"/>
          <w:left w:val="single" w:sz="6" w:space="0" w:color="000001"/>
          <w:bottom w:val="single" w:sz="18" w:space="0" w:color="000001"/>
          <w:right w:val="single" w:sz="6" w:space="0" w:color="000001"/>
          <w:insideH w:val="single" w:sz="18" w:space="0" w:color="000001"/>
          <w:insideV w:val="single" w:sz="6" w:space="0" w:color="000001"/>
        </w:tblBorders>
        <w:tblCellMar>
          <w:top w:w="0" w:type="dxa"/>
          <w:left w:w="22" w:type="dxa"/>
          <w:bottom w:w="0" w:type="dxa"/>
          <w:right w:w="70" w:type="dxa"/>
        </w:tblCellMar>
        <w:tblLook w:val="0000"/>
      </w:tblPr>
      <w:tblGrid>
        <w:gridCol w:w="928"/>
        <w:gridCol w:w="659"/>
        <w:gridCol w:w="735"/>
        <w:gridCol w:w="766"/>
        <w:gridCol w:w="702"/>
        <w:gridCol w:w="585"/>
        <w:gridCol w:w="645"/>
        <w:gridCol w:w="1291"/>
        <w:gridCol w:w="691"/>
        <w:gridCol w:w="1264"/>
        <w:gridCol w:w="1888"/>
      </w:tblGrid>
      <w:tr>
        <w:trPr>
          <w:trHeight w:val="330" w:hRule="atLeast"/>
        </w:trPr>
        <w:tc>
          <w:tcPr>
            <w:tcW w:w="1587" w:type="dxa"/>
            <w:gridSpan w:val="2"/>
            <w:tcBorders>
              <w:top w:val="single" w:sz="6" w:space="0" w:color="000001"/>
              <w:left w:val="single" w:sz="6" w:space="0" w:color="000001"/>
              <w:bottom w:val="single" w:sz="18" w:space="0" w:color="000001"/>
              <w:right w:val="single" w:sz="6" w:space="0" w:color="000001"/>
              <w:insideH w:val="single" w:sz="18" w:space="0" w:color="000001"/>
              <w:insideV w:val="single" w:sz="6" w:space="0" w:color="000001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sz w:val="22"/>
                <w:shd w:fill="FFFFFF" w:val="clear"/>
              </w:rPr>
              <w:t>Tabuľka č.1</w:t>
            </w: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18" w:space="0" w:color="000001"/>
              <w:right w:val="single" w:sz="6" w:space="0" w:color="000001"/>
              <w:insideH w:val="single" w:sz="18" w:space="0" w:color="000001"/>
              <w:insideV w:val="single" w:sz="6" w:space="0" w:color="000001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766" w:type="dxa"/>
            <w:tcBorders>
              <w:top w:val="single" w:sz="6" w:space="0" w:color="000001"/>
              <w:left w:val="single" w:sz="6" w:space="0" w:color="000001"/>
              <w:bottom w:val="single" w:sz="18" w:space="0" w:color="000001"/>
              <w:right w:val="single" w:sz="6" w:space="0" w:color="000001"/>
              <w:insideH w:val="single" w:sz="18" w:space="0" w:color="000001"/>
              <w:insideV w:val="single" w:sz="6" w:space="0" w:color="000001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702" w:type="dxa"/>
            <w:tcBorders>
              <w:top w:val="single" w:sz="6" w:space="0" w:color="000001"/>
              <w:left w:val="single" w:sz="6" w:space="0" w:color="000001"/>
              <w:bottom w:val="single" w:sz="18" w:space="0" w:color="000001"/>
              <w:right w:val="single" w:sz="6" w:space="0" w:color="000001"/>
              <w:insideH w:val="single" w:sz="18" w:space="0" w:color="000001"/>
              <w:insideV w:val="single" w:sz="6" w:space="0" w:color="000001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2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8" w:space="0" w:color="000001"/>
              <w:right w:val="single" w:sz="6" w:space="0" w:color="000001"/>
              <w:insideH w:val="single" w:sz="18" w:space="0" w:color="000001"/>
              <w:insideV w:val="single" w:sz="6" w:space="0" w:color="000001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291" w:type="dxa"/>
            <w:tcBorders>
              <w:top w:val="single" w:sz="6" w:space="0" w:color="000001"/>
              <w:left w:val="single" w:sz="6" w:space="0" w:color="000001"/>
              <w:bottom w:val="single" w:sz="18" w:space="0" w:color="000001"/>
              <w:right w:val="single" w:sz="6" w:space="0" w:color="000001"/>
              <w:insideH w:val="single" w:sz="18" w:space="0" w:color="000001"/>
              <w:insideV w:val="single" w:sz="6" w:space="0" w:color="000001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691" w:type="dxa"/>
            <w:tcBorders>
              <w:top w:val="single" w:sz="6" w:space="0" w:color="000001"/>
              <w:left w:val="single" w:sz="6" w:space="0" w:color="000001"/>
              <w:bottom w:val="single" w:sz="18" w:space="0" w:color="000001"/>
              <w:right w:val="single" w:sz="6" w:space="0" w:color="000001"/>
              <w:insideH w:val="single" w:sz="18" w:space="0" w:color="000001"/>
              <w:insideV w:val="single" w:sz="6" w:space="0" w:color="000001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264" w:type="dxa"/>
            <w:tcBorders>
              <w:top w:val="single" w:sz="6" w:space="0" w:color="000001"/>
              <w:left w:val="single" w:sz="6" w:space="0" w:color="000001"/>
              <w:bottom w:val="single" w:sz="18" w:space="0" w:color="000001"/>
              <w:right w:val="single" w:sz="6" w:space="0" w:color="000001"/>
              <w:insideH w:val="single" w:sz="18" w:space="0" w:color="000001"/>
              <w:insideV w:val="single" w:sz="6" w:space="0" w:color="000001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888" w:type="dxa"/>
            <w:tcBorders>
              <w:top w:val="single" w:sz="6" w:space="0" w:color="000001"/>
              <w:left w:val="single" w:sz="6" w:space="0" w:color="000001"/>
              <w:bottom w:val="single" w:sz="18" w:space="0" w:color="000001"/>
              <w:right w:val="single" w:sz="6" w:space="0" w:color="000001"/>
              <w:insideH w:val="single" w:sz="18" w:space="0" w:color="000001"/>
              <w:insideV w:val="single" w:sz="6" w:space="0" w:color="000001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</w:tr>
      <w:tr>
        <w:trPr>
          <w:trHeight w:val="253" w:hRule="atLeast"/>
        </w:trPr>
        <w:tc>
          <w:tcPr>
            <w:tcW w:w="4375" w:type="dxa"/>
            <w:gridSpan w:val="6"/>
            <w:vMerge w:val="restart"/>
            <w:tcBorders>
              <w:top w:val="single" w:sz="18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Druh podmieneného záväzku</w:t>
            </w:r>
          </w:p>
        </w:tc>
        <w:tc>
          <w:tcPr>
            <w:tcW w:w="5779" w:type="dxa"/>
            <w:gridSpan w:val="5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Bežné účtovné obdobie</w:t>
            </w:r>
          </w:p>
        </w:tc>
      </w:tr>
      <w:tr>
        <w:trPr>
          <w:trHeight w:val="316" w:hRule="atLeast"/>
        </w:trPr>
        <w:tc>
          <w:tcPr>
            <w:tcW w:w="4375" w:type="dxa"/>
            <w:gridSpan w:val="6"/>
            <w:vMerge w:val="continue"/>
            <w:tcBorders>
              <w:top w:val="single" w:sz="12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76" w:before="0" w:after="20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2627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Hodnota celkom</w:t>
            </w:r>
          </w:p>
        </w:tc>
        <w:tc>
          <w:tcPr>
            <w:tcW w:w="3152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Spriaznené osoby</w:t>
            </w:r>
          </w:p>
        </w:tc>
      </w:tr>
      <w:tr>
        <w:trPr>
          <w:trHeight w:val="228" w:hRule="atLeast"/>
        </w:trPr>
        <w:tc>
          <w:tcPr>
            <w:tcW w:w="4375" w:type="dxa"/>
            <w:gridSpan w:val="6"/>
            <w:tcBorders>
              <w:top w:val="single" w:sz="12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Zo súdnych rozhodnutí</w:t>
            </w:r>
          </w:p>
        </w:tc>
        <w:tc>
          <w:tcPr>
            <w:tcW w:w="2627" w:type="dxa"/>
            <w:gridSpan w:val="3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200" w:firstLine="44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3152" w:type="dxa"/>
            <w:gridSpan w:val="2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200" w:firstLine="44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242" w:hRule="atLeast"/>
        </w:trPr>
        <w:tc>
          <w:tcPr>
            <w:tcW w:w="4375" w:type="dxa"/>
            <w:gridSpan w:val="6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Z poskytnutých záruk</w:t>
            </w:r>
          </w:p>
        </w:tc>
        <w:tc>
          <w:tcPr>
            <w:tcW w:w="2627" w:type="dxa"/>
            <w:gridSpan w:val="3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200" w:firstLine="44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3152" w:type="dxa"/>
            <w:gridSpan w:val="2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200" w:firstLine="44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246" w:hRule="atLeast"/>
        </w:trPr>
        <w:tc>
          <w:tcPr>
            <w:tcW w:w="4375" w:type="dxa"/>
            <w:gridSpan w:val="6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Zo všeobecne záväzných právnych predpisov</w:t>
            </w:r>
          </w:p>
        </w:tc>
        <w:tc>
          <w:tcPr>
            <w:tcW w:w="2627" w:type="dxa"/>
            <w:gridSpan w:val="3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200" w:firstLine="44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3152" w:type="dxa"/>
            <w:gridSpan w:val="2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200" w:firstLine="44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122" w:hRule="atLeast"/>
        </w:trPr>
        <w:tc>
          <w:tcPr>
            <w:tcW w:w="4375" w:type="dxa"/>
            <w:gridSpan w:val="6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Zo zmluvy o podriadenom záväzku</w:t>
            </w:r>
          </w:p>
        </w:tc>
        <w:tc>
          <w:tcPr>
            <w:tcW w:w="2627" w:type="dxa"/>
            <w:gridSpan w:val="3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200" w:firstLine="44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3152" w:type="dxa"/>
            <w:gridSpan w:val="2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200" w:firstLine="44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126" w:hRule="atLeast"/>
        </w:trPr>
        <w:tc>
          <w:tcPr>
            <w:tcW w:w="4375" w:type="dxa"/>
            <w:gridSpan w:val="6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Z ručenia</w:t>
            </w:r>
          </w:p>
        </w:tc>
        <w:tc>
          <w:tcPr>
            <w:tcW w:w="2627" w:type="dxa"/>
            <w:gridSpan w:val="3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200" w:firstLine="44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3152" w:type="dxa"/>
            <w:gridSpan w:val="2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200" w:firstLine="44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144" w:hRule="atLeast"/>
        </w:trPr>
        <w:tc>
          <w:tcPr>
            <w:tcW w:w="4375" w:type="dxa"/>
            <w:gridSpan w:val="6"/>
            <w:tcBorders>
              <w:top w:val="single" w:sz="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Iné podmienené záväzky</w:t>
            </w:r>
          </w:p>
        </w:tc>
        <w:tc>
          <w:tcPr>
            <w:tcW w:w="2627" w:type="dxa"/>
            <w:gridSpan w:val="3"/>
            <w:tcBorders>
              <w:top w:val="single" w:sz="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200" w:firstLine="44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3152" w:type="dxa"/>
            <w:gridSpan w:val="2"/>
            <w:tcBorders>
              <w:top w:val="single" w:sz="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200" w:firstLine="44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28" w:type="dxa"/>
            <w:tcBorders>
              <w:top w:val="single" w:sz="18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exact" w:line="240"/>
              <w:ind w:left="200" w:firstLine="440"/>
              <w:jc w:val="right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659" w:type="dxa"/>
            <w:tcBorders>
              <w:top w:val="single" w:sz="18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735" w:type="dxa"/>
            <w:tcBorders>
              <w:top w:val="single" w:sz="18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766" w:type="dxa"/>
            <w:tcBorders>
              <w:top w:val="single" w:sz="18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702" w:type="dxa"/>
            <w:tcBorders>
              <w:top w:val="single" w:sz="18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230" w:type="dxa"/>
            <w:gridSpan w:val="2"/>
            <w:tcBorders>
              <w:top w:val="single" w:sz="18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291" w:type="dxa"/>
            <w:tcBorders>
              <w:top w:val="single" w:sz="18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691" w:type="dxa"/>
            <w:tcBorders>
              <w:top w:val="single" w:sz="18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exact" w:line="240"/>
              <w:ind w:left="200" w:firstLine="400"/>
              <w:jc w:val="right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264" w:type="dxa"/>
            <w:tcBorders>
              <w:top w:val="single" w:sz="18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exact" w:line="240"/>
              <w:ind w:left="200" w:firstLine="400"/>
              <w:jc w:val="right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888" w:type="dxa"/>
            <w:tcBorders>
              <w:top w:val="single" w:sz="18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exact" w:line="240"/>
              <w:ind w:left="200" w:firstLine="400"/>
              <w:jc w:val="right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</w:tr>
      <w:tr>
        <w:trPr>
          <w:trHeight w:val="330" w:hRule="atLeast"/>
        </w:trPr>
        <w:tc>
          <w:tcPr>
            <w:tcW w:w="1587" w:type="dxa"/>
            <w:gridSpan w:val="2"/>
            <w:tcBorders>
              <w:top w:val="single" w:sz="6" w:space="0" w:color="000001"/>
              <w:left w:val="single" w:sz="6" w:space="0" w:color="000001"/>
              <w:bottom w:val="single" w:sz="18" w:space="0" w:color="000001"/>
              <w:right w:val="single" w:sz="6" w:space="0" w:color="000001"/>
              <w:insideH w:val="single" w:sz="18" w:space="0" w:color="000001"/>
              <w:insideV w:val="single" w:sz="6" w:space="0" w:color="000001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sz w:val="22"/>
                <w:shd w:fill="FFFFFF" w:val="clear"/>
              </w:rPr>
              <w:t>Tabuľka č. 2</w:t>
            </w: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18" w:space="0" w:color="000001"/>
              <w:right w:val="single" w:sz="6" w:space="0" w:color="000001"/>
              <w:insideH w:val="single" w:sz="18" w:space="0" w:color="000001"/>
              <w:insideV w:val="single" w:sz="6" w:space="0" w:color="000001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766" w:type="dxa"/>
            <w:tcBorders>
              <w:top w:val="single" w:sz="6" w:space="0" w:color="000001"/>
              <w:left w:val="single" w:sz="6" w:space="0" w:color="000001"/>
              <w:bottom w:val="single" w:sz="18" w:space="0" w:color="000001"/>
              <w:right w:val="single" w:sz="6" w:space="0" w:color="000001"/>
              <w:insideH w:val="single" w:sz="18" w:space="0" w:color="000001"/>
              <w:insideV w:val="single" w:sz="6" w:space="0" w:color="000001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702" w:type="dxa"/>
            <w:tcBorders>
              <w:top w:val="single" w:sz="6" w:space="0" w:color="000001"/>
              <w:left w:val="single" w:sz="6" w:space="0" w:color="000001"/>
              <w:bottom w:val="single" w:sz="18" w:space="0" w:color="000001"/>
              <w:right w:val="single" w:sz="6" w:space="0" w:color="000001"/>
              <w:insideH w:val="single" w:sz="18" w:space="0" w:color="000001"/>
              <w:insideV w:val="single" w:sz="6" w:space="0" w:color="000001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2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8" w:space="0" w:color="000001"/>
              <w:right w:val="single" w:sz="6" w:space="0" w:color="000001"/>
              <w:insideH w:val="single" w:sz="18" w:space="0" w:color="000001"/>
              <w:insideV w:val="single" w:sz="6" w:space="0" w:color="000001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291" w:type="dxa"/>
            <w:tcBorders>
              <w:top w:val="single" w:sz="6" w:space="0" w:color="000001"/>
              <w:left w:val="single" w:sz="6" w:space="0" w:color="000001"/>
              <w:bottom w:val="single" w:sz="18" w:space="0" w:color="000001"/>
              <w:right w:val="single" w:sz="6" w:space="0" w:color="000001"/>
              <w:insideH w:val="single" w:sz="18" w:space="0" w:color="000001"/>
              <w:insideV w:val="single" w:sz="6" w:space="0" w:color="000001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691" w:type="dxa"/>
            <w:tcBorders>
              <w:top w:val="single" w:sz="6" w:space="0" w:color="000001"/>
              <w:left w:val="single" w:sz="6" w:space="0" w:color="000001"/>
              <w:bottom w:val="single" w:sz="18" w:space="0" w:color="000001"/>
              <w:right w:val="single" w:sz="6" w:space="0" w:color="000001"/>
              <w:insideH w:val="single" w:sz="18" w:space="0" w:color="000001"/>
              <w:insideV w:val="single" w:sz="6" w:space="0" w:color="000001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264" w:type="dxa"/>
            <w:tcBorders>
              <w:top w:val="single" w:sz="6" w:space="0" w:color="000001"/>
              <w:left w:val="single" w:sz="6" w:space="0" w:color="000001"/>
              <w:bottom w:val="single" w:sz="18" w:space="0" w:color="000001"/>
              <w:right w:val="single" w:sz="6" w:space="0" w:color="000001"/>
              <w:insideH w:val="single" w:sz="18" w:space="0" w:color="000001"/>
              <w:insideV w:val="single" w:sz="6" w:space="0" w:color="000001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888" w:type="dxa"/>
            <w:tcBorders>
              <w:top w:val="single" w:sz="6" w:space="0" w:color="000001"/>
              <w:left w:val="single" w:sz="6" w:space="0" w:color="000001"/>
              <w:bottom w:val="single" w:sz="18" w:space="0" w:color="000001"/>
              <w:right w:val="single" w:sz="6" w:space="0" w:color="000001"/>
              <w:insideH w:val="single" w:sz="18" w:space="0" w:color="000001"/>
              <w:insideV w:val="single" w:sz="6" w:space="0" w:color="000001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</w:tr>
      <w:tr>
        <w:trPr>
          <w:trHeight w:val="443" w:hRule="atLeast"/>
        </w:trPr>
        <w:tc>
          <w:tcPr>
            <w:tcW w:w="4375" w:type="dxa"/>
            <w:gridSpan w:val="6"/>
            <w:vMerge w:val="restart"/>
            <w:tcBorders>
              <w:top w:val="single" w:sz="18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Druh podmieneného záväzku</w:t>
            </w:r>
          </w:p>
        </w:tc>
        <w:tc>
          <w:tcPr>
            <w:tcW w:w="5779" w:type="dxa"/>
            <w:gridSpan w:val="5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4375" w:type="dxa"/>
            <w:gridSpan w:val="6"/>
            <w:vMerge w:val="continue"/>
            <w:tcBorders>
              <w:top w:val="single" w:sz="12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76" w:before="0" w:after="20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2627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Hodnota celkom</w:t>
            </w:r>
          </w:p>
        </w:tc>
        <w:tc>
          <w:tcPr>
            <w:tcW w:w="3152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Spriaznené osoby</w:t>
            </w:r>
          </w:p>
        </w:tc>
      </w:tr>
      <w:tr>
        <w:trPr>
          <w:trHeight w:val="198" w:hRule="atLeast"/>
        </w:trPr>
        <w:tc>
          <w:tcPr>
            <w:tcW w:w="4375" w:type="dxa"/>
            <w:gridSpan w:val="6"/>
            <w:tcBorders>
              <w:top w:val="single" w:sz="12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Zo súdnych rozhodnutí</w:t>
            </w:r>
          </w:p>
        </w:tc>
        <w:tc>
          <w:tcPr>
            <w:tcW w:w="2627" w:type="dxa"/>
            <w:gridSpan w:val="3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200" w:firstLine="44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3152" w:type="dxa"/>
            <w:gridSpan w:val="2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200" w:firstLine="44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208" w:hRule="atLeast"/>
        </w:trPr>
        <w:tc>
          <w:tcPr>
            <w:tcW w:w="4375" w:type="dxa"/>
            <w:gridSpan w:val="6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Z poskytnutých záruk</w:t>
            </w:r>
          </w:p>
        </w:tc>
        <w:tc>
          <w:tcPr>
            <w:tcW w:w="2627" w:type="dxa"/>
            <w:gridSpan w:val="3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200" w:firstLine="44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3152" w:type="dxa"/>
            <w:gridSpan w:val="2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200" w:firstLine="44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240" w:hRule="atLeast"/>
        </w:trPr>
        <w:tc>
          <w:tcPr>
            <w:tcW w:w="4375" w:type="dxa"/>
            <w:gridSpan w:val="6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Zo všeobecne záväzných právnych predpisov</w:t>
            </w:r>
          </w:p>
        </w:tc>
        <w:tc>
          <w:tcPr>
            <w:tcW w:w="2627" w:type="dxa"/>
            <w:gridSpan w:val="3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200" w:firstLine="44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3152" w:type="dxa"/>
            <w:gridSpan w:val="2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200" w:firstLine="44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258" w:hRule="atLeast"/>
        </w:trPr>
        <w:tc>
          <w:tcPr>
            <w:tcW w:w="4375" w:type="dxa"/>
            <w:gridSpan w:val="6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Zo zmluvy o podriadenom záväzku</w:t>
            </w:r>
          </w:p>
        </w:tc>
        <w:tc>
          <w:tcPr>
            <w:tcW w:w="2627" w:type="dxa"/>
            <w:gridSpan w:val="3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200" w:firstLine="44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3152" w:type="dxa"/>
            <w:gridSpan w:val="2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200" w:firstLine="44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150" w:hRule="atLeast"/>
        </w:trPr>
        <w:tc>
          <w:tcPr>
            <w:tcW w:w="4375" w:type="dxa"/>
            <w:gridSpan w:val="6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Z ručenia</w:t>
            </w:r>
          </w:p>
        </w:tc>
        <w:tc>
          <w:tcPr>
            <w:tcW w:w="2627" w:type="dxa"/>
            <w:gridSpan w:val="3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200" w:firstLine="44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3152" w:type="dxa"/>
            <w:gridSpan w:val="2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200" w:firstLine="44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168" w:hRule="atLeast"/>
        </w:trPr>
        <w:tc>
          <w:tcPr>
            <w:tcW w:w="4375" w:type="dxa"/>
            <w:gridSpan w:val="6"/>
            <w:tcBorders>
              <w:top w:val="single" w:sz="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Iné podmienené záväzky</w:t>
            </w:r>
          </w:p>
        </w:tc>
        <w:tc>
          <w:tcPr>
            <w:tcW w:w="2627" w:type="dxa"/>
            <w:gridSpan w:val="3"/>
            <w:tcBorders>
              <w:top w:val="single" w:sz="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200" w:firstLine="44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3152" w:type="dxa"/>
            <w:gridSpan w:val="2"/>
            <w:tcBorders>
              <w:top w:val="single" w:sz="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200" w:firstLine="44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</w:tbl>
    <w:p>
      <w:pPr>
        <w:pStyle w:val="Normal"/>
        <w:spacing w:lineRule="exact" w:line="240" w:before="240" w:after="160"/>
        <w:jc w:val="both"/>
        <w:rPr>
          <w:rFonts w:ascii="Times New Roman" w:hAnsi="Times New Roman" w:cs="Times New Roman"/>
          <w:b/>
          <w:b/>
          <w:sz w:val="22"/>
          <w:highlight w:val="white"/>
        </w:rPr>
      </w:pPr>
      <w:r>
        <w:rPr>
          <w:rFonts w:cs="Times New Roman" w:ascii="Times New Roman" w:hAnsi="Times New Roman"/>
          <w:b/>
          <w:sz w:val="22"/>
          <w:shd w:fill="FFFFFF" w:val="clear"/>
        </w:rPr>
        <w:t>Ďalšie dôležité informácie o podmienených záväzkov:</w:t>
      </w:r>
    </w:p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b/>
          <w:b/>
          <w:shd w:fill="FFFFFF" w:val="clear"/>
        </w:rPr>
      </w:pPr>
      <w:r>
        <w:rPr>
          <w:rFonts w:cs="Times New Roman" w:ascii="Times New Roman" w:hAnsi="Times New Roman"/>
          <w:b/>
          <w:shd w:fill="FFFFFF" w:val="clear"/>
        </w:rPr>
      </w:r>
    </w:p>
    <w:p>
      <w:pPr>
        <w:pStyle w:val="Normal"/>
        <w:spacing w:lineRule="exact" w:line="240" w:before="0" w:after="160"/>
        <w:ind w:left="993" w:hanging="993"/>
        <w:jc w:val="both"/>
        <w:rPr>
          <w:rFonts w:ascii="Times New Roman" w:hAnsi="Times New Roman" w:cs="Times New Roman"/>
          <w:b/>
          <w:b/>
          <w:sz w:val="22"/>
          <w:highlight w:val="white"/>
        </w:rPr>
      </w:pPr>
      <w:r>
        <w:rPr>
          <w:rFonts w:cs="Times New Roman" w:ascii="Times New Roman" w:hAnsi="Times New Roman"/>
          <w:b/>
          <w:sz w:val="22"/>
          <w:shd w:fill="FFFFFF" w:val="clear"/>
        </w:rPr>
        <w:t>V. 2</w:t>
        <w:tab/>
        <w:t>Informácie o podmienených záväzkoch</w:t>
      </w:r>
    </w:p>
    <w:tbl>
      <w:tblPr>
        <w:tblW w:w="10200" w:type="dxa"/>
        <w:jc w:val="left"/>
        <w:tblInd w:w="-373" w:type="dxa"/>
        <w:tblBorders>
          <w:top w:val="single" w:sz="6" w:space="0" w:color="000001"/>
          <w:left w:val="single" w:sz="6" w:space="0" w:color="000001"/>
          <w:bottom w:val="single" w:sz="18" w:space="0" w:color="000001"/>
          <w:right w:val="single" w:sz="6" w:space="0" w:color="000001"/>
          <w:insideH w:val="single" w:sz="18" w:space="0" w:color="000001"/>
          <w:insideV w:val="single" w:sz="6" w:space="0" w:color="000001"/>
        </w:tblBorders>
        <w:tblCellMar>
          <w:top w:w="0" w:type="dxa"/>
          <w:left w:w="22" w:type="dxa"/>
          <w:bottom w:w="0" w:type="dxa"/>
          <w:right w:w="70" w:type="dxa"/>
        </w:tblCellMar>
        <w:tblLook w:val="0000"/>
      </w:tblPr>
      <w:tblGrid>
        <w:gridCol w:w="1289"/>
        <w:gridCol w:w="960"/>
        <w:gridCol w:w="1035"/>
        <w:gridCol w:w="1110"/>
        <w:gridCol w:w="1035"/>
        <w:gridCol w:w="255"/>
        <w:gridCol w:w="1725"/>
        <w:gridCol w:w="255"/>
        <w:gridCol w:w="1695"/>
        <w:gridCol w:w="840"/>
      </w:tblGrid>
      <w:tr>
        <w:trPr>
          <w:trHeight w:val="330" w:hRule="atLeast"/>
        </w:trPr>
        <w:tc>
          <w:tcPr>
            <w:tcW w:w="2249" w:type="dxa"/>
            <w:gridSpan w:val="2"/>
            <w:tcBorders>
              <w:top w:val="single" w:sz="6" w:space="0" w:color="000001"/>
              <w:left w:val="single" w:sz="6" w:space="0" w:color="000001"/>
              <w:bottom w:val="single" w:sz="18" w:space="0" w:color="000001"/>
              <w:right w:val="single" w:sz="6" w:space="0" w:color="000001"/>
              <w:insideH w:val="single" w:sz="18" w:space="0" w:color="000001"/>
              <w:insideV w:val="single" w:sz="6" w:space="0" w:color="000001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sz w:val="22"/>
                <w:shd w:fill="FFFFFF" w:val="clear"/>
              </w:rPr>
              <w:t>Tabuľka č.1</w:t>
            </w:r>
          </w:p>
        </w:tc>
        <w:tc>
          <w:tcPr>
            <w:tcW w:w="1035" w:type="dxa"/>
            <w:tcBorders>
              <w:top w:val="single" w:sz="6" w:space="0" w:color="000001"/>
              <w:left w:val="single" w:sz="6" w:space="0" w:color="000001"/>
              <w:bottom w:val="single" w:sz="18" w:space="0" w:color="000001"/>
              <w:right w:val="single" w:sz="6" w:space="0" w:color="000001"/>
              <w:insideH w:val="single" w:sz="18" w:space="0" w:color="000001"/>
              <w:insideV w:val="single" w:sz="6" w:space="0" w:color="000001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110" w:type="dxa"/>
            <w:tcBorders>
              <w:top w:val="single" w:sz="6" w:space="0" w:color="000001"/>
              <w:left w:val="single" w:sz="6" w:space="0" w:color="000001"/>
              <w:bottom w:val="single" w:sz="18" w:space="0" w:color="000001"/>
              <w:right w:val="single" w:sz="6" w:space="0" w:color="000001"/>
              <w:insideH w:val="single" w:sz="18" w:space="0" w:color="000001"/>
              <w:insideV w:val="single" w:sz="6" w:space="0" w:color="000001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035" w:type="dxa"/>
            <w:tcBorders>
              <w:top w:val="single" w:sz="6" w:space="0" w:color="000001"/>
              <w:left w:val="single" w:sz="6" w:space="0" w:color="000001"/>
              <w:bottom w:val="single" w:sz="18" w:space="0" w:color="000001"/>
              <w:right w:val="single" w:sz="6" w:space="0" w:color="000001"/>
              <w:insideH w:val="single" w:sz="18" w:space="0" w:color="000001"/>
              <w:insideV w:val="single" w:sz="6" w:space="0" w:color="000001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255" w:type="dxa"/>
            <w:tcBorders>
              <w:top w:val="single" w:sz="6" w:space="0" w:color="000001"/>
              <w:left w:val="single" w:sz="6" w:space="0" w:color="000001"/>
              <w:bottom w:val="single" w:sz="18" w:space="0" w:color="000001"/>
              <w:right w:val="single" w:sz="6" w:space="0" w:color="000001"/>
              <w:insideH w:val="single" w:sz="18" w:space="0" w:color="000001"/>
              <w:insideV w:val="single" w:sz="6" w:space="0" w:color="000001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725" w:type="dxa"/>
            <w:tcBorders>
              <w:top w:val="single" w:sz="6" w:space="0" w:color="000001"/>
              <w:left w:val="single" w:sz="6" w:space="0" w:color="000001"/>
              <w:bottom w:val="single" w:sz="18" w:space="0" w:color="000001"/>
              <w:right w:val="single" w:sz="6" w:space="0" w:color="000001"/>
              <w:insideH w:val="single" w:sz="18" w:space="0" w:color="000001"/>
              <w:insideV w:val="single" w:sz="6" w:space="0" w:color="000001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255" w:type="dxa"/>
            <w:tcBorders>
              <w:top w:val="single" w:sz="6" w:space="0" w:color="000001"/>
              <w:left w:val="single" w:sz="6" w:space="0" w:color="000001"/>
              <w:bottom w:val="single" w:sz="18" w:space="0" w:color="000001"/>
              <w:right w:val="single" w:sz="6" w:space="0" w:color="000001"/>
              <w:insideH w:val="single" w:sz="18" w:space="0" w:color="000001"/>
              <w:insideV w:val="single" w:sz="6" w:space="0" w:color="000001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695" w:type="dxa"/>
            <w:tcBorders>
              <w:top w:val="single" w:sz="6" w:space="0" w:color="000001"/>
              <w:left w:val="single" w:sz="6" w:space="0" w:color="000001"/>
              <w:bottom w:val="single" w:sz="18" w:space="0" w:color="000001"/>
              <w:right w:val="single" w:sz="6" w:space="0" w:color="000001"/>
              <w:insideH w:val="single" w:sz="18" w:space="0" w:color="000001"/>
              <w:insideV w:val="single" w:sz="6" w:space="0" w:color="000001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840" w:type="dxa"/>
            <w:tcBorders>
              <w:top w:val="single" w:sz="6" w:space="0" w:color="000001"/>
              <w:left w:val="single" w:sz="6" w:space="0" w:color="000001"/>
              <w:bottom w:val="single" w:sz="18" w:space="0" w:color="000001"/>
              <w:right w:val="single" w:sz="6" w:space="0" w:color="000001"/>
              <w:insideH w:val="single" w:sz="18" w:space="0" w:color="000001"/>
              <w:insideV w:val="single" w:sz="6" w:space="0" w:color="000001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</w:tr>
      <w:tr>
        <w:trPr>
          <w:trHeight w:val="182" w:hRule="atLeast"/>
        </w:trPr>
        <w:tc>
          <w:tcPr>
            <w:tcW w:w="5684" w:type="dxa"/>
            <w:gridSpan w:val="6"/>
            <w:vMerge w:val="restart"/>
            <w:tcBorders>
              <w:top w:val="single" w:sz="18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Druh podmieneného záväzku alebo ostatnej finančnej povinnosti, ktorá sa nevykazuje v účtovných výkazoch</w:t>
            </w:r>
          </w:p>
        </w:tc>
        <w:tc>
          <w:tcPr>
            <w:tcW w:w="4515" w:type="dxa"/>
            <w:gridSpan w:val="4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Bežné účtovné obdobie</w:t>
            </w:r>
          </w:p>
        </w:tc>
      </w:tr>
      <w:tr>
        <w:trPr>
          <w:trHeight w:val="186" w:hRule="atLeast"/>
        </w:trPr>
        <w:tc>
          <w:tcPr>
            <w:tcW w:w="5684" w:type="dxa"/>
            <w:gridSpan w:val="6"/>
            <w:vMerge w:val="continue"/>
            <w:tcBorders>
              <w:top w:val="single" w:sz="12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000000" w:fill="FFFFFF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76" w:before="0" w:after="20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980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Hodnota celkom</w:t>
            </w:r>
          </w:p>
        </w:tc>
        <w:tc>
          <w:tcPr>
            <w:tcW w:w="2535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Spriaznené osoby</w:t>
            </w:r>
          </w:p>
        </w:tc>
      </w:tr>
      <w:tr>
        <w:trPr>
          <w:trHeight w:val="178" w:hRule="atLeast"/>
        </w:trPr>
        <w:tc>
          <w:tcPr>
            <w:tcW w:w="5684" w:type="dxa"/>
            <w:gridSpan w:val="6"/>
            <w:tcBorders>
              <w:top w:val="single" w:sz="18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 xml:space="preserve">Zákonná povinnosť odobrať určité množstvo produktu </w:t>
            </w:r>
          </w:p>
        </w:tc>
        <w:tc>
          <w:tcPr>
            <w:tcW w:w="1980" w:type="dxa"/>
            <w:gridSpan w:val="2"/>
            <w:tcBorders>
              <w:top w:val="single" w:sz="1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200" w:firstLine="44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535" w:type="dxa"/>
            <w:gridSpan w:val="2"/>
            <w:tcBorders>
              <w:top w:val="single" w:sz="18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200" w:firstLine="44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188" w:hRule="atLeast"/>
        </w:trPr>
        <w:tc>
          <w:tcPr>
            <w:tcW w:w="5684" w:type="dxa"/>
            <w:gridSpan w:val="6"/>
            <w:tcBorders>
              <w:top w:val="single" w:sz="6" w:space="0" w:color="000001"/>
              <w:left w:val="single" w:sz="18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 xml:space="preserve">Zmluvná povinnosť odobrať určité množstvo produktu </w:t>
            </w:r>
          </w:p>
        </w:tc>
        <w:tc>
          <w:tcPr>
            <w:tcW w:w="1980" w:type="dxa"/>
            <w:gridSpan w:val="2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200" w:firstLine="44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535" w:type="dxa"/>
            <w:gridSpan w:val="2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8" w:space="0" w:color="000001"/>
              <w:insideH w:val="single" w:sz="6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200" w:firstLine="44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220" w:hRule="atLeast"/>
        </w:trPr>
        <w:tc>
          <w:tcPr>
            <w:tcW w:w="5684" w:type="dxa"/>
            <w:gridSpan w:val="6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 xml:space="preserve">Povinnosť uskutočniť investície </w:t>
            </w:r>
          </w:p>
        </w:tc>
        <w:tc>
          <w:tcPr>
            <w:tcW w:w="1980" w:type="dxa"/>
            <w:gridSpan w:val="2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200" w:firstLine="44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535" w:type="dxa"/>
            <w:gridSpan w:val="2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200" w:firstLine="44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97" w:hRule="atLeast"/>
        </w:trPr>
        <w:tc>
          <w:tcPr>
            <w:tcW w:w="5684" w:type="dxa"/>
            <w:gridSpan w:val="6"/>
            <w:tcBorders>
              <w:top w:val="single" w:sz="6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Povinnosť uskutočniť veľké opravy</w:t>
            </w:r>
          </w:p>
        </w:tc>
        <w:tc>
          <w:tcPr>
            <w:tcW w:w="1980" w:type="dxa"/>
            <w:gridSpan w:val="2"/>
            <w:tcBorders>
              <w:top w:val="single" w:sz="6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200" w:firstLine="44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535" w:type="dxa"/>
            <w:gridSpan w:val="2"/>
            <w:tcBorders>
              <w:top w:val="single" w:sz="6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200" w:firstLine="44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1289" w:type="dxa"/>
            <w:tcBorders>
              <w:top w:val="single" w:sz="18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exact" w:line="240"/>
              <w:ind w:left="200" w:firstLine="440"/>
              <w:jc w:val="right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960" w:type="dxa"/>
            <w:tcBorders>
              <w:top w:val="single" w:sz="18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035" w:type="dxa"/>
            <w:tcBorders>
              <w:top w:val="single" w:sz="18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110" w:type="dxa"/>
            <w:tcBorders>
              <w:top w:val="single" w:sz="18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035" w:type="dxa"/>
            <w:tcBorders>
              <w:top w:val="single" w:sz="18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255" w:type="dxa"/>
            <w:tcBorders>
              <w:top w:val="single" w:sz="18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725" w:type="dxa"/>
            <w:tcBorders>
              <w:top w:val="single" w:sz="18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255" w:type="dxa"/>
            <w:tcBorders>
              <w:top w:val="single" w:sz="18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exact" w:line="240"/>
              <w:ind w:left="200" w:firstLine="440"/>
              <w:jc w:val="right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695" w:type="dxa"/>
            <w:tcBorders>
              <w:top w:val="single" w:sz="18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exact" w:line="240"/>
              <w:ind w:left="200" w:firstLine="440"/>
              <w:jc w:val="right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840" w:type="dxa"/>
            <w:tcBorders>
              <w:top w:val="single" w:sz="18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exact" w:line="240"/>
              <w:ind w:left="200" w:firstLine="440"/>
              <w:jc w:val="right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</w:tr>
      <w:tr>
        <w:trPr>
          <w:trHeight w:val="330" w:hRule="atLeast"/>
        </w:trPr>
        <w:tc>
          <w:tcPr>
            <w:tcW w:w="2249" w:type="dxa"/>
            <w:gridSpan w:val="2"/>
            <w:tcBorders>
              <w:top w:val="single" w:sz="6" w:space="0" w:color="000001"/>
              <w:left w:val="single" w:sz="6" w:space="0" w:color="000001"/>
              <w:bottom w:val="single" w:sz="18" w:space="0" w:color="000001"/>
              <w:right w:val="single" w:sz="6" w:space="0" w:color="000001"/>
              <w:insideH w:val="single" w:sz="18" w:space="0" w:color="000001"/>
              <w:insideV w:val="single" w:sz="6" w:space="0" w:color="000001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sz w:val="22"/>
                <w:shd w:fill="FFFFFF" w:val="clear"/>
              </w:rPr>
              <w:t>Tabuľka č. 2</w:t>
            </w:r>
          </w:p>
        </w:tc>
        <w:tc>
          <w:tcPr>
            <w:tcW w:w="1035" w:type="dxa"/>
            <w:tcBorders>
              <w:top w:val="single" w:sz="6" w:space="0" w:color="000001"/>
              <w:left w:val="single" w:sz="6" w:space="0" w:color="000001"/>
              <w:bottom w:val="single" w:sz="18" w:space="0" w:color="000001"/>
              <w:right w:val="single" w:sz="6" w:space="0" w:color="000001"/>
              <w:insideH w:val="single" w:sz="18" w:space="0" w:color="000001"/>
              <w:insideV w:val="single" w:sz="6" w:space="0" w:color="000001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110" w:type="dxa"/>
            <w:tcBorders>
              <w:top w:val="single" w:sz="6" w:space="0" w:color="000001"/>
              <w:left w:val="single" w:sz="6" w:space="0" w:color="000001"/>
              <w:bottom w:val="single" w:sz="18" w:space="0" w:color="000001"/>
              <w:right w:val="single" w:sz="6" w:space="0" w:color="000001"/>
              <w:insideH w:val="single" w:sz="18" w:space="0" w:color="000001"/>
              <w:insideV w:val="single" w:sz="6" w:space="0" w:color="000001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035" w:type="dxa"/>
            <w:tcBorders>
              <w:top w:val="single" w:sz="6" w:space="0" w:color="000001"/>
              <w:left w:val="single" w:sz="6" w:space="0" w:color="000001"/>
              <w:bottom w:val="single" w:sz="18" w:space="0" w:color="000001"/>
              <w:right w:val="single" w:sz="6" w:space="0" w:color="000001"/>
              <w:insideH w:val="single" w:sz="18" w:space="0" w:color="000001"/>
              <w:insideV w:val="single" w:sz="6" w:space="0" w:color="000001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255" w:type="dxa"/>
            <w:tcBorders>
              <w:top w:val="single" w:sz="6" w:space="0" w:color="000001"/>
              <w:left w:val="single" w:sz="6" w:space="0" w:color="000001"/>
              <w:bottom w:val="single" w:sz="18" w:space="0" w:color="000001"/>
              <w:right w:val="single" w:sz="6" w:space="0" w:color="000001"/>
              <w:insideH w:val="single" w:sz="18" w:space="0" w:color="000001"/>
              <w:insideV w:val="single" w:sz="6" w:space="0" w:color="000001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725" w:type="dxa"/>
            <w:tcBorders>
              <w:top w:val="single" w:sz="6" w:space="0" w:color="000001"/>
              <w:left w:val="single" w:sz="6" w:space="0" w:color="000001"/>
              <w:bottom w:val="single" w:sz="18" w:space="0" w:color="000001"/>
              <w:right w:val="single" w:sz="6" w:space="0" w:color="000001"/>
              <w:insideH w:val="single" w:sz="18" w:space="0" w:color="000001"/>
              <w:insideV w:val="single" w:sz="6" w:space="0" w:color="000001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255" w:type="dxa"/>
            <w:tcBorders>
              <w:top w:val="single" w:sz="6" w:space="0" w:color="000001"/>
              <w:left w:val="single" w:sz="6" w:space="0" w:color="000001"/>
              <w:bottom w:val="single" w:sz="18" w:space="0" w:color="000001"/>
              <w:right w:val="single" w:sz="6" w:space="0" w:color="000001"/>
              <w:insideH w:val="single" w:sz="18" w:space="0" w:color="000001"/>
              <w:insideV w:val="single" w:sz="6" w:space="0" w:color="000001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695" w:type="dxa"/>
            <w:tcBorders>
              <w:top w:val="single" w:sz="6" w:space="0" w:color="000001"/>
              <w:left w:val="single" w:sz="6" w:space="0" w:color="000001"/>
              <w:bottom w:val="single" w:sz="18" w:space="0" w:color="000001"/>
              <w:right w:val="single" w:sz="6" w:space="0" w:color="000001"/>
              <w:insideH w:val="single" w:sz="18" w:space="0" w:color="000001"/>
              <w:insideV w:val="single" w:sz="6" w:space="0" w:color="000001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840" w:type="dxa"/>
            <w:tcBorders>
              <w:top w:val="single" w:sz="6" w:space="0" w:color="000001"/>
              <w:left w:val="single" w:sz="6" w:space="0" w:color="000001"/>
              <w:bottom w:val="single" w:sz="18" w:space="0" w:color="000001"/>
              <w:right w:val="single" w:sz="6" w:space="0" w:color="000001"/>
              <w:insideH w:val="single" w:sz="18" w:space="0" w:color="000001"/>
              <w:insideV w:val="single" w:sz="6" w:space="0" w:color="000001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exact" w:line="24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</w:tr>
      <w:tr>
        <w:trPr>
          <w:trHeight w:val="529" w:hRule="atLeast"/>
        </w:trPr>
        <w:tc>
          <w:tcPr>
            <w:tcW w:w="5684" w:type="dxa"/>
            <w:gridSpan w:val="6"/>
            <w:vMerge w:val="restart"/>
            <w:tcBorders>
              <w:top w:val="single" w:sz="18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Druh podmieneného záväzku alebo ostatnej finančnej povinnosti, ktorá sa nevykazuje v účtovných výkazoch</w:t>
            </w:r>
          </w:p>
        </w:tc>
        <w:tc>
          <w:tcPr>
            <w:tcW w:w="4515" w:type="dxa"/>
            <w:gridSpan w:val="4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Bezprostredne predchádzajúce účtovné obdobie</w:t>
            </w:r>
          </w:p>
        </w:tc>
      </w:tr>
      <w:tr>
        <w:trPr>
          <w:trHeight w:val="266" w:hRule="atLeast"/>
        </w:trPr>
        <w:tc>
          <w:tcPr>
            <w:tcW w:w="5684" w:type="dxa"/>
            <w:gridSpan w:val="6"/>
            <w:vMerge w:val="continue"/>
            <w:tcBorders>
              <w:top w:val="single" w:sz="12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000000" w:fill="FFFFFF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76" w:before="0" w:after="20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980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Hodnota celkom</w:t>
            </w:r>
          </w:p>
        </w:tc>
        <w:tc>
          <w:tcPr>
            <w:tcW w:w="2535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Spriaznené osoby</w:t>
            </w:r>
          </w:p>
        </w:tc>
      </w:tr>
      <w:tr>
        <w:trPr>
          <w:trHeight w:val="256" w:hRule="atLeast"/>
        </w:trPr>
        <w:tc>
          <w:tcPr>
            <w:tcW w:w="5684" w:type="dxa"/>
            <w:gridSpan w:val="6"/>
            <w:tcBorders>
              <w:top w:val="single" w:sz="18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 xml:space="preserve">Zákonná povinnosť odobrať určité množstvo produktu </w:t>
            </w:r>
          </w:p>
        </w:tc>
        <w:tc>
          <w:tcPr>
            <w:tcW w:w="1980" w:type="dxa"/>
            <w:gridSpan w:val="2"/>
            <w:tcBorders>
              <w:top w:val="single" w:sz="1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200" w:firstLine="44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535" w:type="dxa"/>
            <w:gridSpan w:val="2"/>
            <w:tcBorders>
              <w:top w:val="single" w:sz="18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200" w:firstLine="44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280" w:hRule="atLeast"/>
        </w:trPr>
        <w:tc>
          <w:tcPr>
            <w:tcW w:w="5684" w:type="dxa"/>
            <w:gridSpan w:val="6"/>
            <w:tcBorders>
              <w:top w:val="single" w:sz="6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 xml:space="preserve">Zmluvná povinnosť odobrať určité množstvo produktu </w:t>
            </w:r>
          </w:p>
        </w:tc>
        <w:tc>
          <w:tcPr>
            <w:tcW w:w="1980" w:type="dxa"/>
            <w:gridSpan w:val="2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200" w:firstLine="44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535" w:type="dxa"/>
            <w:gridSpan w:val="2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200" w:firstLine="44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129" w:hRule="atLeast"/>
        </w:trPr>
        <w:tc>
          <w:tcPr>
            <w:tcW w:w="5684" w:type="dxa"/>
            <w:gridSpan w:val="6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 xml:space="preserve">Povinnosť uskutočniť investície </w:t>
            </w:r>
          </w:p>
        </w:tc>
        <w:tc>
          <w:tcPr>
            <w:tcW w:w="1980" w:type="dxa"/>
            <w:gridSpan w:val="2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200" w:firstLine="44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535" w:type="dxa"/>
            <w:gridSpan w:val="2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200" w:firstLine="44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146" w:hRule="atLeast"/>
        </w:trPr>
        <w:tc>
          <w:tcPr>
            <w:tcW w:w="5684" w:type="dxa"/>
            <w:gridSpan w:val="6"/>
            <w:tcBorders>
              <w:top w:val="single" w:sz="6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Povinnosť uskutočniť veľké opravy</w:t>
            </w:r>
          </w:p>
        </w:tc>
        <w:tc>
          <w:tcPr>
            <w:tcW w:w="1980" w:type="dxa"/>
            <w:gridSpan w:val="2"/>
            <w:tcBorders>
              <w:top w:val="single" w:sz="6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200" w:firstLine="44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535" w:type="dxa"/>
            <w:gridSpan w:val="2"/>
            <w:tcBorders>
              <w:top w:val="single" w:sz="6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ind w:left="200" w:firstLine="44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</w:tbl>
    <w:p>
      <w:pPr>
        <w:pStyle w:val="Normal"/>
        <w:spacing w:lineRule="exact" w:line="240" w:before="240" w:after="160"/>
        <w:jc w:val="both"/>
        <w:rPr>
          <w:rFonts w:ascii="Times New Roman" w:hAnsi="Times New Roman" w:cs="Times New Roman"/>
          <w:b/>
          <w:b/>
          <w:highlight w:val="white"/>
        </w:rPr>
      </w:pPr>
      <w:r>
        <w:rPr>
          <w:rFonts w:cs="Times New Roman" w:ascii="Times New Roman" w:hAnsi="Times New Roman"/>
          <w:b/>
          <w:sz w:val="22"/>
          <w:shd w:fill="FFFFFF" w:val="clear"/>
        </w:rPr>
        <w:t>Ďalšie dôležité informácie o podmienených záväzkov</w:t>
      </w:r>
      <w:r>
        <w:rPr>
          <w:rFonts w:cs="Times New Roman" w:ascii="Times New Roman" w:hAnsi="Times New Roman"/>
          <w:b/>
          <w:shd w:fill="FFFFFF" w:val="clear"/>
        </w:rPr>
        <w:t>:</w:t>
      </w:r>
    </w:p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b/>
          <w:b/>
          <w:shd w:fill="FFFFFF" w:val="clear"/>
        </w:rPr>
      </w:pPr>
      <w:r>
        <w:rPr>
          <w:rFonts w:cs="Times New Roman" w:ascii="Times New Roman" w:hAnsi="Times New Roman"/>
          <w:b/>
          <w:shd w:fill="FFFFFF" w:val="clear"/>
        </w:rPr>
      </w:r>
    </w:p>
    <w:p>
      <w:pPr>
        <w:pStyle w:val="Normal"/>
        <w:spacing w:lineRule="exact" w:line="240" w:before="0" w:after="160"/>
        <w:ind w:hanging="0"/>
        <w:jc w:val="both"/>
        <w:rPr/>
      </w:pPr>
      <w:r>
        <w:rPr>
          <w:rFonts w:cs="Times New Roman" w:ascii="Times New Roman" w:hAnsi="Times New Roman"/>
          <w:b/>
          <w:sz w:val="22"/>
          <w:shd w:fill="FFFFFF" w:val="clear"/>
        </w:rPr>
        <w:t>V. 3</w:t>
        <w:tab/>
        <w:t>Informácie o údajoch na podsúvahových účtoch</w:t>
      </w:r>
    </w:p>
    <w:tbl>
      <w:tblPr>
        <w:tblW w:w="10155" w:type="dxa"/>
        <w:jc w:val="left"/>
        <w:tblInd w:w="-446" w:type="dxa"/>
        <w:tblBorders>
          <w:top w:val="single" w:sz="18" w:space="0" w:color="000001"/>
          <w:left w:val="single" w:sz="18" w:space="0" w:color="000001"/>
          <w:bottom w:val="single" w:sz="18" w:space="0" w:color="000001"/>
          <w:right w:val="single" w:sz="18" w:space="0" w:color="000001"/>
          <w:insideH w:val="single" w:sz="18" w:space="0" w:color="000001"/>
          <w:insideV w:val="single" w:sz="18" w:space="0" w:color="000001"/>
        </w:tblBorders>
        <w:tblCellMar>
          <w:top w:w="0" w:type="dxa"/>
          <w:left w:w="-22" w:type="dxa"/>
          <w:bottom w:w="0" w:type="dxa"/>
          <w:right w:w="70" w:type="dxa"/>
        </w:tblCellMar>
        <w:tblLook w:val="0000"/>
      </w:tblPr>
      <w:tblGrid>
        <w:gridCol w:w="4436"/>
        <w:gridCol w:w="2655"/>
        <w:gridCol w:w="3064"/>
      </w:tblGrid>
      <w:tr>
        <w:trPr>
          <w:trHeight w:val="330" w:hRule="atLeast"/>
        </w:trPr>
        <w:tc>
          <w:tcPr>
            <w:tcW w:w="4436" w:type="dxa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Názov položky</w:t>
            </w:r>
          </w:p>
        </w:tc>
        <w:tc>
          <w:tcPr>
            <w:tcW w:w="2655" w:type="dxa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BO</w:t>
            </w:r>
          </w:p>
        </w:tc>
        <w:tc>
          <w:tcPr>
            <w:tcW w:w="3064" w:type="dxa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PO</w:t>
            </w:r>
          </w:p>
        </w:tc>
      </w:tr>
      <w:tr>
        <w:trPr>
          <w:trHeight w:val="144" w:hRule="atLeast"/>
        </w:trPr>
        <w:tc>
          <w:tcPr>
            <w:tcW w:w="4436" w:type="dxa"/>
            <w:tcBorders>
              <w:top w:val="single" w:sz="18" w:space="0" w:color="000001"/>
              <w:left w:val="single" w:sz="18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Prenajatý majetok</w:t>
            </w:r>
          </w:p>
        </w:tc>
        <w:tc>
          <w:tcPr>
            <w:tcW w:w="2655" w:type="dxa"/>
            <w:tcBorders>
              <w:top w:val="single" w:sz="18" w:space="0" w:color="000001"/>
              <w:left w:val="single" w:sz="18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3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3064" w:type="dxa"/>
            <w:tcBorders>
              <w:top w:val="single" w:sz="18" w:space="0" w:color="000001"/>
              <w:left w:val="single" w:sz="18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3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154" w:hRule="atLeast"/>
        </w:trPr>
        <w:tc>
          <w:tcPr>
            <w:tcW w:w="4436" w:type="dxa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Majetok v nájme (operatívny prenájom)</w:t>
            </w:r>
          </w:p>
        </w:tc>
        <w:tc>
          <w:tcPr>
            <w:tcW w:w="2655" w:type="dxa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3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3064" w:type="dxa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3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186" w:hRule="atLeast"/>
        </w:trPr>
        <w:tc>
          <w:tcPr>
            <w:tcW w:w="4436" w:type="dxa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Majetok prijatý do úschovy</w:t>
            </w:r>
          </w:p>
        </w:tc>
        <w:tc>
          <w:tcPr>
            <w:tcW w:w="2655" w:type="dxa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3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3064" w:type="dxa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3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204" w:hRule="atLeast"/>
        </w:trPr>
        <w:tc>
          <w:tcPr>
            <w:tcW w:w="4436" w:type="dxa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Pohľadávky z derivátov</w:t>
            </w:r>
          </w:p>
        </w:tc>
        <w:tc>
          <w:tcPr>
            <w:tcW w:w="2655" w:type="dxa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3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3064" w:type="dxa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3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223" w:hRule="atLeast"/>
        </w:trPr>
        <w:tc>
          <w:tcPr>
            <w:tcW w:w="4436" w:type="dxa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Záväzky z opcií derivátov</w:t>
            </w:r>
          </w:p>
        </w:tc>
        <w:tc>
          <w:tcPr>
            <w:tcW w:w="2655" w:type="dxa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3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3064" w:type="dxa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3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240" w:hRule="atLeast"/>
        </w:trPr>
        <w:tc>
          <w:tcPr>
            <w:tcW w:w="4436" w:type="dxa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Odpísané pohľadávky</w:t>
            </w:r>
          </w:p>
        </w:tc>
        <w:tc>
          <w:tcPr>
            <w:tcW w:w="2655" w:type="dxa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3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3064" w:type="dxa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3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273" w:hRule="atLeast"/>
        </w:trPr>
        <w:tc>
          <w:tcPr>
            <w:tcW w:w="4436" w:type="dxa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Pohľadávky z leasingu</w:t>
            </w:r>
          </w:p>
        </w:tc>
        <w:tc>
          <w:tcPr>
            <w:tcW w:w="2655" w:type="dxa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3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3064" w:type="dxa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3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120" w:hRule="atLeast"/>
        </w:trPr>
        <w:tc>
          <w:tcPr>
            <w:tcW w:w="4436" w:type="dxa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Záväzky z leasingu</w:t>
            </w:r>
          </w:p>
        </w:tc>
        <w:tc>
          <w:tcPr>
            <w:tcW w:w="2655" w:type="dxa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3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3064" w:type="dxa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3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138" w:hRule="atLeast"/>
        </w:trPr>
        <w:tc>
          <w:tcPr>
            <w:tcW w:w="4436" w:type="dxa"/>
            <w:tcBorders>
              <w:top w:val="single" w:sz="8" w:space="0" w:color="000001"/>
              <w:left w:val="single" w:sz="18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Iné položky</w:t>
            </w:r>
          </w:p>
        </w:tc>
        <w:tc>
          <w:tcPr>
            <w:tcW w:w="2655" w:type="dxa"/>
            <w:tcBorders>
              <w:top w:val="single" w:sz="8" w:space="0" w:color="000001"/>
              <w:left w:val="single" w:sz="18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3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3064" w:type="dxa"/>
            <w:tcBorders>
              <w:top w:val="single" w:sz="8" w:space="0" w:color="000001"/>
              <w:left w:val="single" w:sz="18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ind w:left="300" w:firstLine="663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2F75B5"/>
                <w:sz w:val="22"/>
                <w:shd w:fill="FFFFFF" w:val="clear"/>
              </w:rPr>
              <w:t> </w:t>
            </w:r>
          </w:p>
        </w:tc>
      </w:tr>
    </w:tbl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b/>
          <w:b/>
          <w:sz w:val="22"/>
          <w:highlight w:val="white"/>
        </w:rPr>
      </w:pPr>
      <w:r>
        <w:rPr>
          <w:rFonts w:cs="Times New Roman" w:ascii="Times New Roman" w:hAnsi="Times New Roman"/>
          <w:b/>
          <w:sz w:val="22"/>
          <w:shd w:fill="FFFFFF" w:val="clear"/>
        </w:rPr>
        <w:t>Ďalšie dôležité informácie o sumách na podsúvahových účtoch:</w:t>
      </w:r>
    </w:p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b/>
          <w:b/>
          <w:color w:val="5B9BD5"/>
          <w:shd w:fill="FFFFFF" w:val="clear"/>
        </w:rPr>
      </w:pPr>
      <w:r>
        <w:rPr>
          <w:rFonts w:cs="Times New Roman" w:ascii="Times New Roman" w:hAnsi="Times New Roman"/>
          <w:b/>
          <w:color w:val="5B9BD5"/>
          <w:shd w:fill="FFFFFF" w:val="clear"/>
        </w:rPr>
      </w:r>
    </w:p>
    <w:p>
      <w:pPr>
        <w:pStyle w:val="Normal"/>
        <w:spacing w:lineRule="exact" w:line="240" w:before="0" w:after="160"/>
        <w:ind w:left="993" w:hanging="993"/>
        <w:rPr>
          <w:rFonts w:ascii="Times New Roman" w:hAnsi="Times New Roman" w:cs="Times New Roman"/>
          <w:b/>
          <w:b/>
          <w:color w:val="5B9BD5"/>
          <w:sz w:val="22"/>
          <w:highlight w:val="white"/>
        </w:rPr>
      </w:pPr>
      <w:r>
        <w:rPr>
          <w:rFonts w:cs="Times New Roman" w:ascii="Times New Roman" w:hAnsi="Times New Roman"/>
          <w:b/>
          <w:color w:val="5B9BD5"/>
          <w:sz w:val="22"/>
          <w:shd w:fill="FFFFFF" w:val="clear"/>
        </w:rPr>
        <w:t>Čl. VI</w:t>
        <w:tab/>
        <w:t> Udalosti, ktoré nastali po dni, ku ktorému sa zostavuje účtovná závierka</w:t>
      </w:r>
    </w:p>
    <w:p>
      <w:pPr>
        <w:pStyle w:val="Normal"/>
        <w:spacing w:lineRule="exact" w:line="240" w:before="0" w:after="160"/>
        <w:ind w:left="1134" w:hanging="1134"/>
        <w:jc w:val="both"/>
        <w:rPr>
          <w:rFonts w:ascii="Times New Roman" w:hAnsi="Times New Roman" w:cs="Times New Roman"/>
          <w:b/>
          <w:b/>
          <w:sz w:val="22"/>
          <w:highlight w:val="white"/>
        </w:rPr>
      </w:pPr>
      <w:r>
        <w:rPr>
          <w:rFonts w:cs="Times New Roman" w:ascii="Times New Roman" w:hAnsi="Times New Roman"/>
          <w:b/>
          <w:sz w:val="22"/>
          <w:shd w:fill="FFFFFF" w:val="clear"/>
        </w:rPr>
        <w:t>VI. a) – j)   Udalosti, ktoré nastali po dni, ku ktorému sa zostavuje účtovná závierka</w:t>
      </w:r>
    </w:p>
    <w:tbl>
      <w:tblPr>
        <w:tblW w:w="10155" w:type="dxa"/>
        <w:jc w:val="left"/>
        <w:tblInd w:w="-446" w:type="dxa"/>
        <w:tblBorders>
          <w:top w:val="single" w:sz="18" w:space="0" w:color="000001"/>
          <w:left w:val="single" w:sz="18" w:space="0" w:color="000001"/>
          <w:bottom w:val="single" w:sz="12" w:space="0" w:color="000001"/>
          <w:right w:val="single" w:sz="12" w:space="0" w:color="000001"/>
          <w:insideH w:val="single" w:sz="12" w:space="0" w:color="000001"/>
          <w:insideV w:val="single" w:sz="12" w:space="0" w:color="000001"/>
        </w:tblBorders>
        <w:tblCellMar>
          <w:top w:w="0" w:type="dxa"/>
          <w:left w:w="-22" w:type="dxa"/>
          <w:bottom w:w="0" w:type="dxa"/>
          <w:right w:w="70" w:type="dxa"/>
        </w:tblCellMar>
        <w:tblLook w:val="0000"/>
      </w:tblPr>
      <w:tblGrid>
        <w:gridCol w:w="4439"/>
        <w:gridCol w:w="1938"/>
        <w:gridCol w:w="1710"/>
        <w:gridCol w:w="2067"/>
      </w:tblGrid>
      <w:tr>
        <w:trPr>
          <w:trHeight w:val="330" w:hRule="atLeast"/>
        </w:trPr>
        <w:tc>
          <w:tcPr>
            <w:tcW w:w="4439" w:type="dxa"/>
            <w:vMerge w:val="restart"/>
            <w:tcBorders>
              <w:top w:val="single" w:sz="18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38" w:type="dxa"/>
            <w:vMerge w:val="restart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Dôvod</w:t>
            </w:r>
          </w:p>
        </w:tc>
        <w:tc>
          <w:tcPr>
            <w:tcW w:w="3777" w:type="dxa"/>
            <w:gridSpan w:val="2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Hodnota</w:t>
            </w:r>
          </w:p>
        </w:tc>
      </w:tr>
      <w:tr>
        <w:trPr>
          <w:trHeight w:val="318" w:hRule="atLeast"/>
        </w:trPr>
        <w:tc>
          <w:tcPr>
            <w:tcW w:w="4439" w:type="dxa"/>
            <w:vMerge w:val="continue"/>
            <w:tcBorders>
              <w:top w:val="single" w:sz="12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000000" w:fill="FFFFFF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76" w:before="0" w:after="20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938" w:type="dxa"/>
            <w:vMerge w:val="continue"/>
            <w:tcBorders>
              <w:top w:val="single" w:sz="12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000000" w:fill="FFFFFF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76" w:before="0" w:after="20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710" w:type="dxa"/>
            <w:tcBorders>
              <w:top w:val="single" w:sz="12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BO</w:t>
            </w:r>
          </w:p>
        </w:tc>
        <w:tc>
          <w:tcPr>
            <w:tcW w:w="2067" w:type="dxa"/>
            <w:tcBorders>
              <w:top w:val="single" w:sz="12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PO</w:t>
            </w:r>
          </w:p>
        </w:tc>
      </w:tr>
      <w:tr>
        <w:trPr>
          <w:trHeight w:val="1192" w:hRule="atLeast"/>
        </w:trPr>
        <w:tc>
          <w:tcPr>
            <w:tcW w:w="4439" w:type="dxa"/>
            <w:tcBorders>
              <w:top w:val="single" w:sz="18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38" w:type="dxa"/>
            <w:tcBorders>
              <w:top w:val="single" w:sz="1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710" w:type="dxa"/>
            <w:tcBorders>
              <w:top w:val="single" w:sz="1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067" w:type="dxa"/>
            <w:tcBorders>
              <w:top w:val="single" w:sz="1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635" w:hRule="atLeast"/>
        </w:trPr>
        <w:tc>
          <w:tcPr>
            <w:tcW w:w="4439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Zmena výšky rezerv a opravných položiek, o ktorých sa účtovná jednotka dozvedela v hore uvedenom období</w:t>
            </w:r>
          </w:p>
        </w:tc>
        <w:tc>
          <w:tcPr>
            <w:tcW w:w="1938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710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067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278" w:hRule="atLeast"/>
        </w:trPr>
        <w:tc>
          <w:tcPr>
            <w:tcW w:w="4439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Zmena spoločníkov účtovnej jednotky</w:t>
            </w:r>
          </w:p>
        </w:tc>
        <w:tc>
          <w:tcPr>
            <w:tcW w:w="1938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710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067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566" w:hRule="atLeast"/>
        </w:trPr>
        <w:tc>
          <w:tcPr>
            <w:tcW w:w="4439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Prijatie rozhodnutia o predaji účtovnej jednotky, alebo jej časti</w:t>
            </w:r>
          </w:p>
        </w:tc>
        <w:tc>
          <w:tcPr>
            <w:tcW w:w="1938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710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067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546" w:hRule="atLeast"/>
        </w:trPr>
        <w:tc>
          <w:tcPr>
            <w:tcW w:w="4439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Zmeny významných položiek dlhodobého finančného majetku</w:t>
            </w:r>
          </w:p>
        </w:tc>
        <w:tc>
          <w:tcPr>
            <w:tcW w:w="1938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710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067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600" w:hRule="atLeast"/>
        </w:trPr>
        <w:tc>
          <w:tcPr>
            <w:tcW w:w="4439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Začatie alebo ukončenie činnosti časti účtovnej jednotky (napr. prevádzkarne)</w:t>
            </w:r>
          </w:p>
        </w:tc>
        <w:tc>
          <w:tcPr>
            <w:tcW w:w="1938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710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067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236" w:hRule="atLeast"/>
        </w:trPr>
        <w:tc>
          <w:tcPr>
            <w:tcW w:w="4439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Vydanie dlhopisov a iných cenných papierov</w:t>
            </w:r>
          </w:p>
        </w:tc>
        <w:tc>
          <w:tcPr>
            <w:tcW w:w="1938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710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067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538" w:hRule="atLeast"/>
        </w:trPr>
        <w:tc>
          <w:tcPr>
            <w:tcW w:w="4439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Zlúčenie, splynutie, rozdelenie a zmena právnej formy</w:t>
            </w:r>
          </w:p>
        </w:tc>
        <w:tc>
          <w:tcPr>
            <w:tcW w:w="1938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710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067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559" w:hRule="atLeast"/>
        </w:trPr>
        <w:tc>
          <w:tcPr>
            <w:tcW w:w="4439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Mimoriadne udalosti (napr. živelné pohromy)</w:t>
            </w:r>
          </w:p>
        </w:tc>
        <w:tc>
          <w:tcPr>
            <w:tcW w:w="1938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710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067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425" w:hRule="atLeast"/>
        </w:trPr>
        <w:tc>
          <w:tcPr>
            <w:tcW w:w="4439" w:type="dxa"/>
            <w:tcBorders>
              <w:top w:val="single" w:sz="6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Získanie, alebo odobratie licencie alebo iného povolenia významného pre činnosť</w:t>
            </w:r>
          </w:p>
        </w:tc>
        <w:tc>
          <w:tcPr>
            <w:tcW w:w="1938" w:type="dxa"/>
            <w:tcBorders>
              <w:top w:val="single" w:sz="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710" w:type="dxa"/>
            <w:tcBorders>
              <w:top w:val="single" w:sz="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2067" w:type="dxa"/>
            <w:tcBorders>
              <w:top w:val="single" w:sz="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right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</w:tbl>
    <w:p>
      <w:pPr>
        <w:pStyle w:val="Normal"/>
        <w:spacing w:lineRule="exact" w:line="240" w:before="240" w:after="160"/>
        <w:jc w:val="both"/>
        <w:rPr>
          <w:rFonts w:ascii="Times New Roman" w:hAnsi="Times New Roman" w:cs="Times New Roman"/>
          <w:b/>
          <w:b/>
          <w:sz w:val="22"/>
          <w:highlight w:val="white"/>
        </w:rPr>
      </w:pPr>
      <w:r>
        <w:rPr>
          <w:rFonts w:cs="Times New Roman" w:ascii="Times New Roman" w:hAnsi="Times New Roman"/>
          <w:b/>
          <w:sz w:val="22"/>
          <w:highlight w:val="white"/>
        </w:rPr>
      </w:r>
    </w:p>
    <w:p>
      <w:pPr>
        <w:pStyle w:val="Normal"/>
        <w:spacing w:lineRule="exact" w:line="240" w:before="240" w:after="160"/>
        <w:jc w:val="both"/>
        <w:rPr>
          <w:rFonts w:ascii="Times New Roman" w:hAnsi="Times New Roman" w:cs="Times New Roman"/>
          <w:b/>
          <w:b/>
          <w:sz w:val="22"/>
          <w:highlight w:val="white"/>
        </w:rPr>
      </w:pPr>
      <w:r>
        <w:rPr/>
      </w:r>
    </w:p>
    <w:p>
      <w:pPr>
        <w:pStyle w:val="Normal"/>
        <w:spacing w:lineRule="exact" w:line="240" w:before="240" w:after="160"/>
        <w:jc w:val="both"/>
        <w:rPr/>
      </w:pPr>
      <w:r>
        <w:rPr>
          <w:rFonts w:cs="Times New Roman" w:ascii="Times New Roman" w:hAnsi="Times New Roman"/>
          <w:b/>
          <w:sz w:val="22"/>
          <w:shd w:fill="FFFFFF" w:val="clear"/>
        </w:rPr>
        <w:t>Ďalšie dôležité informácie o skutočnostiach, ktoré nastali po dni, ku ktorému sa zostavuje účtovná závierka do dňa zostavenia účtovnej závierky:</w:t>
      </w:r>
    </w:p>
    <w:p>
      <w:pPr>
        <w:pStyle w:val="Normal"/>
        <w:spacing w:lineRule="exact" w:line="240" w:before="240" w:after="160"/>
        <w:jc w:val="both"/>
        <w:rPr>
          <w:rFonts w:ascii="Times New Roman" w:hAnsi="Times New Roman" w:cs="Times New Roman"/>
          <w:b/>
          <w:b/>
          <w:sz w:val="22"/>
          <w:highlight w:val="white"/>
        </w:rPr>
      </w:pPr>
      <w:r>
        <w:rPr/>
      </w:r>
    </w:p>
    <w:p>
      <w:pPr>
        <w:pStyle w:val="Normal"/>
        <w:spacing w:lineRule="exact" w:line="240" w:before="0" w:after="160"/>
        <w:ind w:left="993" w:hanging="993"/>
        <w:rPr>
          <w:rFonts w:ascii="Times New Roman" w:hAnsi="Times New Roman" w:cs="Times New Roman"/>
          <w:b/>
          <w:b/>
          <w:color w:val="5B9BD5"/>
          <w:sz w:val="22"/>
          <w:highlight w:val="white"/>
        </w:rPr>
      </w:pPr>
      <w:r>
        <w:rPr>
          <w:rFonts w:cs="Times New Roman" w:ascii="Times New Roman" w:hAnsi="Times New Roman"/>
          <w:b/>
          <w:color w:val="5B9BD5"/>
          <w:sz w:val="22"/>
          <w:shd w:fill="FFFFFF" w:val="clear"/>
        </w:rPr>
        <w:t>Čl. VII</w:t>
        <w:tab/>
        <w:t> Ostatné informácie</w:t>
      </w:r>
    </w:p>
    <w:p>
      <w:pPr>
        <w:pStyle w:val="Normal"/>
        <w:spacing w:lineRule="exact" w:line="240"/>
        <w:ind w:left="993" w:hanging="993"/>
        <w:jc w:val="both"/>
        <w:rPr>
          <w:rFonts w:ascii="Times New Roman" w:hAnsi="Times New Roman" w:cs="Times New Roman"/>
          <w:b/>
          <w:b/>
          <w:sz w:val="22"/>
          <w:highlight w:val="white"/>
        </w:rPr>
      </w:pPr>
      <w:r>
        <w:rPr>
          <w:rFonts w:cs="Times New Roman" w:ascii="Times New Roman" w:hAnsi="Times New Roman"/>
          <w:b/>
          <w:sz w:val="22"/>
          <w:shd w:fill="FFFFFF" w:val="clear"/>
        </w:rPr>
        <w:t xml:space="preserve">VII. 1 </w:t>
        <w:tab/>
        <w:t xml:space="preserve"> Informácie o výlučných právach alebo osobitných právach udelených účtovnej</w:t>
      </w:r>
    </w:p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b/>
          <w:b/>
          <w:sz w:val="22"/>
          <w:highlight w:val="white"/>
        </w:rPr>
      </w:pPr>
      <w:r>
        <w:rPr>
          <w:rFonts w:cs="Times New Roman" w:ascii="Times New Roman" w:hAnsi="Times New Roman"/>
          <w:b/>
          <w:sz w:val="22"/>
          <w:shd w:fill="FFFFFF" w:val="clear"/>
        </w:rPr>
        <w:t>a) – c)</w:t>
        <w:tab/>
        <w:t xml:space="preserve">      jednotke     </w:t>
      </w:r>
    </w:p>
    <w:p>
      <w:pPr>
        <w:pStyle w:val="Normal"/>
        <w:spacing w:lineRule="exact" w:line="240" w:before="240" w:after="160"/>
        <w:jc w:val="both"/>
        <w:rPr/>
      </w:pPr>
      <w:r>
        <w:rPr>
          <w:rFonts w:cs="Times New Roman" w:ascii="Times New Roman" w:hAnsi="Times New Roman"/>
          <w:b/>
          <w:sz w:val="22"/>
          <w:shd w:fill="FFFFFF" w:val="clear"/>
        </w:rPr>
        <w:t xml:space="preserve">Ďalšie informácie týkajúce sa údelných výlučných práv alebo osobitných práv, a práv poskytovať služby vo verejnom záujme </w:t>
      </w:r>
      <w:r>
        <w:rPr>
          <w:rFonts w:cs="Times New Roman" w:ascii="Times New Roman" w:hAnsi="Times New Roman"/>
          <w:sz w:val="22"/>
          <w:shd w:fill="FFFFFF" w:val="clear"/>
        </w:rPr>
        <w:t>(formy prijatej náhrady, účtovné zásady použité pri prideľovaní nákladov a výnosov, všetky druhy činností účtovnej jednotky):</w:t>
      </w:r>
    </w:p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b/>
          <w:b/>
          <w:shd w:fill="FFFFFF" w:val="clear"/>
        </w:rPr>
      </w:pPr>
      <w:r>
        <w:rPr>
          <w:rFonts w:cs="Times New Roman" w:ascii="Times New Roman" w:hAnsi="Times New Roman"/>
          <w:b/>
          <w:shd w:fill="FFFFFF" w:val="clear"/>
        </w:rPr>
      </w:r>
    </w:p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b/>
          <w:b/>
          <w:shd w:fill="FFFFFF" w:val="clear"/>
        </w:rPr>
      </w:pPr>
      <w:r>
        <w:rPr>
          <w:rFonts w:cs="Times New Roman" w:ascii="Times New Roman" w:hAnsi="Times New Roman"/>
          <w:b/>
          <w:shd w:fill="FFFFFF" w:val="clear"/>
        </w:rPr>
      </w:r>
    </w:p>
    <w:p>
      <w:pPr>
        <w:pStyle w:val="Normal"/>
        <w:spacing w:lineRule="exact" w:line="240" w:before="0" w:after="160"/>
        <w:ind w:left="993" w:hanging="993"/>
        <w:jc w:val="both"/>
        <w:rPr>
          <w:rFonts w:ascii="Times New Roman" w:hAnsi="Times New Roman" w:cs="Times New Roman"/>
          <w:b/>
          <w:b/>
          <w:highlight w:val="white"/>
        </w:rPr>
      </w:pPr>
      <w:r>
        <w:rPr>
          <w:rFonts w:cs="Times New Roman" w:ascii="Times New Roman" w:hAnsi="Times New Roman"/>
          <w:b/>
          <w:sz w:val="22"/>
          <w:shd w:fill="FFFFFF" w:val="clear"/>
        </w:rPr>
        <w:t xml:space="preserve">VII. 2 a) </w:t>
        <w:tab/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jc w:val="left"/>
        <w:tblInd w:w="-148" w:type="dxa"/>
        <w:tblBorders>
          <w:top w:val="single" w:sz="18" w:space="0" w:color="000001"/>
          <w:left w:val="single" w:sz="18" w:space="0" w:color="000001"/>
          <w:bottom w:val="single" w:sz="12" w:space="0" w:color="000001"/>
          <w:right w:val="single" w:sz="12" w:space="0" w:color="000001"/>
          <w:insideH w:val="single" w:sz="12" w:space="0" w:color="000001"/>
          <w:insideV w:val="single" w:sz="12" w:space="0" w:color="000001"/>
        </w:tblBorders>
        <w:tblCellMar>
          <w:top w:w="0" w:type="dxa"/>
          <w:left w:w="-22" w:type="dxa"/>
          <w:bottom w:w="0" w:type="dxa"/>
          <w:right w:w="70" w:type="dxa"/>
        </w:tblCellMar>
        <w:tblLook w:val="0000"/>
      </w:tblPr>
      <w:tblGrid>
        <w:gridCol w:w="1956"/>
        <w:gridCol w:w="1715"/>
        <w:gridCol w:w="1984"/>
        <w:gridCol w:w="1701"/>
        <w:gridCol w:w="1985"/>
      </w:tblGrid>
      <w:tr>
        <w:trPr>
          <w:trHeight w:val="504" w:hRule="atLeast"/>
        </w:trPr>
        <w:tc>
          <w:tcPr>
            <w:tcW w:w="1956" w:type="dxa"/>
            <w:vMerge w:val="restart"/>
            <w:tcBorders>
              <w:top w:val="single" w:sz="18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Informácie o</w:t>
            </w:r>
          </w:p>
        </w:tc>
        <w:tc>
          <w:tcPr>
            <w:tcW w:w="3699" w:type="dxa"/>
            <w:gridSpan w:val="2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Bezprostredne predchádzajúce účtovné obdobie</w:t>
            </w:r>
          </w:p>
        </w:tc>
      </w:tr>
      <w:tr>
        <w:trPr>
          <w:trHeight w:val="256" w:hRule="atLeast"/>
        </w:trPr>
        <w:tc>
          <w:tcPr>
            <w:tcW w:w="1956" w:type="dxa"/>
            <w:vMerge w:val="continue"/>
            <w:tcBorders>
              <w:top w:val="single" w:sz="12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000000" w:fill="FFFFFF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76" w:before="0" w:after="20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3699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Vlastníctvo pripadajúce na:</w:t>
            </w:r>
          </w:p>
        </w:tc>
      </w:tr>
      <w:tr>
        <w:trPr>
          <w:trHeight w:val="1110" w:hRule="atLeast"/>
        </w:trPr>
        <w:tc>
          <w:tcPr>
            <w:tcW w:w="1956" w:type="dxa"/>
            <w:vMerge w:val="continue"/>
            <w:tcBorders>
              <w:top w:val="single" w:sz="12" w:space="0" w:color="000001"/>
              <w:left w:val="single" w:sz="18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76" w:before="0" w:after="20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171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8" w:space="0" w:color="000001"/>
              <w:insideH w:val="single" w:sz="6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iné osoby, v ktorých má orgán verejnej moci väčšinový podiel na hlasovacích právach</w:t>
            </w:r>
          </w:p>
        </w:tc>
      </w:tr>
      <w:tr>
        <w:trPr>
          <w:trHeight w:val="64" w:hRule="atLeast"/>
        </w:trPr>
        <w:tc>
          <w:tcPr>
            <w:tcW w:w="1956" w:type="dxa"/>
            <w:tcBorders>
              <w:top w:val="single" w:sz="6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sz w:val="22"/>
                <w:shd w:fill="FFFFFF" w:val="clear"/>
              </w:rPr>
              <w:t>a</w:t>
            </w:r>
          </w:p>
        </w:tc>
        <w:tc>
          <w:tcPr>
            <w:tcW w:w="1715" w:type="dxa"/>
            <w:tcBorders>
              <w:top w:val="single" w:sz="6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sz w:val="22"/>
                <w:shd w:fill="FFFFFF" w:val="clear"/>
              </w:rPr>
              <w:t>b</w:t>
            </w:r>
          </w:p>
        </w:tc>
        <w:tc>
          <w:tcPr>
            <w:tcW w:w="1984" w:type="dxa"/>
            <w:tcBorders>
              <w:top w:val="single" w:sz="6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sz w:val="22"/>
                <w:shd w:fill="FFFFFF" w:val="clear"/>
              </w:rPr>
              <w:t>c</w:t>
            </w:r>
          </w:p>
        </w:tc>
        <w:tc>
          <w:tcPr>
            <w:tcW w:w="1701" w:type="dxa"/>
            <w:tcBorders>
              <w:top w:val="single" w:sz="6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sz w:val="22"/>
                <w:shd w:fill="FFFFFF" w:val="clear"/>
              </w:rPr>
              <w:t>d</w:t>
            </w:r>
          </w:p>
        </w:tc>
        <w:tc>
          <w:tcPr>
            <w:tcW w:w="1985" w:type="dxa"/>
            <w:tcBorders>
              <w:top w:val="single" w:sz="6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sz w:val="22"/>
                <w:shd w:fill="FFFFFF" w:val="clear"/>
              </w:rPr>
              <w:t>e</w:t>
            </w:r>
          </w:p>
        </w:tc>
      </w:tr>
      <w:tr>
        <w:trPr>
          <w:trHeight w:val="330" w:hRule="atLeast"/>
        </w:trPr>
        <w:tc>
          <w:tcPr>
            <w:tcW w:w="1956" w:type="dxa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hd w:fill="FFFFFF" w:val="clear"/>
              </w:rPr>
              <w:t>Výška ZI</w:t>
            </w:r>
          </w:p>
        </w:tc>
        <w:tc>
          <w:tcPr>
            <w:tcW w:w="1715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984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985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1956" w:type="dxa"/>
            <w:tcBorders>
              <w:top w:val="single" w:sz="18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Druh akcií</w:t>
            </w:r>
          </w:p>
        </w:tc>
        <w:tc>
          <w:tcPr>
            <w:tcW w:w="1715" w:type="dxa"/>
            <w:tcBorders>
              <w:top w:val="single" w:sz="1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984" w:type="dxa"/>
            <w:tcBorders>
              <w:top w:val="single" w:sz="1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985" w:type="dxa"/>
            <w:tcBorders>
              <w:top w:val="single" w:sz="18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870" w:hRule="atLeast"/>
        </w:trPr>
        <w:tc>
          <w:tcPr>
            <w:tcW w:w="1956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 xml:space="preserve">Opis práv a povinností s nimi spojených </w:t>
            </w:r>
          </w:p>
        </w:tc>
        <w:tc>
          <w:tcPr>
            <w:tcW w:w="171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572" w:hRule="atLeast"/>
        </w:trPr>
        <w:tc>
          <w:tcPr>
            <w:tcW w:w="1956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Percentuálny podiel na celkovom ZI alebo hodnote</w:t>
            </w:r>
          </w:p>
        </w:tc>
        <w:tc>
          <w:tcPr>
            <w:tcW w:w="171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508" w:hRule="atLeast"/>
        </w:trPr>
        <w:tc>
          <w:tcPr>
            <w:tcW w:w="1956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Percentuálna výška podielu na ZI</w:t>
            </w:r>
          </w:p>
        </w:tc>
        <w:tc>
          <w:tcPr>
            <w:tcW w:w="171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927" w:hRule="atLeast"/>
        </w:trPr>
        <w:tc>
          <w:tcPr>
            <w:tcW w:w="1956" w:type="dxa"/>
            <w:tcBorders>
              <w:top w:val="single" w:sz="4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Hlasovacie práva spojené s vlastníctvom podielov</w:t>
            </w:r>
          </w:p>
        </w:tc>
        <w:tc>
          <w:tcPr>
            <w:tcW w:w="171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272" w:hRule="atLeast"/>
        </w:trPr>
        <w:tc>
          <w:tcPr>
            <w:tcW w:w="1956" w:type="dxa"/>
            <w:tcBorders>
              <w:top w:val="single" w:sz="12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Druh akcií</w:t>
            </w:r>
          </w:p>
        </w:tc>
        <w:tc>
          <w:tcPr>
            <w:tcW w:w="171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98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70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98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870" w:hRule="atLeast"/>
        </w:trPr>
        <w:tc>
          <w:tcPr>
            <w:tcW w:w="1956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 xml:space="preserve">Opis práv a povinností s nimi spojených </w:t>
            </w:r>
          </w:p>
        </w:tc>
        <w:tc>
          <w:tcPr>
            <w:tcW w:w="171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694" w:hRule="atLeast"/>
        </w:trPr>
        <w:tc>
          <w:tcPr>
            <w:tcW w:w="1956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Percentuálny podiel na celkovom ZI alebo hodnote</w:t>
            </w:r>
          </w:p>
        </w:tc>
        <w:tc>
          <w:tcPr>
            <w:tcW w:w="171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506" w:hRule="atLeast"/>
        </w:trPr>
        <w:tc>
          <w:tcPr>
            <w:tcW w:w="1956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Percentuálna výška podielu na ZI</w:t>
            </w:r>
          </w:p>
        </w:tc>
        <w:tc>
          <w:tcPr>
            <w:tcW w:w="171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941" w:hRule="atLeast"/>
        </w:trPr>
        <w:tc>
          <w:tcPr>
            <w:tcW w:w="1956" w:type="dxa"/>
            <w:tcBorders>
              <w:top w:val="single" w:sz="4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Hlasovacie práva spojené s vlastníctvom podielov</w:t>
            </w:r>
          </w:p>
        </w:tc>
        <w:tc>
          <w:tcPr>
            <w:tcW w:w="171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170" w:hRule="atLeast"/>
        </w:trPr>
        <w:tc>
          <w:tcPr>
            <w:tcW w:w="1956" w:type="dxa"/>
            <w:tcBorders>
              <w:top w:val="single" w:sz="12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Druh akcií</w:t>
            </w:r>
          </w:p>
        </w:tc>
        <w:tc>
          <w:tcPr>
            <w:tcW w:w="171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98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70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98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633" w:hRule="atLeast"/>
        </w:trPr>
        <w:tc>
          <w:tcPr>
            <w:tcW w:w="1956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 xml:space="preserve">Opis práv a povinností s nimi spojených </w:t>
            </w:r>
          </w:p>
        </w:tc>
        <w:tc>
          <w:tcPr>
            <w:tcW w:w="171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701" w:hRule="atLeast"/>
        </w:trPr>
        <w:tc>
          <w:tcPr>
            <w:tcW w:w="1956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Percentuálny podiel na celkovom ZI alebo hodnote</w:t>
            </w:r>
          </w:p>
        </w:tc>
        <w:tc>
          <w:tcPr>
            <w:tcW w:w="171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372" w:hRule="atLeast"/>
        </w:trPr>
        <w:tc>
          <w:tcPr>
            <w:tcW w:w="1956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Percentuálna výška podielu na ZI</w:t>
            </w:r>
          </w:p>
        </w:tc>
        <w:tc>
          <w:tcPr>
            <w:tcW w:w="171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  <w:tr>
        <w:trPr>
          <w:trHeight w:val="833" w:hRule="atLeast"/>
        </w:trPr>
        <w:tc>
          <w:tcPr>
            <w:tcW w:w="1956" w:type="dxa"/>
            <w:tcBorders>
              <w:top w:val="single" w:sz="4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Hlasovacie práva spojené s vlastníctvom podielov</w:t>
            </w:r>
          </w:p>
        </w:tc>
        <w:tc>
          <w:tcPr>
            <w:tcW w:w="1715" w:type="dxa"/>
            <w:tcBorders>
              <w:top w:val="single" w:sz="4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2F75B5"/>
                <w:sz w:val="22"/>
                <w:shd w:fill="FFFFFF" w:val="clear"/>
              </w:rPr>
              <w:t> </w:t>
            </w:r>
          </w:p>
        </w:tc>
      </w:tr>
    </w:tbl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b/>
          <w:b/>
          <w:sz w:val="22"/>
          <w:shd w:fill="FFFFFF" w:val="clear"/>
        </w:rPr>
      </w:pPr>
      <w:r>
        <w:rPr>
          <w:rFonts w:cs="Times New Roman" w:ascii="Times New Roman" w:hAnsi="Times New Roman"/>
          <w:b/>
          <w:sz w:val="22"/>
          <w:shd w:fill="FFFFFF" w:val="clear"/>
        </w:rPr>
      </w:r>
    </w:p>
    <w:p>
      <w:pPr>
        <w:pStyle w:val="Normal"/>
        <w:spacing w:lineRule="exact" w:line="240"/>
        <w:ind w:left="993" w:hanging="993"/>
        <w:jc w:val="both"/>
        <w:rPr>
          <w:rFonts w:ascii="Times New Roman" w:hAnsi="Times New Roman" w:cs="Times New Roman"/>
          <w:b/>
          <w:b/>
          <w:sz w:val="22"/>
          <w:highlight w:val="white"/>
        </w:rPr>
      </w:pPr>
      <w:r>
        <w:rPr>
          <w:rFonts w:cs="Times New Roman" w:ascii="Times New Roman" w:hAnsi="Times New Roman"/>
          <w:b/>
          <w:sz w:val="22"/>
          <w:shd w:fill="FFFFFF" w:val="clear"/>
        </w:rPr>
        <w:t xml:space="preserve">VII. 2 </w:t>
        <w:tab/>
        <w:t xml:space="preserve">Informácie týkajúce sa účtovnej jednotky, na ktorú sa vzťahuje § 23d ods. 6 ZoÚ, jej </w:t>
      </w:r>
    </w:p>
    <w:p>
      <w:pPr>
        <w:pStyle w:val="Normal"/>
        <w:spacing w:lineRule="exact" w:line="240" w:before="0" w:after="160"/>
        <w:ind w:left="993" w:hanging="993"/>
        <w:jc w:val="both"/>
        <w:rPr>
          <w:rFonts w:ascii="Times New Roman" w:hAnsi="Times New Roman" w:cs="Times New Roman"/>
          <w:b/>
          <w:b/>
          <w:sz w:val="22"/>
          <w:highlight w:val="white"/>
        </w:rPr>
      </w:pPr>
      <w:r>
        <w:rPr>
          <w:rFonts w:cs="Times New Roman" w:ascii="Times New Roman" w:hAnsi="Times New Roman"/>
          <w:b/>
          <w:sz w:val="22"/>
          <w:shd w:fill="FFFFFF" w:val="clear"/>
        </w:rPr>
        <w:t>b) - g)      činnosť je zaradená do kategórie priemyslenej výroby a jej čistý obrat za bezprostredne predchádzajúce účtovné obdobie bol väčší ako 250 000 000 €</w:t>
      </w:r>
    </w:p>
    <w:tbl>
      <w:tblPr>
        <w:tblW w:w="9333" w:type="dxa"/>
        <w:jc w:val="left"/>
        <w:tblInd w:w="-148" w:type="dxa"/>
        <w:tblBorders>
          <w:top w:val="single" w:sz="18" w:space="0" w:color="000001"/>
          <w:left w:val="single" w:sz="18" w:space="0" w:color="000001"/>
          <w:bottom w:val="single" w:sz="6" w:space="0" w:color="000001"/>
          <w:right w:val="single" w:sz="12" w:space="0" w:color="000001"/>
          <w:insideH w:val="single" w:sz="6" w:space="0" w:color="000001"/>
          <w:insideV w:val="single" w:sz="12" w:space="0" w:color="000001"/>
        </w:tblBorders>
        <w:tblCellMar>
          <w:top w:w="0" w:type="dxa"/>
          <w:left w:w="-22" w:type="dxa"/>
          <w:bottom w:w="0" w:type="dxa"/>
          <w:right w:w="70" w:type="dxa"/>
        </w:tblCellMar>
        <w:tblLook w:val="0000"/>
      </w:tblPr>
      <w:tblGrid>
        <w:gridCol w:w="4140"/>
        <w:gridCol w:w="2641"/>
        <w:gridCol w:w="2552"/>
      </w:tblGrid>
      <w:tr>
        <w:trPr>
          <w:trHeight w:val="330" w:hRule="atLeast"/>
        </w:trPr>
        <w:tc>
          <w:tcPr>
            <w:tcW w:w="4140" w:type="dxa"/>
            <w:vMerge w:val="restart"/>
            <w:tcBorders>
              <w:top w:val="single" w:sz="18" w:space="0" w:color="000001"/>
              <w:left w:val="single" w:sz="18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Suma</w:t>
            </w:r>
          </w:p>
        </w:tc>
      </w:tr>
      <w:tr>
        <w:trPr>
          <w:trHeight w:val="491" w:hRule="atLeast"/>
        </w:trPr>
        <w:tc>
          <w:tcPr>
            <w:tcW w:w="4140" w:type="dxa"/>
            <w:vMerge w:val="continue"/>
            <w:tcBorders>
              <w:top w:val="single" w:sz="12" w:space="0" w:color="000001"/>
              <w:left w:val="single" w:sz="18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76" w:before="0" w:after="20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264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8" w:space="0" w:color="000001"/>
              <w:insideH w:val="single" w:sz="6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4140" w:type="dxa"/>
            <w:tcBorders>
              <w:top w:val="single" w:sz="6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sz w:val="22"/>
                <w:shd w:fill="FFFFFF" w:val="clear"/>
              </w:rPr>
              <w:t>a</w:t>
            </w:r>
          </w:p>
        </w:tc>
        <w:tc>
          <w:tcPr>
            <w:tcW w:w="2641" w:type="dxa"/>
            <w:tcBorders>
              <w:top w:val="single" w:sz="6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sz w:val="22"/>
                <w:shd w:fill="FFFFFF" w:val="clear"/>
              </w:rPr>
              <w:t>b</w:t>
            </w:r>
          </w:p>
        </w:tc>
        <w:tc>
          <w:tcPr>
            <w:tcW w:w="2552" w:type="dxa"/>
            <w:tcBorders>
              <w:top w:val="single" w:sz="6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sz w:val="22"/>
                <w:shd w:fill="FFFFFF" w:val="clear"/>
              </w:rPr>
              <w:t>c</w:t>
            </w:r>
          </w:p>
        </w:tc>
      </w:tr>
      <w:tr>
        <w:trPr>
          <w:trHeight w:val="934" w:hRule="atLeast"/>
        </w:trPr>
        <w:tc>
          <w:tcPr>
            <w:tcW w:w="4140" w:type="dxa"/>
            <w:tcBorders>
              <w:top w:val="single" w:sz="18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sz w:val="22"/>
                <w:shd w:fill="FFFFFF" w:val="clear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sz w:val="22"/>
                <w:shd w:fill="FFFFFF" w:val="clear"/>
              </w:rPr>
              <w:t> </w:t>
            </w:r>
          </w:p>
        </w:tc>
      </w:tr>
      <w:tr>
        <w:trPr>
          <w:trHeight w:val="190" w:hRule="atLeast"/>
        </w:trPr>
        <w:tc>
          <w:tcPr>
            <w:tcW w:w="4140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sz w:val="22"/>
                <w:shd w:fill="FFFFFF" w:val="clear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sz w:val="22"/>
                <w:shd w:fill="FFFFFF" w:val="clear"/>
              </w:rPr>
              <w:t> </w:t>
            </w:r>
          </w:p>
        </w:tc>
      </w:tr>
      <w:tr>
        <w:trPr>
          <w:trHeight w:val="223" w:hRule="atLeast"/>
        </w:trPr>
        <w:tc>
          <w:tcPr>
            <w:tcW w:w="4140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sz w:val="22"/>
                <w:shd w:fill="FFFFFF" w:val="clear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sz w:val="22"/>
                <w:shd w:fill="FFFFFF" w:val="clear"/>
              </w:rPr>
              <w:t> </w:t>
            </w:r>
          </w:p>
        </w:tc>
      </w:tr>
      <w:tr>
        <w:trPr>
          <w:trHeight w:val="98" w:hRule="atLeast"/>
        </w:trPr>
        <w:tc>
          <w:tcPr>
            <w:tcW w:w="4140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sz w:val="22"/>
                <w:shd w:fill="FFFFFF" w:val="clear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sz w:val="22"/>
                <w:shd w:fill="FFFFFF" w:val="clear"/>
              </w:rPr>
              <w:t> </w:t>
            </w:r>
          </w:p>
        </w:tc>
      </w:tr>
      <w:tr>
        <w:trPr>
          <w:trHeight w:val="117" w:hRule="atLeast"/>
        </w:trPr>
        <w:tc>
          <w:tcPr>
            <w:tcW w:w="4140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sz w:val="22"/>
                <w:shd w:fill="FFFFFF" w:val="clear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sz w:val="22"/>
                <w:shd w:fill="FFFFFF" w:val="clear"/>
              </w:rPr>
              <w:t> </w:t>
            </w:r>
          </w:p>
        </w:tc>
      </w:tr>
      <w:tr>
        <w:trPr>
          <w:trHeight w:val="418" w:hRule="atLeast"/>
        </w:trPr>
        <w:tc>
          <w:tcPr>
            <w:tcW w:w="4140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sz w:val="22"/>
                <w:shd w:fill="FFFFFF" w:val="clear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sz w:val="22"/>
                <w:shd w:fill="FFFFFF" w:val="clear"/>
              </w:rPr>
              <w:t> </w:t>
            </w:r>
          </w:p>
        </w:tc>
      </w:tr>
      <w:tr>
        <w:trPr>
          <w:trHeight w:val="56" w:hRule="atLeast"/>
        </w:trPr>
        <w:tc>
          <w:tcPr>
            <w:tcW w:w="4140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sz w:val="22"/>
                <w:shd w:fill="FFFFFF" w:val="clear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sz w:val="22"/>
                <w:shd w:fill="FFFFFF" w:val="clear"/>
              </w:rPr>
              <w:t> </w:t>
            </w:r>
          </w:p>
        </w:tc>
      </w:tr>
      <w:tr>
        <w:trPr>
          <w:trHeight w:val="202" w:hRule="atLeast"/>
        </w:trPr>
        <w:tc>
          <w:tcPr>
            <w:tcW w:w="4140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sz w:val="22"/>
                <w:shd w:fill="FFFFFF" w:val="clear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sz w:val="22"/>
                <w:shd w:fill="FFFFFF" w:val="clear"/>
              </w:rPr>
              <w:t> </w:t>
            </w:r>
          </w:p>
        </w:tc>
      </w:tr>
      <w:tr>
        <w:trPr>
          <w:trHeight w:val="362" w:hRule="atLeast"/>
        </w:trPr>
        <w:tc>
          <w:tcPr>
            <w:tcW w:w="4140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sz w:val="22"/>
                <w:shd w:fill="FFFFFF" w:val="clear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sz w:val="22"/>
                <w:shd w:fill="FFFFFF" w:val="clear"/>
              </w:rPr>
              <w:t> </w:t>
            </w:r>
          </w:p>
        </w:tc>
      </w:tr>
      <w:tr>
        <w:trPr>
          <w:trHeight w:val="174" w:hRule="atLeast"/>
        </w:trPr>
        <w:tc>
          <w:tcPr>
            <w:tcW w:w="4140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sz w:val="22"/>
                <w:shd w:fill="FFFFFF" w:val="clear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sz w:val="22"/>
                <w:shd w:fill="FFFFFF" w:val="clear"/>
              </w:rPr>
              <w:t> </w:t>
            </w:r>
          </w:p>
        </w:tc>
      </w:tr>
      <w:tr>
        <w:trPr>
          <w:trHeight w:val="193" w:hRule="atLeast"/>
        </w:trPr>
        <w:tc>
          <w:tcPr>
            <w:tcW w:w="4140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sz w:val="22"/>
                <w:shd w:fill="FFFFFF" w:val="clear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sz w:val="22"/>
                <w:shd w:fill="FFFFFF" w:val="clear"/>
              </w:rPr>
              <w:t> </w:t>
            </w:r>
          </w:p>
        </w:tc>
      </w:tr>
      <w:tr>
        <w:trPr>
          <w:trHeight w:val="68" w:hRule="atLeast"/>
        </w:trPr>
        <w:tc>
          <w:tcPr>
            <w:tcW w:w="4140" w:type="dxa"/>
            <w:tcBorders>
              <w:top w:val="single" w:sz="4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sz w:val="22"/>
                <w:shd w:fill="FFFFFF" w:val="clear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sz w:val="22"/>
                <w:shd w:fill="FFFFFF" w:val="clear"/>
              </w:rPr>
              <w:t> </w:t>
            </w:r>
          </w:p>
        </w:tc>
      </w:tr>
    </w:tbl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b/>
          <w:b/>
          <w:shd w:fill="FFFFFF" w:val="clear"/>
        </w:rPr>
      </w:pPr>
      <w:r>
        <w:rPr>
          <w:rFonts w:cs="Times New Roman" w:ascii="Times New Roman" w:hAnsi="Times New Roman"/>
          <w:b/>
          <w:shd w:fill="FFFFFF" w:val="clear"/>
        </w:rPr>
      </w:r>
    </w:p>
    <w:p>
      <w:pPr>
        <w:pStyle w:val="Normal"/>
        <w:spacing w:lineRule="exact" w:line="240" w:before="0" w:after="160"/>
        <w:jc w:val="both"/>
        <w:rPr>
          <w:rFonts w:ascii="Times New Roman" w:hAnsi="Times New Roman" w:cs="Times New Roman"/>
          <w:b/>
          <w:b/>
          <w:shd w:fill="FFFFFF" w:val="clear"/>
        </w:rPr>
      </w:pPr>
      <w:r>
        <w:rPr>
          <w:rFonts w:cs="Times New Roman" w:ascii="Times New Roman" w:hAnsi="Times New Roman"/>
          <w:b/>
          <w:shd w:fill="FFFFFF" w:val="clear"/>
        </w:rPr>
      </w:r>
    </w:p>
    <w:p>
      <w:pPr>
        <w:pStyle w:val="Normal"/>
        <w:spacing w:lineRule="exact" w:line="240" w:before="0" w:after="160"/>
        <w:ind w:hanging="0"/>
        <w:jc w:val="both"/>
        <w:rPr/>
      </w:pPr>
      <w:r>
        <w:rPr>
          <w:rFonts w:cs="Times New Roman" w:ascii="Times New Roman" w:hAnsi="Times New Roman"/>
          <w:b/>
          <w:sz w:val="22"/>
          <w:shd w:fill="FFFFFF" w:val="clear"/>
        </w:rPr>
        <w:t xml:space="preserve">VII. 3 </w:t>
        <w:tab/>
        <w:t>Informácie týkajúce sa účtovnej jednotky, na ktorú sa vzťahuje § 23d ods. 6 ZoÚ, jej činnosť je zaradená do kategórie priemyse</w:t>
      </w:r>
      <w:r>
        <w:rPr>
          <w:rFonts w:cs="Times New Roman" w:ascii="Times New Roman" w:hAnsi="Times New Roman"/>
          <w:b/>
          <w:sz w:val="22"/>
          <w:shd w:fill="FFFFFF" w:val="clear"/>
        </w:rPr>
        <w:t>l</w:t>
      </w:r>
      <w:r>
        <w:rPr>
          <w:rFonts w:cs="Times New Roman" w:ascii="Times New Roman" w:hAnsi="Times New Roman"/>
          <w:b/>
          <w:sz w:val="22"/>
          <w:shd w:fill="FFFFFF" w:val="clear"/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jc w:val="left"/>
        <w:tblInd w:w="-148" w:type="dxa"/>
        <w:tblBorders>
          <w:top w:val="single" w:sz="18" w:space="0" w:color="000001"/>
          <w:left w:val="single" w:sz="18" w:space="0" w:color="000001"/>
          <w:bottom w:val="single" w:sz="12" w:space="0" w:color="000001"/>
          <w:right w:val="single" w:sz="12" w:space="0" w:color="000001"/>
          <w:insideH w:val="single" w:sz="12" w:space="0" w:color="000001"/>
          <w:insideV w:val="single" w:sz="12" w:space="0" w:color="000001"/>
        </w:tblBorders>
        <w:tblCellMar>
          <w:top w:w="0" w:type="dxa"/>
          <w:left w:w="-22" w:type="dxa"/>
          <w:bottom w:w="0" w:type="dxa"/>
          <w:right w:w="70" w:type="dxa"/>
        </w:tblCellMar>
        <w:tblLook w:val="0000"/>
      </w:tblPr>
      <w:tblGrid>
        <w:gridCol w:w="4138"/>
        <w:gridCol w:w="2509"/>
        <w:gridCol w:w="2694"/>
      </w:tblGrid>
      <w:tr>
        <w:trPr>
          <w:trHeight w:val="205" w:hRule="atLeast"/>
        </w:trPr>
        <w:tc>
          <w:tcPr>
            <w:tcW w:w="4138" w:type="dxa"/>
            <w:vMerge w:val="restart"/>
            <w:tcBorders>
              <w:top w:val="single" w:sz="18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Informácie o</w:t>
            </w:r>
          </w:p>
        </w:tc>
        <w:tc>
          <w:tcPr>
            <w:tcW w:w="5203" w:type="dxa"/>
            <w:gridSpan w:val="2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Suma</w:t>
            </w:r>
          </w:p>
        </w:tc>
      </w:tr>
      <w:tr>
        <w:trPr>
          <w:trHeight w:val="565" w:hRule="atLeast"/>
        </w:trPr>
        <w:tc>
          <w:tcPr>
            <w:tcW w:w="4138" w:type="dxa"/>
            <w:vMerge w:val="continue"/>
            <w:tcBorders>
              <w:top w:val="single" w:sz="12" w:space="0" w:color="000001"/>
              <w:left w:val="single" w:sz="18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000000" w:fill="FFFFFF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76" w:before="0" w:after="200"/>
              <w:rPr>
                <w:rFonts w:ascii="Calibri" w:hAnsi="Calibri" w:eastAsia="Times New Roman" w:cs="Calibri"/>
                <w:sz w:val="22"/>
                <w:shd w:fill="FFFFFF" w:val="clear"/>
              </w:rPr>
            </w:pPr>
            <w:r>
              <w:rPr>
                <w:rFonts w:eastAsia="Times New Roman" w:cs="Calibri" w:ascii="Calibri" w:hAnsi="Calibri"/>
                <w:sz w:val="22"/>
                <w:shd w:fill="FFFFFF" w:val="clear"/>
              </w:rPr>
            </w:r>
          </w:p>
        </w:tc>
        <w:tc>
          <w:tcPr>
            <w:tcW w:w="250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Bežné účtovné obdobie</w:t>
            </w:r>
          </w:p>
        </w:tc>
        <w:tc>
          <w:tcPr>
            <w:tcW w:w="269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8" w:space="0" w:color="000001"/>
              <w:insideH w:val="single" w:sz="6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b/>
                <w:sz w:val="22"/>
                <w:shd w:fill="FFFFFF" w:val="clear"/>
              </w:rPr>
              <w:t>Bezprostredne predchádzajúce účtovné obdobie</w:t>
            </w:r>
          </w:p>
        </w:tc>
      </w:tr>
      <w:tr>
        <w:trPr>
          <w:trHeight w:val="82" w:hRule="atLeast"/>
        </w:trPr>
        <w:tc>
          <w:tcPr>
            <w:tcW w:w="4138" w:type="dxa"/>
            <w:tcBorders>
              <w:top w:val="single" w:sz="6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sz w:val="22"/>
                <w:shd w:fill="FFFFFF" w:val="clear"/>
              </w:rPr>
              <w:t>a</w:t>
            </w:r>
          </w:p>
        </w:tc>
        <w:tc>
          <w:tcPr>
            <w:tcW w:w="2509" w:type="dxa"/>
            <w:tcBorders>
              <w:top w:val="single" w:sz="6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sz w:val="22"/>
                <w:shd w:fill="FFFFFF" w:val="clear"/>
              </w:rPr>
              <w:t>b</w:t>
            </w:r>
          </w:p>
        </w:tc>
        <w:tc>
          <w:tcPr>
            <w:tcW w:w="2694" w:type="dxa"/>
            <w:tcBorders>
              <w:top w:val="single" w:sz="6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sz w:val="22"/>
                <w:shd w:fill="FFFFFF" w:val="clear"/>
              </w:rPr>
              <w:t>c</w:t>
            </w:r>
          </w:p>
        </w:tc>
      </w:tr>
      <w:tr>
        <w:trPr>
          <w:trHeight w:val="281" w:hRule="atLeast"/>
        </w:trPr>
        <w:tc>
          <w:tcPr>
            <w:tcW w:w="4138" w:type="dxa"/>
            <w:tcBorders>
              <w:top w:val="single" w:sz="18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 xml:space="preserve">Náhrady strát z hospodárskej činnosti </w:t>
            </w:r>
          </w:p>
        </w:tc>
        <w:tc>
          <w:tcPr>
            <w:tcW w:w="2509" w:type="dxa"/>
            <w:tcBorders>
              <w:top w:val="single" w:sz="1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sz w:val="22"/>
                <w:shd w:fill="FFFFFF" w:val="clear"/>
              </w:rPr>
              <w:t> </w:t>
            </w:r>
          </w:p>
        </w:tc>
        <w:tc>
          <w:tcPr>
            <w:tcW w:w="2694" w:type="dxa"/>
            <w:tcBorders>
              <w:top w:val="single" w:sz="18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sz w:val="22"/>
                <w:shd w:fill="FFFFFF" w:val="clear"/>
              </w:rPr>
              <w:t> </w:t>
            </w:r>
          </w:p>
        </w:tc>
      </w:tr>
      <w:tr>
        <w:trPr>
          <w:trHeight w:val="278" w:hRule="atLeast"/>
        </w:trPr>
        <w:tc>
          <w:tcPr>
            <w:tcW w:w="4138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Peňažné vklady</w:t>
            </w:r>
          </w:p>
        </w:tc>
        <w:tc>
          <w:tcPr>
            <w:tcW w:w="250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sz w:val="22"/>
                <w:shd w:fill="FFFFFF" w:val="clear"/>
              </w:rPr>
              <w:t> </w:t>
            </w:r>
          </w:p>
        </w:tc>
        <w:tc>
          <w:tcPr>
            <w:tcW w:w="26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sz w:val="22"/>
                <w:shd w:fill="FFFFFF" w:val="clear"/>
              </w:rPr>
              <w:t> </w:t>
            </w:r>
          </w:p>
        </w:tc>
      </w:tr>
      <w:tr>
        <w:trPr>
          <w:trHeight w:val="140" w:hRule="atLeast"/>
        </w:trPr>
        <w:tc>
          <w:tcPr>
            <w:tcW w:w="4138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Nepeňažné vklady</w:t>
            </w:r>
          </w:p>
        </w:tc>
        <w:tc>
          <w:tcPr>
            <w:tcW w:w="250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sz w:val="22"/>
                <w:shd w:fill="FFFFFF" w:val="clear"/>
              </w:rPr>
              <w:t> </w:t>
            </w:r>
          </w:p>
        </w:tc>
        <w:tc>
          <w:tcPr>
            <w:tcW w:w="26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sz w:val="22"/>
                <w:shd w:fill="FFFFFF" w:val="clear"/>
              </w:rPr>
              <w:t> </w:t>
            </w:r>
          </w:p>
        </w:tc>
      </w:tr>
      <w:tr>
        <w:trPr>
          <w:trHeight w:val="159" w:hRule="atLeast"/>
        </w:trPr>
        <w:tc>
          <w:tcPr>
            <w:tcW w:w="4138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Nenávratné finančné príspevky</w:t>
            </w:r>
          </w:p>
        </w:tc>
        <w:tc>
          <w:tcPr>
            <w:tcW w:w="250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sz w:val="22"/>
                <w:shd w:fill="FFFFFF" w:val="clear"/>
              </w:rPr>
              <w:t> </w:t>
            </w:r>
          </w:p>
        </w:tc>
        <w:tc>
          <w:tcPr>
            <w:tcW w:w="26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sz w:val="22"/>
                <w:shd w:fill="FFFFFF" w:val="clear"/>
              </w:rPr>
              <w:t> </w:t>
            </w:r>
          </w:p>
        </w:tc>
      </w:tr>
      <w:tr>
        <w:trPr>
          <w:trHeight w:val="176" w:hRule="atLeast"/>
        </w:trPr>
        <w:tc>
          <w:tcPr>
            <w:tcW w:w="4138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Pôžičky za zvýhodnených podmienok</w:t>
            </w:r>
          </w:p>
        </w:tc>
        <w:tc>
          <w:tcPr>
            <w:tcW w:w="250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sz w:val="22"/>
                <w:shd w:fill="FFFFFF" w:val="clear"/>
              </w:rPr>
              <w:t> </w:t>
            </w:r>
          </w:p>
        </w:tc>
        <w:tc>
          <w:tcPr>
            <w:tcW w:w="26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sz w:val="22"/>
                <w:shd w:fill="FFFFFF" w:val="clear"/>
              </w:rPr>
              <w:t> </w:t>
            </w:r>
          </w:p>
        </w:tc>
      </w:tr>
      <w:tr>
        <w:trPr>
          <w:trHeight w:val="336" w:hRule="atLeast"/>
        </w:trPr>
        <w:tc>
          <w:tcPr>
            <w:tcW w:w="4138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Finančné výhody (napr. nevymáhanie pohľadávky voči účtovnej jednotke)</w:t>
            </w:r>
          </w:p>
        </w:tc>
        <w:tc>
          <w:tcPr>
            <w:tcW w:w="250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sz w:val="22"/>
                <w:shd w:fill="FFFFFF" w:val="clear"/>
              </w:rPr>
              <w:t> </w:t>
            </w:r>
          </w:p>
        </w:tc>
        <w:tc>
          <w:tcPr>
            <w:tcW w:w="26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sz w:val="22"/>
                <w:shd w:fill="FFFFFF" w:val="clear"/>
              </w:rPr>
              <w:t> </w:t>
            </w:r>
          </w:p>
        </w:tc>
      </w:tr>
      <w:tr>
        <w:trPr>
          <w:trHeight w:val="103" w:hRule="atLeast"/>
        </w:trPr>
        <w:tc>
          <w:tcPr>
            <w:tcW w:w="4138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Vzdanie sa dividend alebo podielov na zisku</w:t>
            </w:r>
          </w:p>
        </w:tc>
        <w:tc>
          <w:tcPr>
            <w:tcW w:w="250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sz w:val="22"/>
                <w:shd w:fill="FFFFFF" w:val="clear"/>
              </w:rPr>
              <w:t> </w:t>
            </w:r>
          </w:p>
        </w:tc>
        <w:tc>
          <w:tcPr>
            <w:tcW w:w="26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  <w:insideH w:val="single" w:sz="4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sz w:val="22"/>
                <w:shd w:fill="FFFFFF" w:val="clear"/>
              </w:rPr>
              <w:t> </w:t>
            </w:r>
          </w:p>
        </w:tc>
      </w:tr>
      <w:tr>
        <w:trPr>
          <w:trHeight w:val="404" w:hRule="atLeast"/>
        </w:trPr>
        <w:tc>
          <w:tcPr>
            <w:tcW w:w="4138" w:type="dxa"/>
            <w:tcBorders>
              <w:top w:val="single" w:sz="4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exact" w:line="240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hd w:fill="FFFFFF" w:val="clear"/>
              </w:rPr>
              <w:t>Poskytnuté náhrady za finančné povinnosti uložené orgánom verejnej moci</w:t>
            </w:r>
          </w:p>
        </w:tc>
        <w:tc>
          <w:tcPr>
            <w:tcW w:w="2509" w:type="dxa"/>
            <w:tcBorders>
              <w:top w:val="single" w:sz="4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sz w:val="22"/>
                <w:shd w:fill="FFFFFF" w:val="clear"/>
              </w:rPr>
              <w:t> </w:t>
            </w:r>
          </w:p>
        </w:tc>
        <w:tc>
          <w:tcPr>
            <w:tcW w:w="2694" w:type="dxa"/>
            <w:tcBorders>
              <w:top w:val="single" w:sz="4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/>
              <w:jc w:val="center"/>
              <w:rPr>
                <w:sz w:val="22"/>
                <w:highlight w:val="white"/>
              </w:rPr>
            </w:pPr>
            <w:r>
              <w:rPr>
                <w:rFonts w:cs="Times New Roman" w:ascii="Times New Roman" w:hAnsi="Times New Roman"/>
                <w:sz w:val="22"/>
                <w:shd w:fill="FFFFFF" w:val="clear"/>
              </w:rPr>
              <w:t> </w:t>
            </w:r>
          </w:p>
        </w:tc>
      </w:tr>
    </w:tbl>
    <w:p>
      <w:pPr>
        <w:pStyle w:val="Normal"/>
        <w:tabs>
          <w:tab w:val="left" w:pos="3150" w:leader="none"/>
        </w:tabs>
        <w:spacing w:lineRule="exact" w:line="259" w:before="0" w:after="160"/>
        <w:rPr>
          <w:rFonts w:ascii="Times New Roman" w:hAnsi="Times New Roman" w:cs="Times New Roman"/>
          <w:shd w:fill="FFFFFF" w:val="clear"/>
        </w:rPr>
      </w:pPr>
      <w:r>
        <w:rPr>
          <w:rFonts w:cs="Times New Roman" w:ascii="Times New Roman" w:hAnsi="Times New Roman"/>
          <w:shd w:fill="FFFFFF" w:val="clear"/>
        </w:rPr>
      </w:r>
    </w:p>
    <w:p>
      <w:pPr>
        <w:pStyle w:val="Normal"/>
        <w:tabs>
          <w:tab w:val="left" w:pos="3150" w:leader="none"/>
        </w:tabs>
        <w:spacing w:lineRule="exact" w:line="259" w:before="0" w:after="160"/>
        <w:rPr/>
      </w:pPr>
      <w:r>
        <w:rPr/>
      </w:r>
    </w:p>
    <w:p>
      <w:pPr>
        <w:pStyle w:val="Normal"/>
        <w:tabs>
          <w:tab w:val="left" w:pos="3150" w:leader="none"/>
        </w:tabs>
        <w:spacing w:lineRule="exact" w:line="259" w:before="0" w:after="160"/>
        <w:rPr/>
      </w:pPr>
      <w:r>
        <w:rPr/>
      </w:r>
    </w:p>
    <w:p>
      <w:pPr>
        <w:pStyle w:val="Normal"/>
        <w:tabs>
          <w:tab w:val="left" w:pos="3150" w:leader="none"/>
        </w:tabs>
        <w:spacing w:lineRule="exact" w:line="259" w:before="0" w:after="160"/>
        <w:rPr/>
      </w:pPr>
      <w:r>
        <w:rPr>
          <w:color w:val="330099"/>
        </w:rPr>
        <w:t>V Bratislave, dňa: 30.06.2017</w:t>
      </w:r>
    </w:p>
    <w:sectPr>
      <w:type w:val="nextPage"/>
      <w:pgSz w:w="12240" w:h="15840"/>
      <w:pgMar w:left="1800" w:right="1800" w:header="0" w:top="1440" w:footer="0" w:bottom="1440" w:gutter="0"/>
      <w:pgNumType w:fmt="decimal"/>
      <w:formProt w:val="false"/>
      <w:textDirection w:val="lrTb"/>
      <w:docGrid w:type="default" w:linePitch="240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  <w:font w:name="Calibri">
    <w:charset w:val="ee"/>
    <w:family w:val="roman"/>
    <w:pitch w:val="variable"/>
  </w:font>
  <w:font w:name="Arial"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9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"/>
        <w:szCs w:val="22"/>
        <w:lang w:val="sk-SK" w:eastAsia="sk-SK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locked="1" w:uiPriority="0" w:semiHidden="0" w:unhideWhenUsed="0" w:qFormat="1"/>
    <w:lsdException w:name="heading 1" w:locked="1" w:uiPriority="0" w:semiHidden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uiPriority="0" w:semiHidden="0" w:unhideWhenUsed="0"/>
    <w:lsdException w:name="toc 2" w:locked="1" w:uiPriority="0" w:semiHidden="0" w:unhideWhenUsed="0"/>
    <w:lsdException w:name="toc 3" w:locked="1" w:uiPriority="0" w:semiHidden="0" w:unhideWhenUsed="0"/>
    <w:lsdException w:name="toc 4" w:locked="1" w:uiPriority="0" w:semiHidden="0" w:unhideWhenUsed="0"/>
    <w:lsdException w:name="toc 5" w:locked="1" w:uiPriority="0" w:semiHidden="0" w:unhideWhenUsed="0"/>
    <w:lsdException w:name="toc 6" w:locked="1" w:uiPriority="0" w:semiHidden="0" w:unhideWhenUsed="0"/>
    <w:lsdException w:name="toc 7" w:locked="1" w:uiPriority="0" w:semiHidden="0" w:unhideWhenUsed="0"/>
    <w:lsdException w:name="toc 8" w:locked="1" w:uiPriority="0" w:semiHidden="0" w:unhideWhenUsed="0"/>
    <w:lsdException w:name="toc 9" w:locked="1" w:uiPriority="0" w:semiHidden="0" w:unhideWhenUsed="0"/>
    <w:lsdException w:name="caption" w:locked="1" w:uiPriority="0" w:semiHidden="0" w:unhideWhenUsed="0" w:qFormat="1"/>
    <w:lsdException w:name="Title" w:locked="1" w:uiPriority="0" w:semiHidden="0" w:unhideWhenUsed="0" w:qFormat="1"/>
    <w:lsdException w:name="Default Paragraph Font" w:locked="1" w:uiPriority="0" w:semiHidden="0" w:unhideWhenUsed="0"/>
    <w:lsdException w:name="Subtitle" w:locked="1" w:uiPriority="0" w:semiHidden="0" w:unhideWhenUsed="0" w:qFormat="1"/>
    <w:lsdException w:name="Strong" w:locked="1" w:uiPriority="0" w:semiHidden="0" w:unhideWhenUsed="0" w:qFormat="1"/>
    <w:lsdException w:name="Emphasis" w:locked="1" w:uiPriority="0" w:semiHidden="0" w:unhideWhenUsed="0" w:qFormat="1"/>
    <w:lsdException w:name="Table Grid" w:locked="1" w:uiPriority="0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b7593c"/>
    <w:pPr>
      <w:widowControl w:val="false"/>
      <w:bidi w:val="0"/>
      <w:jc w:val="left"/>
    </w:pPr>
    <w:rPr>
      <w:rFonts w:ascii="Liberation Serif" w:hAnsi="Liberation Serif" w:eastAsia="SimSun" w:cs="Arial"/>
      <w:color w:val="00000A"/>
      <w:sz w:val="24"/>
      <w:szCs w:val="24"/>
      <w:lang w:eastAsia="zh-CN" w:bidi="hi-IN" w:val="sk-SK"/>
    </w:rPr>
  </w:style>
  <w:style w:type="character" w:styleId="DefaultParagraphFont" w:default="1">
    <w:name w:val="Default Paragraph Font"/>
    <w:uiPriority w:val="99"/>
    <w:semiHidden/>
    <w:qFormat/>
    <w:rPr/>
  </w:style>
  <w:style w:type="character" w:styleId="BodyTextChar" w:customStyle="1">
    <w:name w:val="Body Text Char"/>
    <w:basedOn w:val="DefaultParagraphFont"/>
    <w:link w:val="BodyText"/>
    <w:uiPriority w:val="99"/>
    <w:semiHidden/>
    <w:qFormat/>
    <w:rsid w:val="00df7629"/>
    <w:rPr>
      <w:rFonts w:cs="Mangal"/>
      <w:color w:val="00000A"/>
      <w:sz w:val="24"/>
      <w:szCs w:val="21"/>
      <w:lang w:eastAsia="zh-CN" w:bidi="hi-IN"/>
    </w:rPr>
  </w:style>
  <w:style w:type="paragraph" w:styleId="Nadpis" w:customStyle="1">
    <w:name w:val="Nadpis"/>
    <w:basedOn w:val="Normal"/>
    <w:next w:val="Telotextu"/>
    <w:uiPriority w:val="99"/>
    <w:qFormat/>
    <w:rsid w:val="00b7593c"/>
    <w:pPr>
      <w:keepNext/>
      <w:spacing w:before="240" w:after="120"/>
    </w:pPr>
    <w:rPr>
      <w:rFonts w:ascii="Liberation Sans" w:hAnsi="Liberation Sans" w:eastAsia="Microsoft YaHei"/>
      <w:sz w:val="28"/>
      <w:szCs w:val="28"/>
    </w:rPr>
  </w:style>
  <w:style w:type="paragraph" w:styleId="Telotextu">
    <w:name w:val="Body Text"/>
    <w:basedOn w:val="Normal"/>
    <w:link w:val="BodyTextChar"/>
    <w:uiPriority w:val="99"/>
    <w:rsid w:val="00b7593c"/>
    <w:pPr>
      <w:spacing w:lineRule="auto" w:line="288" w:before="0" w:after="140"/>
    </w:pPr>
    <w:rPr/>
  </w:style>
  <w:style w:type="paragraph" w:styleId="Zoznam">
    <w:name w:val="List"/>
    <w:basedOn w:val="Telotextu"/>
    <w:uiPriority w:val="99"/>
    <w:rsid w:val="00b7593c"/>
    <w:pPr/>
    <w:rPr/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 w:customStyle="1">
    <w:name w:val="Index"/>
    <w:basedOn w:val="Normal"/>
    <w:uiPriority w:val="99"/>
    <w:qFormat/>
    <w:rsid w:val="00b7593c"/>
    <w:pPr>
      <w:suppressLineNumbers/>
    </w:pPr>
    <w:rPr/>
  </w:style>
  <w:style w:type="paragraph" w:styleId="Caption">
    <w:name w:val="caption"/>
    <w:basedOn w:val="Normal"/>
    <w:uiPriority w:val="99"/>
    <w:qFormat/>
    <w:rsid w:val="00b7593c"/>
    <w:pPr>
      <w:suppressLineNumbers/>
      <w:spacing w:before="120" w:after="120"/>
    </w:pPr>
    <w:rPr>
      <w:i/>
      <w:iCs/>
    </w:rPr>
  </w:style>
  <w:style w:type="paragraph" w:styleId="Obsahtabuky" w:customStyle="1">
    <w:name w:val="Obsah tabuľky"/>
    <w:basedOn w:val="Normal"/>
    <w:uiPriority w:val="99"/>
    <w:qFormat/>
    <w:rsid w:val="00b7593c"/>
    <w:pPr/>
    <w:rPr/>
  </w:style>
  <w:style w:type="paragraph" w:styleId="Nadpistabuky" w:customStyle="1">
    <w:name w:val="Nadpis tabuľky"/>
    <w:basedOn w:val="Obsahtabuky"/>
    <w:uiPriority w:val="99"/>
    <w:qFormat/>
    <w:rsid w:val="00b7593c"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399</TotalTime>
  <Application>LibreOffice/5.1.6.2$Windows_X86_64 LibreOffice_project/07ac168c60a517dba0f0d7bc7540f5afa45f0909</Application>
  <Pages>17</Pages>
  <Words>2658</Words>
  <Characters>16633</Characters>
  <CharactersWithSpaces>19632</CharactersWithSpaces>
  <Paragraphs>1068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2017-06-30T10:37:00Z</dcterms:created>
  <dc:creator/>
  <dc:description/>
  <dc:language>sk-SK</dc:language>
  <cp:lastModifiedBy/>
  <dcterms:modified xsi:type="dcterms:W3CDTF">2017-06-30T21:43:22Z</dcterms:modified>
  <cp:revision>46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