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BB2" w:rsidRDefault="00322BB2" w:rsidP="00213707">
      <w:pPr>
        <w:pStyle w:val="PoznmkyUcPOD"/>
      </w:pPr>
      <w:bookmarkStart w:id="0" w:name="_Toc530739894"/>
      <w:r>
        <w:t>Článok I</w:t>
      </w:r>
    </w:p>
    <w:p w:rsidR="00322BB2" w:rsidRDefault="00322BB2" w:rsidP="00213707">
      <w:pPr>
        <w:pStyle w:val="PoznmkyUcPOD"/>
      </w:pPr>
      <w:r>
        <w:t>Všeobecné informácie</w:t>
      </w:r>
    </w:p>
    <w:p w:rsidR="00322BB2" w:rsidRDefault="00322BB2" w:rsidP="00213707"/>
    <w:p w:rsidR="00322BB2" w:rsidRDefault="00322BB2" w:rsidP="00213707">
      <w:pPr>
        <w:pStyle w:val="ListParagraph"/>
        <w:ind w:left="720"/>
        <w:rPr>
          <w:b/>
        </w:rPr>
      </w:pPr>
    </w:p>
    <w:p w:rsidR="00322BB2" w:rsidRPr="008E11DA" w:rsidRDefault="00322BB2" w:rsidP="00C32E9B">
      <w:pPr>
        <w:pStyle w:val="ListParagraph"/>
        <w:numPr>
          <w:ilvl w:val="0"/>
          <w:numId w:val="8"/>
        </w:numPr>
      </w:pPr>
      <w:r w:rsidRPr="008E11DA">
        <w:rPr>
          <w:b/>
          <w:szCs w:val="18"/>
        </w:rPr>
        <w:t xml:space="preserve">Základné informácie </w:t>
      </w:r>
      <w:bookmarkStart w:id="1" w:name="_GoBack"/>
      <w:bookmarkEnd w:id="1"/>
    </w:p>
    <w:p w:rsidR="00322BB2" w:rsidRDefault="00322BB2" w:rsidP="008E11DA">
      <w:pPr>
        <w:pStyle w:val="ListParagraph"/>
        <w:ind w:left="720"/>
      </w:pPr>
    </w:p>
    <w:tbl>
      <w:tblPr>
        <w:tblW w:w="4944" w:type="pct"/>
        <w:tblLayout w:type="fixed"/>
        <w:tblLook w:val="00A0"/>
      </w:tblPr>
      <w:tblGrid>
        <w:gridCol w:w="2566"/>
        <w:gridCol w:w="6786"/>
      </w:tblGrid>
      <w:tr w:rsidR="00322BB2" w:rsidRPr="00213707" w:rsidTr="007C00FF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BB2" w:rsidRPr="00213707" w:rsidRDefault="00322BB2" w:rsidP="007C00FF">
            <w:pPr>
              <w:jc w:val="both"/>
              <w:rPr>
                <w:szCs w:val="18"/>
              </w:rPr>
            </w:pPr>
            <w:r w:rsidRPr="00213707">
              <w:rPr>
                <w:szCs w:val="18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BB2" w:rsidRPr="00213707" w:rsidRDefault="00322BB2" w:rsidP="007C00FF">
            <w:pPr>
              <w:jc w:val="both"/>
              <w:rPr>
                <w:b/>
                <w:szCs w:val="18"/>
              </w:rPr>
            </w:pPr>
            <w:r>
              <w:rPr>
                <w:b/>
              </w:rPr>
              <w:t>Pohas Group s.r.o</w:t>
            </w:r>
            <w:r>
              <w:rPr>
                <w:szCs w:val="18"/>
              </w:rPr>
              <w:t>(ďalej len „Spoločnosť“)</w:t>
            </w:r>
          </w:p>
        </w:tc>
      </w:tr>
      <w:tr w:rsidR="00322BB2" w:rsidRPr="00213707" w:rsidTr="008217D9">
        <w:trPr>
          <w:trHeight w:val="357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BB2" w:rsidRPr="00213707" w:rsidRDefault="00322BB2" w:rsidP="007C00FF">
            <w:pPr>
              <w:jc w:val="both"/>
              <w:rPr>
                <w:szCs w:val="18"/>
              </w:rPr>
            </w:pPr>
            <w:r w:rsidRPr="00213707">
              <w:rPr>
                <w:szCs w:val="18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BB2" w:rsidRPr="00213707" w:rsidRDefault="00322BB2" w:rsidP="007C00FF">
            <w:pPr>
              <w:jc w:val="both"/>
              <w:rPr>
                <w:szCs w:val="18"/>
              </w:rPr>
            </w:pPr>
            <w:r>
              <w:rPr>
                <w:szCs w:val="18"/>
              </w:rPr>
              <w:t>Sekurisova 1, 84101 Bratislava</w:t>
            </w:r>
          </w:p>
        </w:tc>
      </w:tr>
      <w:tr w:rsidR="00322BB2" w:rsidRPr="00213707" w:rsidTr="007C00FF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BB2" w:rsidRPr="00213707" w:rsidRDefault="00322BB2" w:rsidP="007C00FF">
            <w:pPr>
              <w:jc w:val="both"/>
              <w:rPr>
                <w:szCs w:val="18"/>
              </w:rPr>
            </w:pPr>
            <w:r w:rsidRPr="00213707">
              <w:rPr>
                <w:szCs w:val="18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BB2" w:rsidRPr="00213707" w:rsidRDefault="00322BB2" w:rsidP="003841C4">
            <w:pPr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Spol.s r.o. </w:t>
            </w:r>
          </w:p>
        </w:tc>
      </w:tr>
      <w:tr w:rsidR="00322BB2" w:rsidRPr="00213707" w:rsidTr="007C00FF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22BB2" w:rsidRPr="00213707" w:rsidRDefault="00322BB2" w:rsidP="007C00FF">
            <w:pPr>
              <w:jc w:val="both"/>
              <w:rPr>
                <w:szCs w:val="18"/>
              </w:rPr>
            </w:pPr>
            <w:r w:rsidRPr="00213707">
              <w:rPr>
                <w:szCs w:val="18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322BB2" w:rsidRPr="00213707" w:rsidRDefault="00322BB2" w:rsidP="00213707">
            <w:pPr>
              <w:jc w:val="both"/>
              <w:rPr>
                <w:szCs w:val="18"/>
              </w:rPr>
            </w:pPr>
            <w:r>
              <w:rPr>
                <w:szCs w:val="18"/>
              </w:rPr>
              <w:t>z</w:t>
            </w:r>
            <w:r w:rsidRPr="00213707">
              <w:rPr>
                <w:szCs w:val="18"/>
              </w:rPr>
              <w:t xml:space="preserve">ápis do obchodného registra: </w:t>
            </w:r>
            <w:r>
              <w:rPr>
                <w:szCs w:val="18"/>
              </w:rPr>
              <w:t>08.10.2015</w:t>
            </w:r>
          </w:p>
        </w:tc>
      </w:tr>
      <w:tr w:rsidR="00322BB2" w:rsidRPr="00213707" w:rsidTr="007C00FF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22BB2" w:rsidRPr="00213707" w:rsidRDefault="00322BB2" w:rsidP="007C00FF">
            <w:pPr>
              <w:jc w:val="both"/>
              <w:rPr>
                <w:szCs w:val="18"/>
              </w:rPr>
            </w:pPr>
            <w:r w:rsidRPr="00213707">
              <w:rPr>
                <w:szCs w:val="18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322BB2" w:rsidRPr="00213707" w:rsidRDefault="00322BB2" w:rsidP="007C00FF">
            <w:pPr>
              <w:jc w:val="both"/>
              <w:rPr>
                <w:szCs w:val="18"/>
              </w:rPr>
            </w:pPr>
            <w:r>
              <w:rPr>
                <w:szCs w:val="18"/>
              </w:rPr>
              <w:t>Pohotovostna sluzba, voda, kurenie, plyn,  stavebne prace</w:t>
            </w:r>
          </w:p>
        </w:tc>
      </w:tr>
    </w:tbl>
    <w:p w:rsidR="00322BB2" w:rsidRDefault="00322BB2" w:rsidP="00213707"/>
    <w:p w:rsidR="00322BB2" w:rsidRDefault="00322BB2" w:rsidP="00213707">
      <w:pPr>
        <w:pStyle w:val="Heading2"/>
        <w:numPr>
          <w:ilvl w:val="0"/>
          <w:numId w:val="0"/>
        </w:numPr>
        <w:ind w:left="360"/>
      </w:pPr>
      <w:bookmarkStart w:id="2" w:name="_Toc530739896"/>
      <w:bookmarkEnd w:id="0"/>
      <w:r>
        <w:t>Hlavnými činnosťami Spoločnosti sú:</w:t>
      </w:r>
      <w:bookmarkEnd w:id="2"/>
    </w:p>
    <w:p w:rsidR="00322BB2" w:rsidRPr="008217D9" w:rsidRDefault="00322BB2" w:rsidP="008217D9">
      <w:pPr>
        <w:pStyle w:val="Heading2"/>
        <w:numPr>
          <w:ilvl w:val="0"/>
          <w:numId w:val="0"/>
        </w:numPr>
        <w:ind w:left="360" w:hanging="360"/>
        <w:rPr>
          <w:rStyle w:val="ra"/>
          <w:rFonts w:ascii="Arial" w:hAnsi="Arial" w:cs="Arial"/>
          <w:b w:val="0"/>
          <w:bCs/>
          <w:color w:val="000000"/>
          <w:sz w:val="16"/>
          <w:szCs w:val="16"/>
        </w:rPr>
      </w:pPr>
      <w:r w:rsidRPr="008217D9">
        <w:rPr>
          <w:rStyle w:val="ra"/>
          <w:rFonts w:ascii="Arial CE" w:hAnsi="Arial CE" w:cs="Arial CE"/>
          <w:b w:val="0"/>
          <w:bCs/>
          <w:color w:val="000000"/>
          <w:sz w:val="16"/>
          <w:szCs w:val="16"/>
        </w:rPr>
        <w:t>kúpa tovaru na účely jeho predaja konečnému spotrebiteľovi (maloobchod) alebo iným prevádzkovateľom živnosti (veľkoobchod</w:t>
      </w:r>
    </w:p>
    <w:p w:rsidR="00322BB2" w:rsidRPr="008217D9" w:rsidRDefault="00322BB2" w:rsidP="008217D9">
      <w:pPr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</w:pPr>
      <w:r w:rsidRPr="008217D9">
        <w:rPr>
          <w:rFonts w:ascii="Arial CE" w:hAnsi="Arial CE" w:cs="Arial CE"/>
          <w:bCs/>
          <w:color w:val="000000"/>
          <w:sz w:val="16"/>
          <w:szCs w:val="16"/>
          <w:shd w:val="clear" w:color="auto" w:fill="FFFFFF"/>
        </w:rPr>
        <w:t>sprostredkovateľská činnosť v oblasti obchod</w:t>
      </w:r>
      <w:r w:rsidRPr="008217D9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u</w:t>
      </w:r>
    </w:p>
    <w:p w:rsidR="00322BB2" w:rsidRPr="00C862E6" w:rsidRDefault="00322BB2" w:rsidP="008217D9">
      <w:pPr>
        <w:rPr>
          <w:rStyle w:val="apple-converted-space"/>
          <w:rFonts w:ascii="Arial" w:hAnsi="Arial" w:cs="Arial"/>
          <w:bCs/>
          <w:color w:val="000000"/>
          <w:sz w:val="16"/>
          <w:szCs w:val="16"/>
        </w:rPr>
      </w:pPr>
      <w:r w:rsidRPr="00C862E6">
        <w:rPr>
          <w:rStyle w:val="ra"/>
          <w:rFonts w:ascii="Arial CE" w:hAnsi="Arial CE" w:cs="Arial CE"/>
          <w:bCs/>
          <w:color w:val="000000"/>
          <w:sz w:val="16"/>
          <w:szCs w:val="16"/>
        </w:rPr>
        <w:t>sprostredkovateľská činnosť v oblasti služieb</w:t>
      </w:r>
      <w:r w:rsidRPr="00C862E6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322BB2" w:rsidRPr="00C862E6" w:rsidRDefault="00322BB2" w:rsidP="008217D9">
      <w:pPr>
        <w:rPr>
          <w:rStyle w:val="apple-converted-space"/>
          <w:rFonts w:ascii="Arial" w:hAnsi="Arial" w:cs="Arial"/>
          <w:bCs/>
          <w:color w:val="000000"/>
          <w:sz w:val="16"/>
          <w:szCs w:val="16"/>
        </w:rPr>
      </w:pPr>
      <w:r w:rsidRPr="00C862E6">
        <w:rPr>
          <w:rStyle w:val="ra"/>
          <w:rFonts w:ascii="Arial CE" w:hAnsi="Arial CE" w:cs="Arial CE"/>
          <w:bCs/>
          <w:color w:val="000000"/>
          <w:sz w:val="16"/>
          <w:szCs w:val="16"/>
        </w:rPr>
        <w:t>sprostredkovateľská činnosť v oblasti výroby</w:t>
      </w:r>
      <w:r w:rsidRPr="00C862E6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322BB2" w:rsidRPr="008217D9" w:rsidRDefault="00322BB2" w:rsidP="008217D9">
      <w:pPr>
        <w:rPr>
          <w:sz w:val="16"/>
          <w:szCs w:val="16"/>
        </w:rPr>
      </w:pPr>
      <w:r w:rsidRPr="008217D9">
        <w:rPr>
          <w:rStyle w:val="ra"/>
          <w:rFonts w:ascii="Arial CE" w:hAnsi="Arial CE" w:cs="Arial CE"/>
          <w:bCs/>
          <w:color w:val="000000"/>
          <w:sz w:val="16"/>
          <w:szCs w:val="16"/>
        </w:rPr>
        <w:t>poskytovanie záruk na zabezpečenie colného dlhu</w:t>
      </w:r>
      <w:r w:rsidRPr="008217D9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322BB2" w:rsidRPr="008217D9" w:rsidRDefault="00322BB2" w:rsidP="008217D9">
      <w:pPr>
        <w:rPr>
          <w:rStyle w:val="apple-converted-space"/>
          <w:rFonts w:ascii="Arial" w:hAnsi="Arial" w:cs="Arial"/>
          <w:bCs/>
          <w:color w:val="000000"/>
          <w:sz w:val="16"/>
          <w:szCs w:val="16"/>
        </w:rPr>
      </w:pPr>
      <w:r w:rsidRPr="008217D9">
        <w:rPr>
          <w:rStyle w:val="ra"/>
          <w:rFonts w:ascii="Arial CE" w:hAnsi="Arial CE" w:cs="Arial CE"/>
          <w:bCs/>
          <w:color w:val="000000"/>
          <w:sz w:val="16"/>
          <w:szCs w:val="16"/>
        </w:rPr>
        <w:t>administratívne služby</w:t>
      </w:r>
      <w:r w:rsidRPr="008217D9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322BB2" w:rsidRPr="008217D9" w:rsidRDefault="00322BB2" w:rsidP="008217D9">
      <w:pPr>
        <w:rPr>
          <w:rStyle w:val="ra"/>
          <w:rFonts w:ascii="Arial" w:hAnsi="Arial" w:cs="Arial"/>
          <w:bCs/>
          <w:color w:val="000000"/>
          <w:sz w:val="16"/>
          <w:szCs w:val="16"/>
        </w:rPr>
      </w:pPr>
      <w:r w:rsidRPr="008217D9">
        <w:rPr>
          <w:rStyle w:val="ra"/>
          <w:rFonts w:ascii="Arial CE" w:hAnsi="Arial CE" w:cs="Arial CE"/>
          <w:bCs/>
          <w:color w:val="000000"/>
          <w:sz w:val="16"/>
          <w:szCs w:val="16"/>
        </w:rPr>
        <w:t>zasielateľstvo</w:t>
      </w:r>
    </w:p>
    <w:p w:rsidR="00322BB2" w:rsidRPr="008217D9" w:rsidRDefault="00322BB2" w:rsidP="008217D9">
      <w:pPr>
        <w:rPr>
          <w:rStyle w:val="apple-converted-space"/>
          <w:rFonts w:ascii="Arial" w:hAnsi="Arial" w:cs="Arial"/>
          <w:bCs/>
          <w:color w:val="000000"/>
          <w:sz w:val="16"/>
          <w:szCs w:val="16"/>
        </w:rPr>
      </w:pPr>
      <w:r w:rsidRPr="008217D9">
        <w:rPr>
          <w:rStyle w:val="ra"/>
          <w:rFonts w:ascii="Arial CE" w:hAnsi="Arial CE" w:cs="Arial CE"/>
          <w:bCs/>
          <w:color w:val="000000"/>
          <w:sz w:val="16"/>
          <w:szCs w:val="16"/>
        </w:rPr>
        <w:t>prenájom nehnuteľností spojený s poskytovaním iných než základných služieb spojených s prenájmom</w:t>
      </w:r>
      <w:r w:rsidRPr="008217D9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322BB2" w:rsidRPr="008217D9" w:rsidRDefault="00322BB2" w:rsidP="008217D9">
      <w:pPr>
        <w:rPr>
          <w:rStyle w:val="apple-converted-space"/>
          <w:rFonts w:ascii="Arial" w:hAnsi="Arial" w:cs="Arial"/>
          <w:bCs/>
          <w:color w:val="000000"/>
          <w:sz w:val="16"/>
          <w:szCs w:val="16"/>
        </w:rPr>
      </w:pPr>
      <w:r w:rsidRPr="008217D9">
        <w:rPr>
          <w:rStyle w:val="ra"/>
          <w:rFonts w:ascii="Arial CE" w:hAnsi="Arial CE" w:cs="Arial CE"/>
          <w:bCs/>
          <w:color w:val="000000"/>
          <w:sz w:val="16"/>
          <w:szCs w:val="16"/>
        </w:rPr>
        <w:t>prenájom hnuteľných vecí</w:t>
      </w:r>
      <w:r w:rsidRPr="008217D9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322BB2" w:rsidRPr="00C862E6" w:rsidRDefault="00322BB2" w:rsidP="008217D9">
      <w:pPr>
        <w:rPr>
          <w:rStyle w:val="apple-converted-space"/>
          <w:rFonts w:ascii="Arial" w:hAnsi="Arial" w:cs="Arial"/>
          <w:bCs/>
          <w:color w:val="000000"/>
          <w:sz w:val="16"/>
          <w:szCs w:val="16"/>
        </w:rPr>
      </w:pPr>
      <w:r w:rsidRPr="00C862E6">
        <w:rPr>
          <w:rStyle w:val="ra"/>
          <w:rFonts w:ascii="Arial CE" w:hAnsi="Arial CE" w:cs="Arial CE"/>
          <w:bCs/>
          <w:color w:val="000000"/>
          <w:sz w:val="16"/>
          <w:szCs w:val="16"/>
        </w:rPr>
        <w:t>údržba motorových vozidiel bez zásahu do motorickej časti vozidla</w:t>
      </w:r>
      <w:r w:rsidRPr="00C862E6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322BB2" w:rsidRPr="008217D9" w:rsidRDefault="00322BB2" w:rsidP="008217D9">
      <w:pPr>
        <w:rPr>
          <w:sz w:val="16"/>
          <w:szCs w:val="16"/>
        </w:rPr>
      </w:pPr>
      <w:r w:rsidRPr="008217D9">
        <w:rPr>
          <w:rStyle w:val="ra"/>
          <w:rFonts w:ascii="Arial CE" w:hAnsi="Arial CE" w:cs="Arial CE"/>
          <w:bCs/>
          <w:color w:val="000000"/>
          <w:sz w:val="16"/>
          <w:szCs w:val="16"/>
        </w:rPr>
        <w:t>nákladná cestná doprava vykonávaná vozidlami s celkovou hmotnosťou do 3,5 t vrátane prípojného vozidla</w:t>
      </w:r>
      <w:r w:rsidRPr="008217D9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322BB2" w:rsidRPr="008217D9" w:rsidRDefault="00322BB2" w:rsidP="008217D9"/>
    <w:p w:rsidR="00322BB2" w:rsidRDefault="00322BB2" w:rsidP="00361F64">
      <w:pPr>
        <w:pStyle w:val="Heading2"/>
        <w:numPr>
          <w:ilvl w:val="0"/>
          <w:numId w:val="8"/>
        </w:numPr>
      </w:pPr>
      <w:r>
        <w:t>Dátum schválenia účtovnej závierky za predchádzajúce účtovné obdobie</w:t>
      </w:r>
    </w:p>
    <w:p w:rsidR="00322BB2" w:rsidRDefault="00322BB2" w:rsidP="00CA277B">
      <w:pPr>
        <w:pStyle w:val="BodyText"/>
        <w:ind w:hanging="426"/>
      </w:pPr>
      <w:r>
        <w:tab/>
        <w:t>Účtovná závierka Spoločnosti k 31. decembru 2015, za predchádzajúce účtovné obdobie, bola schválená valným zhromaždením Spoločnosti 31.12.</w:t>
      </w:r>
      <w:r w:rsidRPr="009F1BBA">
        <w:t xml:space="preserve"> 201</w:t>
      </w:r>
      <w:r>
        <w:t>6</w:t>
      </w:r>
      <w:r w:rsidRPr="009F1BBA">
        <w:t>.</w:t>
      </w:r>
    </w:p>
    <w:p w:rsidR="00322BB2" w:rsidRDefault="00322BB2" w:rsidP="00CA277B">
      <w:pPr>
        <w:pStyle w:val="BodyText"/>
        <w:ind w:hanging="426"/>
      </w:pPr>
    </w:p>
    <w:p w:rsidR="00322BB2" w:rsidRDefault="00322BB2" w:rsidP="00361F64">
      <w:pPr>
        <w:pStyle w:val="Heading2"/>
        <w:numPr>
          <w:ilvl w:val="0"/>
          <w:numId w:val="8"/>
        </w:numPr>
      </w:pPr>
      <w:r>
        <w:t>Právny dôvod na zostavenie účtovnej závierky</w:t>
      </w:r>
    </w:p>
    <w:p w:rsidR="00322BB2" w:rsidRDefault="00322BB2" w:rsidP="00CA277B">
      <w:pPr>
        <w:pStyle w:val="BodyText"/>
        <w:ind w:hanging="426"/>
      </w:pPr>
      <w:r>
        <w:tab/>
        <w:t xml:space="preserve">Účtovná závierka Spoločnosti k 31. decembru 2016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1. januára 2016 do 31. decembra 2016.</w:t>
      </w:r>
    </w:p>
    <w:p w:rsidR="00322BB2" w:rsidRDefault="00322BB2" w:rsidP="00CA277B">
      <w:pPr>
        <w:pStyle w:val="BodyText"/>
        <w:ind w:hanging="426"/>
      </w:pPr>
    </w:p>
    <w:p w:rsidR="00322BB2" w:rsidRDefault="00322BB2" w:rsidP="00361F64">
      <w:pPr>
        <w:pStyle w:val="BodyText"/>
        <w:numPr>
          <w:ilvl w:val="0"/>
          <w:numId w:val="8"/>
        </w:numPr>
        <w:rPr>
          <w:b/>
        </w:rPr>
      </w:pPr>
      <w:r w:rsidRPr="00052E8C">
        <w:rPr>
          <w:b/>
        </w:rPr>
        <w:t xml:space="preserve">Údaje o skupine </w:t>
      </w:r>
      <w:r>
        <w:rPr>
          <w:b/>
        </w:rPr>
        <w:t>účtovných jednotiek</w:t>
      </w:r>
    </w:p>
    <w:p w:rsidR="00322BB2" w:rsidRDefault="00322BB2" w:rsidP="00361F64">
      <w:pPr>
        <w:pStyle w:val="Heading2"/>
        <w:numPr>
          <w:ilvl w:val="0"/>
          <w:numId w:val="8"/>
        </w:numPr>
      </w:pPr>
      <w:r>
        <w:t>Spoločnosť nie j je súčasťou konsolidovaného celku.</w:t>
      </w:r>
    </w:p>
    <w:p w:rsidR="00322BB2" w:rsidRDefault="00322BB2" w:rsidP="00361F64">
      <w:pPr>
        <w:pStyle w:val="Heading2"/>
        <w:numPr>
          <w:ilvl w:val="0"/>
          <w:numId w:val="8"/>
        </w:numPr>
      </w:pPr>
      <w:r>
        <w:t xml:space="preserve">Priemerný prepočítaný počet zamestnancov </w:t>
      </w:r>
    </w:p>
    <w:p w:rsidR="00322BB2" w:rsidRDefault="00322BB2" w:rsidP="004D3B4A">
      <w:pPr>
        <w:pStyle w:val="BodyText"/>
      </w:pPr>
      <w:r>
        <w:t>Údaje o priemernom prepočítanom počte zamestnancov za bežné účtovné obdobie a bezprostredne predchádzajúce účtovné obdobie sú uvedené v nasledujúcom prehľade:</w:t>
      </w:r>
    </w:p>
    <w:p w:rsidR="00322BB2" w:rsidRDefault="00322BB2" w:rsidP="004D3B4A">
      <w:pPr>
        <w:pStyle w:val="BodyText"/>
      </w:pPr>
      <w:r>
        <w:t xml:space="preserve"> 2016 -  4.</w:t>
      </w:r>
    </w:p>
    <w:p w:rsidR="00322BB2" w:rsidRDefault="00322BB2" w:rsidP="004D3B4A">
      <w:pPr>
        <w:pStyle w:val="BodyText"/>
      </w:pPr>
      <w:r>
        <w:t xml:space="preserve"> 2015 -  1</w:t>
      </w:r>
    </w:p>
    <w:p w:rsidR="00322BB2" w:rsidRDefault="00322BB2">
      <w:pPr>
        <w:spacing w:after="200" w:line="276" w:lineRule="auto"/>
        <w:rPr>
          <w:b/>
        </w:rPr>
      </w:pPr>
      <w:r>
        <w:br w:type="page"/>
      </w:r>
    </w:p>
    <w:p w:rsidR="00322BB2" w:rsidRDefault="00322BB2" w:rsidP="00F3650E">
      <w:pPr>
        <w:pStyle w:val="PoznmkyUcPOD"/>
      </w:pPr>
      <w:bookmarkStart w:id="3" w:name="OLE_LINK13"/>
      <w:bookmarkStart w:id="4" w:name="OLE_LINK14"/>
      <w:r>
        <w:t>Článok II</w:t>
      </w:r>
    </w:p>
    <w:p w:rsidR="00322BB2" w:rsidRDefault="00322BB2" w:rsidP="00F3650E">
      <w:pPr>
        <w:pStyle w:val="PoznmkyUcPOD"/>
      </w:pPr>
      <w:r>
        <w:t>Informácie o orgánoch spoločnosti</w:t>
      </w:r>
    </w:p>
    <w:p w:rsidR="00322BB2" w:rsidRPr="00CD7358" w:rsidRDefault="00322BB2" w:rsidP="00CD7358">
      <w:pPr>
        <w:rPr>
          <w:szCs w:val="18"/>
        </w:rPr>
      </w:pPr>
    </w:p>
    <w:p w:rsidR="00322BB2" w:rsidRPr="00EB2931" w:rsidRDefault="00322BB2" w:rsidP="00CD7358">
      <w:pPr>
        <w:pStyle w:val="BodyText"/>
        <w:tabs>
          <w:tab w:val="left" w:pos="668"/>
        </w:tabs>
        <w:ind w:left="101" w:right="116"/>
        <w:rPr>
          <w:i/>
          <w:color w:val="A6A6A6"/>
          <w:szCs w:val="18"/>
        </w:rPr>
      </w:pPr>
      <w:r w:rsidRPr="00EB2931">
        <w:rPr>
          <w:i/>
          <w:color w:val="A6A6A6"/>
          <w:szCs w:val="18"/>
        </w:rPr>
        <w:t xml:space="preserve">a) </w:t>
      </w:r>
      <w:r w:rsidRPr="00EB2931">
        <w:rPr>
          <w:i/>
          <w:color w:val="A6A6A6"/>
          <w:spacing w:val="2"/>
          <w:szCs w:val="18"/>
        </w:rPr>
        <w:t>v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zCs w:val="18"/>
        </w:rPr>
        <w:t>ške</w:t>
      </w:r>
      <w:r w:rsidRPr="00EB2931">
        <w:rPr>
          <w:i/>
          <w:color w:val="A6A6A6"/>
          <w:spacing w:val="39"/>
          <w:szCs w:val="18"/>
        </w:rPr>
        <w:t xml:space="preserve"> </w:t>
      </w:r>
      <w:r w:rsidRPr="00EB2931">
        <w:rPr>
          <w:i/>
          <w:color w:val="A6A6A6"/>
          <w:szCs w:val="18"/>
        </w:rPr>
        <w:t>jednotli</w:t>
      </w:r>
      <w:r w:rsidRPr="00EB2931">
        <w:rPr>
          <w:i/>
          <w:color w:val="A6A6A6"/>
          <w:spacing w:val="2"/>
          <w:szCs w:val="18"/>
        </w:rPr>
        <w:t>v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40"/>
          <w:szCs w:val="18"/>
        </w:rPr>
        <w:t xml:space="preserve"> </w:t>
      </w:r>
      <w:r w:rsidRPr="00EB2931">
        <w:rPr>
          <w:i/>
          <w:color w:val="A6A6A6"/>
          <w:szCs w:val="18"/>
        </w:rPr>
        <w:t>d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u</w:t>
      </w:r>
      <w:r w:rsidRPr="00EB2931">
        <w:rPr>
          <w:i/>
          <w:color w:val="A6A6A6"/>
          <w:spacing w:val="2"/>
          <w:szCs w:val="18"/>
        </w:rPr>
        <w:t>h</w:t>
      </w:r>
      <w:r w:rsidRPr="00EB2931">
        <w:rPr>
          <w:i/>
          <w:color w:val="A6A6A6"/>
          <w:szCs w:val="18"/>
        </w:rPr>
        <w:t>ov</w:t>
      </w:r>
      <w:r w:rsidRPr="00EB2931">
        <w:rPr>
          <w:i/>
          <w:color w:val="A6A6A6"/>
          <w:spacing w:val="40"/>
          <w:szCs w:val="18"/>
        </w:rPr>
        <w:t xml:space="preserve">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ruk</w:t>
      </w:r>
      <w:r w:rsidRPr="00EB2931">
        <w:rPr>
          <w:i/>
          <w:color w:val="A6A6A6"/>
          <w:spacing w:val="42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a</w:t>
      </w:r>
      <w:r w:rsidRPr="00EB2931">
        <w:rPr>
          <w:i/>
          <w:color w:val="A6A6A6"/>
          <w:szCs w:val="18"/>
        </w:rPr>
        <w:t>lebo</w:t>
      </w:r>
      <w:r w:rsidRPr="00EB2931">
        <w:rPr>
          <w:i/>
          <w:color w:val="A6A6A6"/>
          <w:spacing w:val="40"/>
          <w:szCs w:val="18"/>
        </w:rPr>
        <w:t xml:space="preserve"> </w:t>
      </w:r>
      <w:r w:rsidRPr="00EB2931">
        <w:rPr>
          <w:i/>
          <w:color w:val="A6A6A6"/>
          <w:szCs w:val="18"/>
        </w:rPr>
        <w:t>i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pacing w:val="-8"/>
          <w:szCs w:val="18"/>
        </w:rPr>
        <w:t>ý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40"/>
          <w:szCs w:val="18"/>
        </w:rPr>
        <w:t xml:space="preserve"> </w:t>
      </w:r>
      <w:r w:rsidRPr="00EB2931">
        <w:rPr>
          <w:i/>
          <w:color w:val="A6A6A6"/>
          <w:spacing w:val="1"/>
          <w:szCs w:val="18"/>
        </w:rPr>
        <w:t>za</w:t>
      </w:r>
      <w:r w:rsidRPr="00EB2931">
        <w:rPr>
          <w:i/>
          <w:color w:val="A6A6A6"/>
          <w:szCs w:val="18"/>
        </w:rPr>
        <w:t>b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p</w:t>
      </w:r>
      <w:r w:rsidRPr="00EB2931">
        <w:rPr>
          <w:i/>
          <w:color w:val="A6A6A6"/>
          <w:spacing w:val="-1"/>
          <w:szCs w:val="18"/>
        </w:rPr>
        <w:t>eče</w:t>
      </w:r>
      <w:r w:rsidRPr="00EB2931">
        <w:rPr>
          <w:i/>
          <w:color w:val="A6A6A6"/>
          <w:szCs w:val="18"/>
        </w:rPr>
        <w:t>ní</w:t>
      </w:r>
      <w:r w:rsidRPr="00EB2931">
        <w:rPr>
          <w:i/>
          <w:color w:val="A6A6A6"/>
          <w:spacing w:val="41"/>
          <w:szCs w:val="18"/>
        </w:rPr>
        <w:t xml:space="preserve"> </w:t>
      </w:r>
      <w:r w:rsidRPr="00EB2931">
        <w:rPr>
          <w:i/>
          <w:color w:val="A6A6A6"/>
          <w:szCs w:val="18"/>
        </w:rPr>
        <w:t>pos</w:t>
      </w:r>
      <w:r w:rsidRPr="00EB2931">
        <w:rPr>
          <w:i/>
          <w:color w:val="A6A6A6"/>
          <w:spacing w:val="2"/>
          <w:szCs w:val="18"/>
        </w:rPr>
        <w:t>k</w:t>
      </w:r>
      <w:r w:rsidRPr="00EB2931">
        <w:rPr>
          <w:i/>
          <w:color w:val="A6A6A6"/>
          <w:spacing w:val="-5"/>
          <w:szCs w:val="18"/>
        </w:rPr>
        <w:t>y</w:t>
      </w:r>
      <w:r w:rsidRPr="00EB2931">
        <w:rPr>
          <w:i/>
          <w:color w:val="A6A6A6"/>
          <w:szCs w:val="18"/>
        </w:rPr>
        <w:t>tnu</w:t>
      </w:r>
      <w:r w:rsidRPr="00EB2931">
        <w:rPr>
          <w:i/>
          <w:color w:val="A6A6A6"/>
          <w:spacing w:val="5"/>
          <w:szCs w:val="18"/>
        </w:rPr>
        <w:t>t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42"/>
          <w:szCs w:val="18"/>
        </w:rPr>
        <w:t xml:space="preserve"> </w:t>
      </w:r>
      <w:r w:rsidRPr="00EB2931">
        <w:rPr>
          <w:i/>
          <w:color w:val="A6A6A6"/>
          <w:szCs w:val="18"/>
        </w:rPr>
        <w:t>p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e</w:t>
      </w:r>
      <w:r w:rsidRPr="00EB2931">
        <w:rPr>
          <w:i/>
          <w:color w:val="A6A6A6"/>
          <w:spacing w:val="39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lenov štatutá</w:t>
      </w:r>
      <w:r w:rsidRPr="00EB2931">
        <w:rPr>
          <w:i/>
          <w:color w:val="A6A6A6"/>
          <w:spacing w:val="-2"/>
          <w:szCs w:val="18"/>
        </w:rPr>
        <w:t>r</w:t>
      </w:r>
      <w:r w:rsidRPr="00EB2931">
        <w:rPr>
          <w:i/>
          <w:color w:val="A6A6A6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ho</w:t>
      </w:r>
      <w:r w:rsidRPr="00EB2931">
        <w:rPr>
          <w:i/>
          <w:color w:val="A6A6A6"/>
          <w:spacing w:val="30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 xml:space="preserve">nu, </w:t>
      </w:r>
      <w:r w:rsidRPr="00EB2931">
        <w:rPr>
          <w:i/>
          <w:color w:val="A6A6A6"/>
          <w:spacing w:val="30"/>
          <w:szCs w:val="18"/>
        </w:rPr>
        <w:t xml:space="preserve"> </w:t>
      </w:r>
      <w:r w:rsidRPr="00EB2931">
        <w:rPr>
          <w:i/>
          <w:color w:val="A6A6A6"/>
          <w:szCs w:val="18"/>
        </w:rPr>
        <w:t>d</w:t>
      </w:r>
      <w:r w:rsidRPr="00EB2931">
        <w:rPr>
          <w:i/>
          <w:color w:val="A6A6A6"/>
          <w:spacing w:val="2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 xml:space="preserve">ho </w:t>
      </w:r>
      <w:r w:rsidRPr="00EB2931">
        <w:rPr>
          <w:i/>
          <w:color w:val="A6A6A6"/>
          <w:spacing w:val="30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 xml:space="preserve">nu </w:t>
      </w:r>
      <w:r w:rsidRPr="00EB2931">
        <w:rPr>
          <w:i/>
          <w:color w:val="A6A6A6"/>
          <w:spacing w:val="33"/>
          <w:szCs w:val="18"/>
        </w:rPr>
        <w:t xml:space="preserve"> </w:t>
      </w:r>
      <w:r w:rsidRPr="00EB2931">
        <w:rPr>
          <w:i/>
          <w:color w:val="A6A6A6"/>
          <w:szCs w:val="18"/>
        </w:rPr>
        <w:t xml:space="preserve">a </w:t>
      </w:r>
      <w:r w:rsidRPr="00EB2931">
        <w:rPr>
          <w:i/>
          <w:color w:val="A6A6A6"/>
          <w:spacing w:val="30"/>
          <w:szCs w:val="18"/>
        </w:rPr>
        <w:t xml:space="preserve"> </w:t>
      </w:r>
      <w:r w:rsidRPr="00EB2931">
        <w:rPr>
          <w:i/>
          <w:color w:val="A6A6A6"/>
          <w:szCs w:val="18"/>
        </w:rPr>
        <w:t>i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pacing w:val="2"/>
          <w:szCs w:val="18"/>
        </w:rPr>
        <w:t>h</w:t>
      </w:r>
      <w:r w:rsidRPr="00EB2931">
        <w:rPr>
          <w:i/>
          <w:color w:val="A6A6A6"/>
          <w:szCs w:val="18"/>
        </w:rPr>
        <w:t xml:space="preserve">o </w:t>
      </w:r>
      <w:r w:rsidRPr="00EB2931">
        <w:rPr>
          <w:i/>
          <w:color w:val="A6A6A6"/>
          <w:spacing w:val="30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 xml:space="preserve">nu </w:t>
      </w:r>
      <w:r w:rsidRPr="00EB2931">
        <w:rPr>
          <w:i/>
          <w:color w:val="A6A6A6"/>
          <w:spacing w:val="33"/>
          <w:szCs w:val="18"/>
        </w:rPr>
        <w:t xml:space="preserve"> </w:t>
      </w:r>
      <w:r w:rsidRPr="00EB2931">
        <w:rPr>
          <w:i/>
          <w:color w:val="A6A6A6"/>
          <w:szCs w:val="18"/>
        </w:rPr>
        <w:t>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 xml:space="preserve">tovnej </w:t>
      </w:r>
      <w:r w:rsidRPr="00EB2931">
        <w:rPr>
          <w:i/>
          <w:color w:val="A6A6A6"/>
          <w:spacing w:val="30"/>
          <w:szCs w:val="18"/>
        </w:rPr>
        <w:t xml:space="preserve"> </w:t>
      </w:r>
      <w:r w:rsidRPr="00EB2931">
        <w:rPr>
          <w:i/>
          <w:color w:val="A6A6A6"/>
          <w:szCs w:val="18"/>
        </w:rPr>
        <w:t>je</w:t>
      </w:r>
      <w:r w:rsidRPr="00EB2931">
        <w:rPr>
          <w:i/>
          <w:color w:val="A6A6A6"/>
          <w:spacing w:val="1"/>
          <w:szCs w:val="18"/>
        </w:rPr>
        <w:t>d</w:t>
      </w:r>
      <w:r w:rsidRPr="00EB2931">
        <w:rPr>
          <w:i/>
          <w:color w:val="A6A6A6"/>
          <w:szCs w:val="18"/>
        </w:rPr>
        <w:t>not</w:t>
      </w:r>
      <w:r w:rsidRPr="00EB2931">
        <w:rPr>
          <w:i/>
          <w:color w:val="A6A6A6"/>
          <w:spacing w:val="2"/>
          <w:szCs w:val="18"/>
        </w:rPr>
        <w:t>k</w:t>
      </w:r>
      <w:r w:rsidRPr="00EB2931">
        <w:rPr>
          <w:i/>
          <w:color w:val="A6A6A6"/>
          <w:spacing w:val="-5"/>
          <w:szCs w:val="18"/>
        </w:rPr>
        <w:t>y</w:t>
      </w:r>
      <w:r w:rsidRPr="00EB2931">
        <w:rPr>
          <w:i/>
          <w:color w:val="A6A6A6"/>
          <w:szCs w:val="18"/>
        </w:rPr>
        <w:t xml:space="preserve">, </w:t>
      </w:r>
      <w:r w:rsidRPr="00EB2931">
        <w:rPr>
          <w:i/>
          <w:color w:val="A6A6A6"/>
          <w:spacing w:val="33"/>
          <w:szCs w:val="18"/>
        </w:rPr>
        <w:t xml:space="preserve"> 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5"/>
          <w:szCs w:val="18"/>
        </w:rPr>
        <w:t xml:space="preserve"> </w:t>
      </w:r>
      <w:r w:rsidRPr="00EB2931">
        <w:rPr>
          <w:i/>
          <w:color w:val="A6A6A6"/>
          <w:szCs w:val="18"/>
        </w:rPr>
        <w:t xml:space="preserve">to v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len</w:t>
      </w:r>
      <w:r w:rsidRPr="00EB2931">
        <w:rPr>
          <w:i/>
          <w:color w:val="A6A6A6"/>
          <w:spacing w:val="-2"/>
          <w:szCs w:val="18"/>
        </w:rPr>
        <w:t>e</w:t>
      </w:r>
      <w:r w:rsidRPr="00EB2931">
        <w:rPr>
          <w:i/>
          <w:color w:val="A6A6A6"/>
          <w:szCs w:val="18"/>
        </w:rPr>
        <w:t xml:space="preserve">ní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jednotlivé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pacing w:val="4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>y:</w:t>
      </w:r>
    </w:p>
    <w:p w:rsidR="00322BB2" w:rsidRPr="00EB2931" w:rsidRDefault="00322BB2" w:rsidP="00CD7358">
      <w:pPr>
        <w:pStyle w:val="BodyText"/>
        <w:tabs>
          <w:tab w:val="left" w:pos="668"/>
        </w:tabs>
        <w:ind w:left="101" w:right="116"/>
        <w:rPr>
          <w:i/>
          <w:color w:val="A6A6A6"/>
          <w:szCs w:val="18"/>
        </w:rPr>
      </w:pPr>
    </w:p>
    <w:p w:rsidR="00322BB2" w:rsidRPr="00EB2931" w:rsidRDefault="00322BB2" w:rsidP="00CD7358">
      <w:pPr>
        <w:pStyle w:val="BodyText"/>
        <w:tabs>
          <w:tab w:val="left" w:pos="668"/>
        </w:tabs>
        <w:ind w:left="101" w:right="116"/>
        <w:rPr>
          <w:i/>
          <w:color w:val="A6A6A6"/>
          <w:szCs w:val="18"/>
        </w:rPr>
      </w:pPr>
      <w:r w:rsidRPr="00EB2931">
        <w:rPr>
          <w:i/>
          <w:color w:val="A6A6A6"/>
          <w:szCs w:val="18"/>
        </w:rPr>
        <w:t>b) pô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ičk</w:t>
      </w:r>
      <w:r w:rsidRPr="00EB2931">
        <w:rPr>
          <w:i/>
          <w:color w:val="A6A6A6"/>
          <w:spacing w:val="-2"/>
          <w:szCs w:val="18"/>
        </w:rPr>
        <w:t>á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 xml:space="preserve">h </w:t>
      </w:r>
      <w:r w:rsidRPr="00EB2931">
        <w:rPr>
          <w:i/>
          <w:color w:val="A6A6A6"/>
          <w:spacing w:val="33"/>
          <w:szCs w:val="18"/>
        </w:rPr>
        <w:t xml:space="preserve"> </w:t>
      </w:r>
      <w:r w:rsidRPr="00EB2931">
        <w:rPr>
          <w:i/>
          <w:color w:val="A6A6A6"/>
          <w:szCs w:val="18"/>
        </w:rPr>
        <w:t>pos</w:t>
      </w:r>
      <w:r w:rsidRPr="00EB2931">
        <w:rPr>
          <w:i/>
          <w:color w:val="A6A6A6"/>
          <w:spacing w:val="4"/>
          <w:szCs w:val="18"/>
        </w:rPr>
        <w:t>k</w:t>
      </w:r>
      <w:r w:rsidRPr="00EB2931">
        <w:rPr>
          <w:i/>
          <w:color w:val="A6A6A6"/>
          <w:spacing w:val="-5"/>
          <w:szCs w:val="18"/>
        </w:rPr>
        <w:t>y</w:t>
      </w:r>
      <w:r w:rsidRPr="00EB2931">
        <w:rPr>
          <w:i/>
          <w:color w:val="A6A6A6"/>
          <w:szCs w:val="18"/>
        </w:rPr>
        <w:t>tnu</w:t>
      </w:r>
      <w:r w:rsidRPr="00EB2931">
        <w:rPr>
          <w:i/>
          <w:color w:val="A6A6A6"/>
          <w:spacing w:val="3"/>
          <w:szCs w:val="18"/>
        </w:rPr>
        <w:t>t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 xml:space="preserve">h </w:t>
      </w:r>
      <w:r w:rsidRPr="00EB2931">
        <w:rPr>
          <w:i/>
          <w:color w:val="A6A6A6"/>
          <w:spacing w:val="37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 xml:space="preserve">lenom </w:t>
      </w:r>
      <w:r w:rsidRPr="00EB2931">
        <w:rPr>
          <w:i/>
          <w:color w:val="A6A6A6"/>
          <w:spacing w:val="33"/>
          <w:szCs w:val="18"/>
        </w:rPr>
        <w:t xml:space="preserve"> </w:t>
      </w:r>
      <w:r w:rsidRPr="00EB2931">
        <w:rPr>
          <w:i/>
          <w:color w:val="A6A6A6"/>
          <w:szCs w:val="18"/>
        </w:rPr>
        <w:t>štatut</w:t>
      </w:r>
      <w:r w:rsidRPr="00EB2931">
        <w:rPr>
          <w:i/>
          <w:color w:val="A6A6A6"/>
          <w:spacing w:val="1"/>
          <w:szCs w:val="18"/>
        </w:rPr>
        <w:t>á</w:t>
      </w:r>
      <w:r w:rsidRPr="00EB2931">
        <w:rPr>
          <w:i/>
          <w:color w:val="A6A6A6"/>
          <w:szCs w:val="18"/>
        </w:rPr>
        <w:t>rn</w:t>
      </w:r>
      <w:r w:rsidRPr="00EB2931">
        <w:rPr>
          <w:i/>
          <w:color w:val="A6A6A6"/>
          <w:spacing w:val="-2"/>
          <w:szCs w:val="18"/>
        </w:rPr>
        <w:t>e</w:t>
      </w:r>
      <w:r w:rsidRPr="00EB2931">
        <w:rPr>
          <w:i/>
          <w:color w:val="A6A6A6"/>
          <w:szCs w:val="18"/>
        </w:rPr>
        <w:t xml:space="preserve">ho </w:t>
      </w:r>
      <w:r w:rsidRPr="00EB2931">
        <w:rPr>
          <w:i/>
          <w:color w:val="A6A6A6"/>
          <w:spacing w:val="37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 xml:space="preserve">nu, </w:t>
      </w:r>
      <w:r w:rsidRPr="00EB2931">
        <w:rPr>
          <w:i/>
          <w:color w:val="A6A6A6"/>
          <w:spacing w:val="33"/>
          <w:szCs w:val="18"/>
        </w:rPr>
        <w:t xml:space="preserve"> </w:t>
      </w:r>
      <w:r w:rsidRPr="00EB2931">
        <w:rPr>
          <w:i/>
          <w:color w:val="A6A6A6"/>
          <w:szCs w:val="18"/>
        </w:rPr>
        <w:t>do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 xml:space="preserve">ho 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 xml:space="preserve">nu </w:t>
      </w:r>
      <w:r w:rsidRPr="00EB2931">
        <w:rPr>
          <w:i/>
          <w:color w:val="A6A6A6"/>
          <w:spacing w:val="37"/>
          <w:szCs w:val="18"/>
        </w:rPr>
        <w:t xml:space="preserve"> 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iného o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nu 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tovnej jednot</w:t>
      </w:r>
      <w:r w:rsidRPr="00EB2931">
        <w:rPr>
          <w:i/>
          <w:color w:val="A6A6A6"/>
          <w:spacing w:val="4"/>
          <w:szCs w:val="18"/>
        </w:rPr>
        <w:t>k</w:t>
      </w:r>
      <w:r w:rsidRPr="00EB2931">
        <w:rPr>
          <w:i/>
          <w:color w:val="A6A6A6"/>
          <w:szCs w:val="18"/>
        </w:rPr>
        <w:t>y</w:t>
      </w:r>
      <w:r w:rsidRPr="00EB2931">
        <w:rPr>
          <w:i/>
          <w:color w:val="A6A6A6"/>
          <w:spacing w:val="-3"/>
          <w:szCs w:val="18"/>
        </w:rPr>
        <w:t xml:space="preserve"> 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> </w:t>
      </w:r>
      <w:r w:rsidRPr="00EB2931">
        <w:rPr>
          <w:i/>
          <w:color w:val="A6A6A6"/>
          <w:szCs w:val="18"/>
        </w:rPr>
        <w:t xml:space="preserve">to - </w:t>
      </w:r>
      <w:r w:rsidRPr="00EB2931">
        <w:rPr>
          <w:i/>
          <w:color w:val="A6A6A6"/>
          <w:spacing w:val="-1"/>
          <w:szCs w:val="18"/>
        </w:rPr>
        <w:t>ce</w:t>
      </w:r>
      <w:r w:rsidRPr="00EB2931">
        <w:rPr>
          <w:i/>
          <w:color w:val="A6A6A6"/>
          <w:szCs w:val="18"/>
        </w:rPr>
        <w:t xml:space="preserve">lková </w:t>
      </w:r>
      <w:r w:rsidRPr="00EB2931">
        <w:rPr>
          <w:i/>
          <w:color w:val="A6A6A6"/>
          <w:spacing w:val="54"/>
          <w:szCs w:val="18"/>
        </w:rPr>
        <w:t xml:space="preserve"> </w:t>
      </w:r>
      <w:r w:rsidRPr="00EB2931">
        <w:rPr>
          <w:i/>
          <w:color w:val="A6A6A6"/>
          <w:szCs w:val="18"/>
        </w:rPr>
        <w:t xml:space="preserve">suma </w:t>
      </w:r>
      <w:r w:rsidRPr="00EB2931">
        <w:rPr>
          <w:i/>
          <w:color w:val="A6A6A6"/>
          <w:spacing w:val="54"/>
          <w:szCs w:val="18"/>
        </w:rPr>
        <w:t xml:space="preserve"> </w:t>
      </w:r>
      <w:r w:rsidRPr="00EB2931">
        <w:rPr>
          <w:i/>
          <w:color w:val="A6A6A6"/>
          <w:szCs w:val="18"/>
        </w:rPr>
        <w:t>pos</w:t>
      </w:r>
      <w:r w:rsidRPr="00EB2931">
        <w:rPr>
          <w:i/>
          <w:color w:val="A6A6A6"/>
          <w:spacing w:val="2"/>
          <w:szCs w:val="18"/>
        </w:rPr>
        <w:t>k</w:t>
      </w:r>
      <w:r w:rsidRPr="00EB2931">
        <w:rPr>
          <w:i/>
          <w:color w:val="A6A6A6"/>
          <w:spacing w:val="-5"/>
          <w:szCs w:val="18"/>
        </w:rPr>
        <w:t>y</w:t>
      </w:r>
      <w:r w:rsidRPr="00EB2931">
        <w:rPr>
          <w:i/>
          <w:color w:val="A6A6A6"/>
          <w:szCs w:val="18"/>
        </w:rPr>
        <w:t>t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zCs w:val="18"/>
        </w:rPr>
        <w:t>u</w:t>
      </w:r>
      <w:r w:rsidRPr="00EB2931">
        <w:rPr>
          <w:i/>
          <w:color w:val="A6A6A6"/>
          <w:spacing w:val="2"/>
          <w:szCs w:val="18"/>
        </w:rPr>
        <w:t>t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 xml:space="preserve">h </w:t>
      </w:r>
      <w:r w:rsidRPr="00EB2931">
        <w:rPr>
          <w:i/>
          <w:color w:val="A6A6A6"/>
          <w:spacing w:val="54"/>
          <w:szCs w:val="18"/>
        </w:rPr>
        <w:t xml:space="preserve"> </w:t>
      </w:r>
      <w:r w:rsidRPr="00EB2931">
        <w:rPr>
          <w:i/>
          <w:color w:val="A6A6A6"/>
          <w:szCs w:val="18"/>
        </w:rPr>
        <w:t>pô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iči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 xml:space="preserve">k </w:t>
      </w:r>
      <w:r w:rsidRPr="00EB2931">
        <w:rPr>
          <w:i/>
          <w:color w:val="A6A6A6"/>
          <w:spacing w:val="57"/>
          <w:szCs w:val="18"/>
        </w:rPr>
        <w:t xml:space="preserve"> </w:t>
      </w:r>
      <w:r w:rsidRPr="00EB2931">
        <w:rPr>
          <w:i/>
          <w:color w:val="A6A6A6"/>
          <w:szCs w:val="18"/>
        </w:rPr>
        <w:t>k posl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dn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 xml:space="preserve">mu </w:t>
      </w:r>
      <w:r w:rsidRPr="00EB2931">
        <w:rPr>
          <w:i/>
          <w:color w:val="A6A6A6"/>
          <w:spacing w:val="55"/>
          <w:szCs w:val="18"/>
        </w:rPr>
        <w:t xml:space="preserve"> </w:t>
      </w:r>
      <w:r w:rsidRPr="00EB2931">
        <w:rPr>
          <w:i/>
          <w:color w:val="A6A6A6"/>
          <w:szCs w:val="18"/>
        </w:rPr>
        <w:t xml:space="preserve">dňu </w:t>
      </w:r>
      <w:r w:rsidRPr="00EB2931">
        <w:rPr>
          <w:i/>
          <w:color w:val="A6A6A6"/>
          <w:spacing w:val="54"/>
          <w:szCs w:val="18"/>
        </w:rPr>
        <w:t xml:space="preserve"> </w:t>
      </w:r>
      <w:r w:rsidRPr="00EB2931">
        <w:rPr>
          <w:i/>
          <w:color w:val="A6A6A6"/>
          <w:szCs w:val="18"/>
        </w:rPr>
        <w:t>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 xml:space="preserve">tovného </w:t>
      </w:r>
      <w:r w:rsidRPr="00EB2931">
        <w:rPr>
          <w:i/>
          <w:color w:val="A6A6A6"/>
          <w:spacing w:val="54"/>
          <w:szCs w:val="18"/>
        </w:rPr>
        <w:t xml:space="preserve"> </w:t>
      </w:r>
      <w:r w:rsidRPr="00EB2931">
        <w:rPr>
          <w:i/>
          <w:color w:val="A6A6A6"/>
          <w:szCs w:val="18"/>
        </w:rPr>
        <w:t xml:space="preserve">obdobia v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len</w:t>
      </w:r>
      <w:r w:rsidRPr="00EB2931">
        <w:rPr>
          <w:i/>
          <w:color w:val="A6A6A6"/>
          <w:spacing w:val="-2"/>
          <w:szCs w:val="18"/>
        </w:rPr>
        <w:t>e</w:t>
      </w:r>
      <w:r w:rsidRPr="00EB2931">
        <w:rPr>
          <w:i/>
          <w:color w:val="A6A6A6"/>
          <w:szCs w:val="18"/>
        </w:rPr>
        <w:t xml:space="preserve">ní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jednotl</w:t>
      </w:r>
      <w:r w:rsidRPr="00EB2931">
        <w:rPr>
          <w:i/>
          <w:color w:val="A6A6A6"/>
          <w:spacing w:val="1"/>
          <w:szCs w:val="18"/>
        </w:rPr>
        <w:t>i</w:t>
      </w:r>
      <w:r w:rsidRPr="00EB2931">
        <w:rPr>
          <w:i/>
          <w:color w:val="A6A6A6"/>
          <w:szCs w:val="18"/>
        </w:rPr>
        <w:t>vé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pacing w:val="4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 xml:space="preserve">y a </w:t>
      </w:r>
      <w:r w:rsidRPr="00EB2931">
        <w:rPr>
          <w:i/>
          <w:color w:val="A6A6A6"/>
          <w:spacing w:val="-1"/>
          <w:szCs w:val="18"/>
        </w:rPr>
        <w:t>ce</w:t>
      </w:r>
      <w:r w:rsidRPr="00EB2931">
        <w:rPr>
          <w:i/>
          <w:color w:val="A6A6A6"/>
          <w:szCs w:val="18"/>
        </w:rPr>
        <w:t>lková</w:t>
      </w:r>
      <w:r w:rsidRPr="00EB2931">
        <w:rPr>
          <w:i/>
          <w:color w:val="A6A6A6"/>
          <w:spacing w:val="16"/>
          <w:szCs w:val="18"/>
        </w:rPr>
        <w:t xml:space="preserve"> </w:t>
      </w:r>
      <w:r w:rsidRPr="00EB2931">
        <w:rPr>
          <w:i/>
          <w:color w:val="A6A6A6"/>
          <w:szCs w:val="18"/>
        </w:rPr>
        <w:t>suma</w:t>
      </w:r>
      <w:r w:rsidRPr="00EB2931">
        <w:rPr>
          <w:i/>
          <w:color w:val="A6A6A6"/>
          <w:spacing w:val="16"/>
          <w:szCs w:val="18"/>
        </w:rPr>
        <w:t xml:space="preserve"> </w:t>
      </w:r>
      <w:r w:rsidRPr="00EB2931">
        <w:rPr>
          <w:i/>
          <w:color w:val="A6A6A6"/>
          <w:szCs w:val="18"/>
        </w:rPr>
        <w:t>splat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pacing w:val="4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18"/>
          <w:szCs w:val="18"/>
        </w:rPr>
        <w:t xml:space="preserve"> </w:t>
      </w:r>
      <w:r w:rsidRPr="00EB2931">
        <w:rPr>
          <w:i/>
          <w:color w:val="A6A6A6"/>
          <w:szCs w:val="18"/>
        </w:rPr>
        <w:t>pô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iči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k</w:t>
      </w:r>
      <w:r w:rsidRPr="00EB2931">
        <w:rPr>
          <w:i/>
          <w:color w:val="A6A6A6"/>
          <w:spacing w:val="19"/>
          <w:szCs w:val="18"/>
        </w:rPr>
        <w:t xml:space="preserve"> </w:t>
      </w:r>
      <w:r w:rsidRPr="00EB2931">
        <w:rPr>
          <w:i/>
          <w:color w:val="A6A6A6"/>
          <w:szCs w:val="18"/>
        </w:rPr>
        <w:t>k posl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dn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>mu</w:t>
      </w:r>
      <w:r w:rsidRPr="00EB2931">
        <w:rPr>
          <w:i/>
          <w:color w:val="A6A6A6"/>
          <w:spacing w:val="17"/>
          <w:szCs w:val="18"/>
        </w:rPr>
        <w:t xml:space="preserve"> </w:t>
      </w:r>
      <w:r w:rsidRPr="00EB2931">
        <w:rPr>
          <w:i/>
          <w:color w:val="A6A6A6"/>
          <w:szCs w:val="18"/>
        </w:rPr>
        <w:t>dňu</w:t>
      </w:r>
      <w:r w:rsidRPr="00EB2931">
        <w:rPr>
          <w:i/>
          <w:color w:val="A6A6A6"/>
          <w:spacing w:val="16"/>
          <w:szCs w:val="18"/>
        </w:rPr>
        <w:t xml:space="preserve"> </w:t>
      </w:r>
      <w:r w:rsidRPr="00EB2931">
        <w:rPr>
          <w:i/>
          <w:color w:val="A6A6A6"/>
          <w:szCs w:val="18"/>
        </w:rPr>
        <w:t>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tovného</w:t>
      </w:r>
      <w:r w:rsidRPr="00EB2931">
        <w:rPr>
          <w:i/>
          <w:color w:val="A6A6A6"/>
          <w:spacing w:val="16"/>
          <w:szCs w:val="18"/>
        </w:rPr>
        <w:t xml:space="preserve"> </w:t>
      </w:r>
      <w:r w:rsidRPr="00EB2931">
        <w:rPr>
          <w:i/>
          <w:color w:val="A6A6A6"/>
          <w:szCs w:val="18"/>
        </w:rPr>
        <w:t>obdobia</w:t>
      </w:r>
      <w:r w:rsidRPr="00EB2931">
        <w:rPr>
          <w:i/>
          <w:color w:val="A6A6A6"/>
          <w:spacing w:val="16"/>
          <w:szCs w:val="18"/>
        </w:rPr>
        <w:t xml:space="preserve"> </w:t>
      </w:r>
      <w:r w:rsidRPr="00EB2931">
        <w:rPr>
          <w:i/>
          <w:color w:val="A6A6A6"/>
          <w:szCs w:val="18"/>
        </w:rPr>
        <w:t>v</w:t>
      </w:r>
      <w:r w:rsidRPr="00EB2931">
        <w:rPr>
          <w:i/>
          <w:color w:val="A6A6A6"/>
          <w:spacing w:val="2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len</w:t>
      </w:r>
      <w:r w:rsidRPr="00EB2931">
        <w:rPr>
          <w:i/>
          <w:color w:val="A6A6A6"/>
          <w:spacing w:val="-2"/>
          <w:szCs w:val="18"/>
        </w:rPr>
        <w:t>e</w:t>
      </w:r>
      <w:r w:rsidRPr="00EB2931">
        <w:rPr>
          <w:i/>
          <w:color w:val="A6A6A6"/>
          <w:szCs w:val="18"/>
        </w:rPr>
        <w:t xml:space="preserve">ní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jednotlivé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or</w:t>
      </w:r>
      <w:r w:rsidRPr="00EB2931">
        <w:rPr>
          <w:i/>
          <w:color w:val="A6A6A6"/>
          <w:spacing w:val="-4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pacing w:val="4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 xml:space="preserve">y a </w:t>
      </w:r>
      <w:r w:rsidRPr="00EB2931">
        <w:rPr>
          <w:i/>
          <w:color w:val="A6A6A6"/>
          <w:spacing w:val="-1"/>
          <w:szCs w:val="18"/>
        </w:rPr>
        <w:t>ce</w:t>
      </w:r>
      <w:r w:rsidRPr="00EB2931">
        <w:rPr>
          <w:i/>
          <w:color w:val="A6A6A6"/>
          <w:szCs w:val="18"/>
        </w:rPr>
        <w:t xml:space="preserve">lková </w:t>
      </w:r>
      <w:r w:rsidRPr="00EB2931">
        <w:rPr>
          <w:i/>
          <w:color w:val="A6A6A6"/>
          <w:spacing w:val="20"/>
          <w:szCs w:val="18"/>
        </w:rPr>
        <w:t xml:space="preserve"> </w:t>
      </w:r>
      <w:r w:rsidRPr="00EB2931">
        <w:rPr>
          <w:i/>
          <w:color w:val="A6A6A6"/>
          <w:szCs w:val="18"/>
        </w:rPr>
        <w:t>su</w:t>
      </w:r>
      <w:r w:rsidRPr="00EB2931">
        <w:rPr>
          <w:i/>
          <w:color w:val="A6A6A6"/>
          <w:spacing w:val="2"/>
          <w:szCs w:val="18"/>
        </w:rPr>
        <w:t>m</w:t>
      </w:r>
      <w:r w:rsidRPr="00EB2931">
        <w:rPr>
          <w:i/>
          <w:color w:val="A6A6A6"/>
          <w:szCs w:val="18"/>
        </w:rPr>
        <w:t xml:space="preserve">a </w:t>
      </w:r>
      <w:r w:rsidRPr="00EB2931">
        <w:rPr>
          <w:i/>
          <w:color w:val="A6A6A6"/>
          <w:spacing w:val="20"/>
          <w:szCs w:val="18"/>
        </w:rPr>
        <w:t xml:space="preserve"> </w:t>
      </w:r>
      <w:r w:rsidRPr="00EB2931">
        <w:rPr>
          <w:i/>
          <w:color w:val="A6A6A6"/>
          <w:szCs w:val="18"/>
        </w:rPr>
        <w:t>odpust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 xml:space="preserve">h 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zCs w:val="18"/>
        </w:rPr>
        <w:t>pô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iči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 xml:space="preserve">k </w:t>
      </w:r>
      <w:r w:rsidRPr="00EB2931">
        <w:rPr>
          <w:i/>
          <w:color w:val="A6A6A6"/>
          <w:spacing w:val="21"/>
          <w:szCs w:val="18"/>
        </w:rPr>
        <w:t xml:space="preserve"> 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2"/>
          <w:szCs w:val="18"/>
        </w:rPr>
        <w:t xml:space="preserve"> </w:t>
      </w:r>
      <w:r w:rsidRPr="00EB2931">
        <w:rPr>
          <w:i/>
          <w:color w:val="A6A6A6"/>
          <w:szCs w:val="18"/>
        </w:rPr>
        <w:t>odpí</w:t>
      </w:r>
      <w:r w:rsidRPr="00EB2931">
        <w:rPr>
          <w:i/>
          <w:color w:val="A6A6A6"/>
          <w:spacing w:val="2"/>
          <w:szCs w:val="18"/>
        </w:rPr>
        <w:t>s</w:t>
      </w:r>
      <w:r w:rsidRPr="00EB2931">
        <w:rPr>
          <w:i/>
          <w:color w:val="A6A6A6"/>
          <w:spacing w:val="-1"/>
          <w:szCs w:val="18"/>
        </w:rPr>
        <w:t>a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 xml:space="preserve">h 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zCs w:val="18"/>
        </w:rPr>
        <w:t>pô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iči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 xml:space="preserve">k 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zCs w:val="18"/>
        </w:rPr>
        <w:t>k posl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d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 xml:space="preserve">mu </w:t>
      </w:r>
      <w:r w:rsidRPr="00EB2931">
        <w:rPr>
          <w:i/>
          <w:color w:val="A6A6A6"/>
          <w:spacing w:val="21"/>
          <w:szCs w:val="18"/>
        </w:rPr>
        <w:t xml:space="preserve"> </w:t>
      </w:r>
      <w:r w:rsidRPr="00EB2931">
        <w:rPr>
          <w:i/>
          <w:color w:val="A6A6A6"/>
          <w:szCs w:val="18"/>
        </w:rPr>
        <w:t>dňu 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tovného obdobia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 xml:space="preserve">v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l</w:t>
      </w:r>
      <w:r w:rsidRPr="00EB2931">
        <w:rPr>
          <w:i/>
          <w:color w:val="A6A6A6"/>
          <w:spacing w:val="1"/>
          <w:szCs w:val="18"/>
        </w:rPr>
        <w:t>e</w:t>
      </w:r>
      <w:r w:rsidRPr="00EB2931">
        <w:rPr>
          <w:i/>
          <w:color w:val="A6A6A6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 xml:space="preserve">ní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jednotlivé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org</w:t>
      </w:r>
      <w:r w:rsidRPr="00EB2931">
        <w:rPr>
          <w:i/>
          <w:color w:val="A6A6A6"/>
          <w:spacing w:val="-2"/>
          <w:szCs w:val="18"/>
        </w:rPr>
        <w:t>á</w:t>
      </w:r>
      <w:r w:rsidRPr="00EB2931">
        <w:rPr>
          <w:i/>
          <w:color w:val="A6A6A6"/>
          <w:spacing w:val="4"/>
          <w:szCs w:val="18"/>
        </w:rPr>
        <w:t>n</w:t>
      </w:r>
      <w:r w:rsidRPr="00EB2931">
        <w:rPr>
          <w:i/>
          <w:color w:val="A6A6A6"/>
          <w:spacing w:val="-2"/>
          <w:szCs w:val="18"/>
        </w:rPr>
        <w:t>y:</w:t>
      </w:r>
    </w:p>
    <w:p w:rsidR="00322BB2" w:rsidRPr="00EB2931" w:rsidRDefault="00322BB2" w:rsidP="00CD7358">
      <w:pPr>
        <w:pStyle w:val="BodyText"/>
        <w:tabs>
          <w:tab w:val="left" w:pos="668"/>
        </w:tabs>
        <w:ind w:left="101" w:right="116"/>
        <w:rPr>
          <w:i/>
          <w:color w:val="A6A6A6"/>
          <w:szCs w:val="18"/>
        </w:rPr>
      </w:pPr>
    </w:p>
    <w:p w:rsidR="00322BB2" w:rsidRPr="00EB2931" w:rsidRDefault="00322BB2" w:rsidP="00CD7358">
      <w:pPr>
        <w:pStyle w:val="BodyText"/>
        <w:tabs>
          <w:tab w:val="left" w:pos="668"/>
        </w:tabs>
        <w:ind w:left="101" w:right="116"/>
        <w:rPr>
          <w:i/>
          <w:color w:val="A6A6A6"/>
          <w:spacing w:val="-5"/>
          <w:szCs w:val="18"/>
        </w:rPr>
      </w:pPr>
      <w:r w:rsidRPr="00EB2931">
        <w:rPr>
          <w:i/>
          <w:color w:val="A6A6A6"/>
          <w:szCs w:val="18"/>
        </w:rPr>
        <w:t>c) hlav</w:t>
      </w:r>
      <w:r w:rsidRPr="00EB2931">
        <w:rPr>
          <w:i/>
          <w:color w:val="A6A6A6"/>
          <w:spacing w:val="1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zCs w:val="18"/>
        </w:rPr>
        <w:t>podmi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nk</w:t>
      </w:r>
      <w:r w:rsidRPr="00EB2931">
        <w:rPr>
          <w:i/>
          <w:color w:val="A6A6A6"/>
          <w:spacing w:val="1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>h,</w:t>
      </w:r>
      <w:r w:rsidRPr="00EB2931">
        <w:rPr>
          <w:i/>
          <w:color w:val="A6A6A6"/>
          <w:spacing w:val="28"/>
          <w:szCs w:val="18"/>
        </w:rPr>
        <w:t xml:space="preserve"> </w:t>
      </w:r>
      <w:r w:rsidRPr="00EB2931">
        <w:rPr>
          <w:i/>
          <w:color w:val="A6A6A6"/>
          <w:szCs w:val="18"/>
        </w:rPr>
        <w:t>na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klade</w:t>
      </w:r>
      <w:r w:rsidRPr="00EB2931">
        <w:rPr>
          <w:i/>
          <w:color w:val="A6A6A6"/>
          <w:spacing w:val="22"/>
          <w:szCs w:val="18"/>
        </w:rPr>
        <w:t xml:space="preserve"> </w:t>
      </w:r>
      <w:r w:rsidRPr="00EB2931">
        <w:rPr>
          <w:i/>
          <w:color w:val="A6A6A6"/>
          <w:szCs w:val="18"/>
        </w:rPr>
        <w:t>kto</w:t>
      </w:r>
      <w:r w:rsidRPr="00EB2931">
        <w:rPr>
          <w:i/>
          <w:color w:val="A6A6A6"/>
          <w:spacing w:val="4"/>
          <w:szCs w:val="18"/>
        </w:rPr>
        <w:t>r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zCs w:val="18"/>
        </w:rPr>
        <w:t>im</w:t>
      </w:r>
      <w:r w:rsidRPr="00EB2931">
        <w:rPr>
          <w:i/>
          <w:color w:val="A6A6A6"/>
          <w:spacing w:val="24"/>
          <w:szCs w:val="18"/>
        </w:rPr>
        <w:t xml:space="preserve"> </w:t>
      </w:r>
      <w:r w:rsidRPr="00EB2931">
        <w:rPr>
          <w:i/>
          <w:color w:val="A6A6A6"/>
          <w:spacing w:val="2"/>
          <w:szCs w:val="18"/>
        </w:rPr>
        <w:t>b</w:t>
      </w:r>
      <w:r w:rsidRPr="00EB2931">
        <w:rPr>
          <w:i/>
          <w:color w:val="A6A6A6"/>
          <w:szCs w:val="18"/>
        </w:rPr>
        <w:t>oli</w:t>
      </w:r>
      <w:r w:rsidRPr="00EB2931">
        <w:rPr>
          <w:i/>
          <w:color w:val="A6A6A6"/>
          <w:spacing w:val="24"/>
          <w:szCs w:val="18"/>
        </w:rPr>
        <w:t xml:space="preserve">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ru</w:t>
      </w:r>
      <w:r w:rsidRPr="00EB2931">
        <w:rPr>
          <w:i/>
          <w:color w:val="A6A6A6"/>
          <w:spacing w:val="1"/>
          <w:szCs w:val="18"/>
        </w:rPr>
        <w:t>k</w:t>
      </w:r>
      <w:r w:rsidRPr="00EB2931">
        <w:rPr>
          <w:i/>
          <w:color w:val="A6A6A6"/>
          <w:szCs w:val="18"/>
        </w:rPr>
        <w:t>y</w:t>
      </w:r>
      <w:r w:rsidRPr="00EB2931">
        <w:rPr>
          <w:i/>
          <w:color w:val="A6A6A6"/>
          <w:spacing w:val="21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a</w:t>
      </w:r>
      <w:r w:rsidRPr="00EB2931">
        <w:rPr>
          <w:i/>
          <w:color w:val="A6A6A6"/>
          <w:szCs w:val="18"/>
        </w:rPr>
        <w:t>lebo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zCs w:val="18"/>
        </w:rPr>
        <w:t>iné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pacing w:val="-1"/>
          <w:szCs w:val="18"/>
        </w:rPr>
        <w:t>a</w:t>
      </w:r>
      <w:r w:rsidRPr="00EB2931">
        <w:rPr>
          <w:i/>
          <w:color w:val="A6A6A6"/>
          <w:spacing w:val="2"/>
          <w:szCs w:val="18"/>
        </w:rPr>
        <w:t>b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p</w:t>
      </w:r>
      <w:r w:rsidRPr="00EB2931">
        <w:rPr>
          <w:i/>
          <w:color w:val="A6A6A6"/>
          <w:spacing w:val="-1"/>
          <w:szCs w:val="18"/>
        </w:rPr>
        <w:t>eče</w:t>
      </w:r>
      <w:r w:rsidRPr="00EB2931">
        <w:rPr>
          <w:i/>
          <w:color w:val="A6A6A6"/>
          <w:szCs w:val="18"/>
        </w:rPr>
        <w:t>nie</w:t>
      </w:r>
      <w:r w:rsidRPr="00EB2931">
        <w:rPr>
          <w:i/>
          <w:color w:val="A6A6A6"/>
          <w:spacing w:val="25"/>
          <w:szCs w:val="18"/>
        </w:rPr>
        <w:t xml:space="preserve"> </w:t>
      </w:r>
      <w:r w:rsidRPr="00EB2931">
        <w:rPr>
          <w:i/>
          <w:color w:val="A6A6A6"/>
          <w:szCs w:val="18"/>
        </w:rPr>
        <w:t>a pô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ič</w:t>
      </w:r>
      <w:r w:rsidRPr="00EB2931">
        <w:rPr>
          <w:i/>
          <w:color w:val="A6A6A6"/>
          <w:spacing w:val="1"/>
          <w:szCs w:val="18"/>
        </w:rPr>
        <w:t>k</w:t>
      </w:r>
      <w:r w:rsidRPr="00EB2931">
        <w:rPr>
          <w:i/>
          <w:color w:val="A6A6A6"/>
          <w:szCs w:val="18"/>
        </w:rPr>
        <w:t>y</w:t>
      </w:r>
      <w:r w:rsidRPr="00EB2931">
        <w:rPr>
          <w:i/>
          <w:color w:val="A6A6A6"/>
          <w:spacing w:val="-5"/>
          <w:szCs w:val="18"/>
        </w:rPr>
        <w:t xml:space="preserve"> </w:t>
      </w:r>
      <w:r w:rsidRPr="00EB2931">
        <w:rPr>
          <w:i/>
          <w:color w:val="A6A6A6"/>
          <w:szCs w:val="18"/>
        </w:rPr>
        <w:t>pos</w:t>
      </w:r>
      <w:r w:rsidRPr="00EB2931">
        <w:rPr>
          <w:i/>
          <w:color w:val="A6A6A6"/>
          <w:spacing w:val="4"/>
          <w:szCs w:val="18"/>
        </w:rPr>
        <w:t>k</w:t>
      </w:r>
      <w:r w:rsidRPr="00EB2931">
        <w:rPr>
          <w:i/>
          <w:color w:val="A6A6A6"/>
          <w:spacing w:val="-8"/>
          <w:szCs w:val="18"/>
        </w:rPr>
        <w:t>y</w:t>
      </w:r>
      <w:r w:rsidRPr="00EB2931">
        <w:rPr>
          <w:i/>
          <w:color w:val="A6A6A6"/>
          <w:szCs w:val="18"/>
        </w:rPr>
        <w:t>tnut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 xml:space="preserve">; </w:t>
      </w:r>
      <w:r w:rsidRPr="00EB2931">
        <w:rPr>
          <w:i/>
          <w:color w:val="A6A6A6"/>
          <w:spacing w:val="2"/>
          <w:szCs w:val="18"/>
        </w:rPr>
        <w:t>p</w:t>
      </w:r>
      <w:r w:rsidRPr="00EB2931">
        <w:rPr>
          <w:i/>
          <w:color w:val="A6A6A6"/>
          <w:szCs w:val="18"/>
        </w:rPr>
        <w:t>ri pôžičk</w:t>
      </w:r>
      <w:r w:rsidRPr="00EB2931">
        <w:rPr>
          <w:i/>
          <w:color w:val="A6A6A6"/>
          <w:spacing w:val="-2"/>
          <w:szCs w:val="18"/>
        </w:rPr>
        <w:t>á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 xml:space="preserve">h sa </w:t>
      </w:r>
      <w:r w:rsidRPr="00EB2931">
        <w:rPr>
          <w:i/>
          <w:color w:val="A6A6A6"/>
          <w:spacing w:val="-1"/>
          <w:szCs w:val="18"/>
        </w:rPr>
        <w:t>u</w:t>
      </w:r>
      <w:r w:rsidRPr="00EB2931">
        <w:rPr>
          <w:i/>
          <w:color w:val="A6A6A6"/>
          <w:szCs w:val="18"/>
        </w:rPr>
        <w:t>v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d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pacing w:val="-1"/>
          <w:szCs w:val="18"/>
        </w:rPr>
        <w:t>a</w:t>
      </w:r>
      <w:r w:rsidRPr="00EB2931">
        <w:rPr>
          <w:i/>
          <w:color w:val="A6A6A6"/>
          <w:szCs w:val="18"/>
        </w:rPr>
        <w:t>jú úr</w:t>
      </w:r>
      <w:r w:rsidRPr="00EB2931">
        <w:rPr>
          <w:i/>
          <w:color w:val="A6A6A6"/>
          <w:spacing w:val="1"/>
          <w:szCs w:val="18"/>
        </w:rPr>
        <w:t>o</w:t>
      </w:r>
      <w:r w:rsidRPr="00EB2931">
        <w:rPr>
          <w:i/>
          <w:color w:val="A6A6A6"/>
          <w:szCs w:val="18"/>
        </w:rPr>
        <w:t>kové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sadz</w:t>
      </w:r>
      <w:r w:rsidRPr="00EB2931">
        <w:rPr>
          <w:i/>
          <w:color w:val="A6A6A6"/>
          <w:spacing w:val="2"/>
          <w:szCs w:val="18"/>
        </w:rPr>
        <w:t>b</w:t>
      </w:r>
      <w:r w:rsidRPr="00EB2931">
        <w:rPr>
          <w:i/>
          <w:color w:val="A6A6A6"/>
          <w:spacing w:val="-5"/>
          <w:szCs w:val="18"/>
        </w:rPr>
        <w:t>y:</w:t>
      </w:r>
    </w:p>
    <w:p w:rsidR="00322BB2" w:rsidRPr="00EB2931" w:rsidRDefault="00322BB2" w:rsidP="00CD7358">
      <w:pPr>
        <w:pStyle w:val="BodyText"/>
        <w:tabs>
          <w:tab w:val="left" w:pos="668"/>
        </w:tabs>
        <w:ind w:left="101" w:right="116"/>
        <w:rPr>
          <w:i/>
          <w:color w:val="A6A6A6"/>
          <w:spacing w:val="-5"/>
          <w:szCs w:val="18"/>
        </w:rPr>
      </w:pPr>
    </w:p>
    <w:p w:rsidR="00322BB2" w:rsidRPr="00EB2931" w:rsidRDefault="00322BB2" w:rsidP="00CD7358">
      <w:pPr>
        <w:pStyle w:val="BodyText"/>
        <w:tabs>
          <w:tab w:val="left" w:pos="668"/>
        </w:tabs>
        <w:ind w:left="101" w:right="116"/>
        <w:rPr>
          <w:i/>
          <w:color w:val="A6A6A6"/>
          <w:szCs w:val="18"/>
        </w:rPr>
      </w:pPr>
      <w:r w:rsidRPr="00EB2931">
        <w:rPr>
          <w:i/>
          <w:color w:val="A6A6A6"/>
          <w:spacing w:val="-5"/>
          <w:szCs w:val="18"/>
        </w:rPr>
        <w:t xml:space="preserve">d) </w:t>
      </w:r>
      <w:r w:rsidRPr="00EB2931">
        <w:rPr>
          <w:i/>
          <w:color w:val="A6A6A6"/>
          <w:spacing w:val="-1"/>
          <w:szCs w:val="18"/>
        </w:rPr>
        <w:t>ce</w:t>
      </w:r>
      <w:r w:rsidRPr="00EB2931">
        <w:rPr>
          <w:i/>
          <w:color w:val="A6A6A6"/>
          <w:szCs w:val="18"/>
        </w:rPr>
        <w:t>lkovej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sume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pou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</w:t>
      </w:r>
      <w:r w:rsidRPr="00EB2931">
        <w:rPr>
          <w:i/>
          <w:color w:val="A6A6A6"/>
          <w:spacing w:val="3"/>
          <w:szCs w:val="18"/>
        </w:rPr>
        <w:t>t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fin</w:t>
      </w:r>
      <w:r w:rsidRPr="00EB2931">
        <w:rPr>
          <w:i/>
          <w:color w:val="A6A6A6"/>
          <w:spacing w:val="-2"/>
          <w:szCs w:val="18"/>
        </w:rPr>
        <w:t>a</w:t>
      </w:r>
      <w:r w:rsidRPr="00EB2931">
        <w:rPr>
          <w:i/>
          <w:color w:val="A6A6A6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pacing w:val="4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p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ostried</w:t>
      </w:r>
      <w:r w:rsidRPr="00EB2931">
        <w:rPr>
          <w:i/>
          <w:color w:val="A6A6A6"/>
          <w:spacing w:val="1"/>
          <w:szCs w:val="18"/>
        </w:rPr>
        <w:t>k</w:t>
      </w:r>
      <w:r w:rsidRPr="00EB2931">
        <w:rPr>
          <w:i/>
          <w:color w:val="A6A6A6"/>
          <w:szCs w:val="18"/>
        </w:rPr>
        <w:t>ov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a</w:t>
      </w:r>
      <w:r w:rsidRPr="00EB2931">
        <w:rPr>
          <w:i/>
          <w:color w:val="A6A6A6"/>
          <w:szCs w:val="18"/>
        </w:rPr>
        <w:t>lebo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iného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plnenia</w:t>
      </w:r>
      <w:r w:rsidRPr="00EB2931">
        <w:rPr>
          <w:i/>
          <w:color w:val="A6A6A6"/>
          <w:spacing w:val="34"/>
          <w:szCs w:val="18"/>
        </w:rPr>
        <w:t xml:space="preserve"> </w:t>
      </w:r>
      <w:r w:rsidRPr="00EB2931">
        <w:rPr>
          <w:i/>
          <w:color w:val="A6A6A6"/>
          <w:szCs w:val="18"/>
        </w:rPr>
        <w:t>na</w:t>
      </w:r>
      <w:r w:rsidRPr="00EB2931">
        <w:rPr>
          <w:i/>
          <w:color w:val="A6A6A6"/>
          <w:spacing w:val="34"/>
          <w:szCs w:val="18"/>
        </w:rPr>
        <w:t xml:space="preserve"> </w:t>
      </w:r>
      <w:r w:rsidRPr="00EB2931">
        <w:rPr>
          <w:i/>
          <w:color w:val="A6A6A6"/>
          <w:szCs w:val="18"/>
        </w:rPr>
        <w:t>súkromné ú</w:t>
      </w:r>
      <w:r w:rsidRPr="00EB2931">
        <w:rPr>
          <w:i/>
          <w:color w:val="A6A6A6"/>
          <w:spacing w:val="-1"/>
          <w:szCs w:val="18"/>
        </w:rPr>
        <w:t>če</w:t>
      </w:r>
      <w:r w:rsidRPr="00EB2931">
        <w:rPr>
          <w:i/>
          <w:color w:val="A6A6A6"/>
          <w:spacing w:val="5"/>
          <w:szCs w:val="18"/>
        </w:rPr>
        <w:t>l</w:t>
      </w:r>
      <w:r w:rsidRPr="00EB2931">
        <w:rPr>
          <w:i/>
          <w:color w:val="A6A6A6"/>
          <w:szCs w:val="18"/>
        </w:rPr>
        <w:t>y</w:t>
      </w:r>
      <w:r w:rsidRPr="00EB2931">
        <w:rPr>
          <w:i/>
          <w:color w:val="A6A6A6"/>
          <w:spacing w:val="47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pacing w:val="2"/>
          <w:szCs w:val="18"/>
        </w:rPr>
        <w:t>l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nmi</w:t>
      </w:r>
      <w:r w:rsidRPr="00EB2931">
        <w:rPr>
          <w:i/>
          <w:color w:val="A6A6A6"/>
          <w:spacing w:val="53"/>
          <w:szCs w:val="18"/>
        </w:rPr>
        <w:t xml:space="preserve"> </w:t>
      </w:r>
      <w:r w:rsidRPr="00EB2931">
        <w:rPr>
          <w:i/>
          <w:color w:val="A6A6A6"/>
          <w:szCs w:val="18"/>
        </w:rPr>
        <w:t>štatut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rne</w:t>
      </w:r>
      <w:r w:rsidRPr="00EB2931">
        <w:rPr>
          <w:i/>
          <w:color w:val="A6A6A6"/>
          <w:spacing w:val="1"/>
          <w:szCs w:val="18"/>
        </w:rPr>
        <w:t>h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52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nu,</w:t>
      </w:r>
      <w:r w:rsidRPr="00EB2931">
        <w:rPr>
          <w:i/>
          <w:color w:val="A6A6A6"/>
          <w:spacing w:val="55"/>
          <w:szCs w:val="18"/>
        </w:rPr>
        <w:t xml:space="preserve"> </w:t>
      </w:r>
      <w:r w:rsidRPr="00EB2931">
        <w:rPr>
          <w:i/>
          <w:color w:val="A6A6A6"/>
          <w:szCs w:val="18"/>
        </w:rPr>
        <w:t>do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>ho</w:t>
      </w:r>
      <w:r w:rsidRPr="00EB2931">
        <w:rPr>
          <w:i/>
          <w:color w:val="A6A6A6"/>
          <w:spacing w:val="55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nu</w:t>
      </w:r>
      <w:r w:rsidRPr="00EB2931">
        <w:rPr>
          <w:i/>
          <w:color w:val="A6A6A6"/>
          <w:spacing w:val="54"/>
          <w:szCs w:val="18"/>
        </w:rPr>
        <w:t xml:space="preserve"> 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iného</w:t>
      </w:r>
      <w:r w:rsidRPr="00EB2931">
        <w:rPr>
          <w:i/>
          <w:color w:val="A6A6A6"/>
          <w:spacing w:val="52"/>
          <w:szCs w:val="18"/>
        </w:rPr>
        <w:t xml:space="preserve"> </w:t>
      </w:r>
      <w:r w:rsidRPr="00EB2931">
        <w:rPr>
          <w:i/>
          <w:color w:val="A6A6A6"/>
          <w:spacing w:val="2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zCs w:val="18"/>
        </w:rPr>
        <w:t>u</w:t>
      </w:r>
      <w:r w:rsidRPr="00EB2931">
        <w:rPr>
          <w:i/>
          <w:color w:val="A6A6A6"/>
          <w:spacing w:val="52"/>
          <w:szCs w:val="18"/>
        </w:rPr>
        <w:t xml:space="preserve"> </w:t>
      </w:r>
      <w:r w:rsidRPr="00EB2931">
        <w:rPr>
          <w:i/>
          <w:color w:val="A6A6A6"/>
          <w:szCs w:val="18"/>
        </w:rPr>
        <w:t>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tovnej jednot</w:t>
      </w:r>
      <w:r w:rsidRPr="00EB2931">
        <w:rPr>
          <w:i/>
          <w:color w:val="A6A6A6"/>
          <w:spacing w:val="2"/>
          <w:szCs w:val="18"/>
        </w:rPr>
        <w:t>k</w:t>
      </w:r>
      <w:r w:rsidRPr="00EB2931">
        <w:rPr>
          <w:i/>
          <w:color w:val="A6A6A6"/>
          <w:spacing w:val="-5"/>
          <w:szCs w:val="18"/>
        </w:rPr>
        <w:t>y</w:t>
      </w:r>
      <w:r w:rsidRPr="00EB2931">
        <w:rPr>
          <w:i/>
          <w:color w:val="A6A6A6"/>
          <w:szCs w:val="18"/>
        </w:rPr>
        <w:t>, ktoré</w:t>
      </w:r>
      <w:r w:rsidRPr="00EB2931">
        <w:rPr>
          <w:i/>
          <w:color w:val="A6A6A6"/>
          <w:spacing w:val="-2"/>
          <w:szCs w:val="18"/>
        </w:rPr>
        <w:t xml:space="preserve"> </w:t>
      </w:r>
      <w:r w:rsidRPr="00EB2931">
        <w:rPr>
          <w:i/>
          <w:color w:val="A6A6A6"/>
          <w:spacing w:val="2"/>
          <w:szCs w:val="18"/>
        </w:rPr>
        <w:t>j</w:t>
      </w:r>
      <w:r w:rsidRPr="00EB2931">
        <w:rPr>
          <w:i/>
          <w:color w:val="A6A6A6"/>
          <w:szCs w:val="18"/>
        </w:rPr>
        <w:t>e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potr</w:t>
      </w:r>
      <w:r w:rsidRPr="00EB2931">
        <w:rPr>
          <w:i/>
          <w:color w:val="A6A6A6"/>
          <w:spacing w:val="-2"/>
          <w:szCs w:val="18"/>
        </w:rPr>
        <w:t>e</w:t>
      </w:r>
      <w:r w:rsidRPr="00EB2931">
        <w:rPr>
          <w:i/>
          <w:color w:val="A6A6A6"/>
          <w:spacing w:val="2"/>
          <w:szCs w:val="18"/>
        </w:rPr>
        <w:t>b</w:t>
      </w:r>
      <w:r w:rsidRPr="00EB2931">
        <w:rPr>
          <w:i/>
          <w:color w:val="A6A6A6"/>
          <w:szCs w:val="18"/>
        </w:rPr>
        <w:t>né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pacing w:val="2"/>
          <w:szCs w:val="18"/>
        </w:rPr>
        <w:t>v</w:t>
      </w:r>
      <w:r w:rsidRPr="00EB2931">
        <w:rPr>
          <w:i/>
          <w:color w:val="A6A6A6"/>
          <w:spacing w:val="-5"/>
          <w:szCs w:val="18"/>
        </w:rPr>
        <w:t>y</w:t>
      </w:r>
      <w:r w:rsidRPr="00EB2931">
        <w:rPr>
          <w:i/>
          <w:color w:val="A6A6A6"/>
          <w:spacing w:val="2"/>
          <w:szCs w:val="18"/>
        </w:rPr>
        <w:t>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tovať:</w:t>
      </w:r>
    </w:p>
    <w:p w:rsidR="00322BB2" w:rsidRDefault="00322BB2" w:rsidP="00CD7358">
      <w:pPr>
        <w:rPr>
          <w:szCs w:val="18"/>
        </w:rPr>
      </w:pPr>
    </w:p>
    <w:p w:rsidR="00322BB2" w:rsidRDefault="00322BB2" w:rsidP="00CD7358">
      <w:pPr>
        <w:rPr>
          <w:szCs w:val="18"/>
        </w:rPr>
      </w:pPr>
    </w:p>
    <w:p w:rsidR="00322BB2" w:rsidRPr="00CD7358" w:rsidRDefault="00322BB2" w:rsidP="00AF2328">
      <w:pPr>
        <w:jc w:val="both"/>
        <w:rPr>
          <w:szCs w:val="18"/>
        </w:rPr>
      </w:pPr>
      <w:r w:rsidRPr="00CD7358">
        <w:rPr>
          <w:szCs w:val="18"/>
        </w:rPr>
        <w:t>V účtovnom období 2015 neboli členom štatutárnych a iných orgánov poskytnuté žiadne záruky a iné zabezpečenia alebo pôžičky.</w:t>
      </w:r>
    </w:p>
    <w:p w:rsidR="00322BB2" w:rsidRDefault="00322BB2" w:rsidP="00CD7358"/>
    <w:p w:rsidR="00322BB2" w:rsidRDefault="00322BB2" w:rsidP="00CD7358"/>
    <w:p w:rsidR="00322BB2" w:rsidRDefault="00322BB2" w:rsidP="00CD7358"/>
    <w:p w:rsidR="00322BB2" w:rsidRDefault="00322BB2" w:rsidP="00CD7358">
      <w:pPr>
        <w:pStyle w:val="PoznmkyUcPOD"/>
      </w:pPr>
      <w:r>
        <w:t>Článok III</w:t>
      </w:r>
    </w:p>
    <w:p w:rsidR="00322BB2" w:rsidRDefault="00322BB2" w:rsidP="00CD7358">
      <w:pPr>
        <w:pStyle w:val="PoznmkyUcPOD"/>
      </w:pPr>
      <w:r>
        <w:t>Informácie o prijatých postupoch</w:t>
      </w:r>
    </w:p>
    <w:p w:rsidR="00322BB2" w:rsidRDefault="00322BB2" w:rsidP="00CD7358"/>
    <w:p w:rsidR="00322BB2" w:rsidRPr="00CD7358" w:rsidRDefault="00322BB2" w:rsidP="00361F64">
      <w:pPr>
        <w:pStyle w:val="BodyText"/>
        <w:numPr>
          <w:ilvl w:val="0"/>
          <w:numId w:val="9"/>
        </w:numPr>
        <w:rPr>
          <w:b/>
          <w:szCs w:val="18"/>
        </w:rPr>
      </w:pPr>
      <w:r w:rsidRPr="00CD7358">
        <w:rPr>
          <w:b/>
          <w:spacing w:val="-4"/>
          <w:szCs w:val="18"/>
        </w:rPr>
        <w:t>Predpoklad nepretržitého pokračovania v činnosti</w:t>
      </w:r>
    </w:p>
    <w:p w:rsidR="00322BB2" w:rsidRPr="00CD7358" w:rsidRDefault="00322BB2" w:rsidP="00CD7358">
      <w:pPr>
        <w:pStyle w:val="BodyText"/>
        <w:tabs>
          <w:tab w:val="left" w:pos="808"/>
        </w:tabs>
        <w:ind w:left="360"/>
        <w:rPr>
          <w:szCs w:val="18"/>
        </w:rPr>
      </w:pPr>
      <w:r w:rsidRPr="00CD7358">
        <w:rPr>
          <w:szCs w:val="18"/>
        </w:rPr>
        <w:t>Účtovná závierka je zostavená za predpokladu, že účtovná jednotka bude nepretržite pokračovať vo svojej činnosti.</w:t>
      </w:r>
    </w:p>
    <w:p w:rsidR="00322BB2" w:rsidRDefault="00322BB2" w:rsidP="00CD7358">
      <w:pPr>
        <w:pStyle w:val="BodyText"/>
        <w:tabs>
          <w:tab w:val="left" w:pos="808"/>
        </w:tabs>
        <w:ind w:left="720"/>
        <w:rPr>
          <w:szCs w:val="18"/>
        </w:rPr>
      </w:pPr>
    </w:p>
    <w:p w:rsidR="00322BB2" w:rsidRDefault="00322BB2" w:rsidP="00361F64">
      <w:pPr>
        <w:pStyle w:val="ListParagraph"/>
        <w:numPr>
          <w:ilvl w:val="0"/>
          <w:numId w:val="9"/>
        </w:numPr>
        <w:rPr>
          <w:b/>
        </w:rPr>
      </w:pPr>
      <w:r w:rsidRPr="00F60C73">
        <w:rPr>
          <w:b/>
        </w:rPr>
        <w:t>Informácia o aplikácií účtovných zásad a účtovných metód a ich zmenách</w:t>
      </w:r>
    </w:p>
    <w:p w:rsidR="00322BB2" w:rsidRDefault="00322BB2" w:rsidP="00F60C73">
      <w:pPr>
        <w:pStyle w:val="BodyText"/>
        <w:ind w:left="360"/>
      </w:pPr>
      <w:r w:rsidRPr="000F038C">
        <w:t>Účtovné metódy a všeobecné účtovné zásady boli účtovnou jednotkou konzistentne</w:t>
      </w:r>
      <w:r>
        <w:t xml:space="preserve"> aplikované.</w:t>
      </w:r>
    </w:p>
    <w:p w:rsidR="00322BB2" w:rsidRDefault="00322BB2" w:rsidP="00F60C73">
      <w:pPr>
        <w:pStyle w:val="BodyText"/>
        <w:ind w:left="360"/>
      </w:pPr>
    </w:p>
    <w:p w:rsidR="00322BB2" w:rsidRPr="00765D27" w:rsidRDefault="00322BB2" w:rsidP="00361F64">
      <w:pPr>
        <w:pStyle w:val="BodyText"/>
        <w:numPr>
          <w:ilvl w:val="0"/>
          <w:numId w:val="9"/>
        </w:numPr>
        <w:rPr>
          <w:b/>
        </w:rPr>
      </w:pPr>
      <w:r w:rsidRPr="00765D27">
        <w:rPr>
          <w:b/>
        </w:rPr>
        <w:t>Informácia o charaktere a účele transakcií, ktoré sa neuvádzajú v súvahe</w:t>
      </w:r>
    </w:p>
    <w:p w:rsidR="00322BB2" w:rsidRPr="004F4888" w:rsidRDefault="00322BB2" w:rsidP="004F4888">
      <w:pPr>
        <w:pStyle w:val="Default"/>
        <w:ind w:left="786"/>
        <w:rPr>
          <w:rFonts w:ascii="Times New Roman" w:hAnsi="Times New Roman" w:cs="Times New Roman"/>
          <w:i/>
          <w:color w:val="BFBFBF"/>
          <w:sz w:val="18"/>
          <w:szCs w:val="18"/>
        </w:rPr>
      </w:pPr>
      <w:r w:rsidRPr="004F4888">
        <w:rPr>
          <w:rFonts w:ascii="Times New Roman" w:hAnsi="Times New Roman" w:cs="Times New Roman"/>
          <w:i/>
          <w:color w:val="BFBFBF"/>
          <w:sz w:val="18"/>
          <w:szCs w:val="18"/>
        </w:rPr>
        <w:t>pričom sa uvádza finančný vplyv týchto transakcií na účtovnú jednotku, ak sú riziká alebo prínosy vyplývajúce z týchto transakcií významné a ak uvedenie týchto rizík alebo prínosov je potrebné na účely posúdenia finančnej situácie účtovnej jednotky</w:t>
      </w:r>
    </w:p>
    <w:p w:rsidR="00322BB2" w:rsidRDefault="00322BB2" w:rsidP="00E4668F">
      <w:pPr>
        <w:pStyle w:val="Default"/>
        <w:ind w:left="426"/>
        <w:rPr>
          <w:rFonts w:ascii="Times New Roman" w:hAnsi="Times New Roman" w:cs="Times New Roman"/>
          <w:sz w:val="18"/>
          <w:szCs w:val="18"/>
        </w:rPr>
      </w:pPr>
    </w:p>
    <w:p w:rsidR="00322BB2" w:rsidRDefault="00322BB2" w:rsidP="00E4668F">
      <w:pPr>
        <w:pStyle w:val="Default"/>
        <w:ind w:left="42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Účtovná jednotka v priebehu účtovného obdobia neuskutočnila transakcie, ktoré sa neuvádzajú v súvahe.</w:t>
      </w:r>
    </w:p>
    <w:p w:rsidR="00322BB2" w:rsidRDefault="00322BB2" w:rsidP="00506495">
      <w:pPr>
        <w:pStyle w:val="Default"/>
        <w:rPr>
          <w:rFonts w:ascii="Times New Roman" w:hAnsi="Times New Roman" w:cs="Times New Roman"/>
          <w:sz w:val="18"/>
          <w:szCs w:val="18"/>
        </w:rPr>
      </w:pPr>
    </w:p>
    <w:p w:rsidR="00322BB2" w:rsidRPr="00506495" w:rsidRDefault="00322BB2" w:rsidP="00361F64">
      <w:pPr>
        <w:pStyle w:val="ListParagraph"/>
        <w:numPr>
          <w:ilvl w:val="0"/>
          <w:numId w:val="9"/>
        </w:numPr>
        <w:rPr>
          <w:szCs w:val="18"/>
        </w:rPr>
      </w:pPr>
      <w:r w:rsidRPr="00506495">
        <w:rPr>
          <w:b/>
        </w:rPr>
        <w:t>Spôsob a určenie ocenenia majetku a záväzkov vrátane určenia rozhodujúcich účtovných odhadov a</w:t>
      </w:r>
      <w:r>
        <w:rPr>
          <w:b/>
        </w:rPr>
        <w:t> </w:t>
      </w:r>
      <w:r w:rsidRPr="00506495">
        <w:rPr>
          <w:b/>
        </w:rPr>
        <w:t>predpokladov</w:t>
      </w:r>
    </w:p>
    <w:p w:rsidR="00322BB2" w:rsidRDefault="00322BB2" w:rsidP="004116DB">
      <w:pPr>
        <w:pStyle w:val="ListParagraph"/>
        <w:ind w:left="720"/>
        <w:rPr>
          <w:szCs w:val="18"/>
        </w:rPr>
      </w:pPr>
    </w:p>
    <w:p w:rsidR="00322BB2" w:rsidRPr="004116DB" w:rsidRDefault="00322BB2" w:rsidP="00361F64">
      <w:pPr>
        <w:pStyle w:val="ListParagraph"/>
        <w:numPr>
          <w:ilvl w:val="0"/>
          <w:numId w:val="10"/>
        </w:numPr>
        <w:rPr>
          <w:i/>
          <w:szCs w:val="18"/>
        </w:rPr>
      </w:pPr>
      <w:r w:rsidRPr="004116DB">
        <w:rPr>
          <w:i/>
          <w:szCs w:val="18"/>
        </w:rPr>
        <w:t>Spôsob oceňovania majetku a záväzkov:</w:t>
      </w:r>
    </w:p>
    <w:p w:rsidR="00322BB2" w:rsidRDefault="00322BB2" w:rsidP="00765D27">
      <w:pPr>
        <w:pStyle w:val="BodyText"/>
        <w:ind w:left="720"/>
      </w:pPr>
    </w:p>
    <w:bookmarkEnd w:id="3"/>
    <w:bookmarkEnd w:id="4"/>
    <w:p w:rsidR="00322BB2" w:rsidRDefault="00322BB2" w:rsidP="004116DB">
      <w:pPr>
        <w:pStyle w:val="Pismenka"/>
        <w:numPr>
          <w:ilvl w:val="0"/>
          <w:numId w:val="0"/>
        </w:numPr>
        <w:ind w:left="426"/>
      </w:pPr>
      <w:r>
        <w:t>Dlhodobý nehmotný majetok a dlhodobý hmotný majetok</w:t>
      </w:r>
    </w:p>
    <w:p w:rsidR="00322BB2" w:rsidRDefault="00322BB2" w:rsidP="004D3B4A">
      <w:pPr>
        <w:pStyle w:val="BodyText"/>
      </w:pPr>
      <w:r>
        <w:t xml:space="preserve">Dlhodobý majetok nakupovaný sa oceňuje obstarávacou cenou, ktorá zahŕňa cenu obstarania a náklady súvisiace s obstaraním (clo, prepravu, montáž, poistné a pod.). </w:t>
      </w:r>
    </w:p>
    <w:p w:rsidR="00322BB2" w:rsidRDefault="00322BB2" w:rsidP="004D3B4A">
      <w:pPr>
        <w:pStyle w:val="BodyText"/>
      </w:pPr>
    </w:p>
    <w:p w:rsidR="00322BB2" w:rsidRDefault="00322BB2" w:rsidP="004D3B4A">
      <w:pPr>
        <w:pStyle w:val="BodyText"/>
      </w:pPr>
      <w:r>
        <w:t>Súčasťou obstarávacej ceny dlhodobého hmotného majetku nie sú úroky z cudzích zdrojov ani realizované kurzové rozdiely, ktoré vznikli do momentu uvedenia dlhodobého majetku do používania.</w:t>
      </w:r>
    </w:p>
    <w:p w:rsidR="00322BB2" w:rsidRDefault="00322BB2" w:rsidP="004D3B4A">
      <w:pPr>
        <w:pStyle w:val="BodyText"/>
      </w:pPr>
    </w:p>
    <w:p w:rsidR="00322BB2" w:rsidRDefault="00322BB2" w:rsidP="004D3B4A">
      <w:pPr>
        <w:pStyle w:val="BodyText"/>
      </w:pPr>
      <w:r>
        <w:t>Súčasťou obstarávacej ceny dlhodobého nehmotného majetku nie sú úroky z cudzích zdrojov, ktoré vznikli do momentu zaradenia dlhodobého nehmotného majetku do používania.</w:t>
      </w:r>
    </w:p>
    <w:p w:rsidR="00322BB2" w:rsidRDefault="00322BB2" w:rsidP="004D3B4A">
      <w:pPr>
        <w:pStyle w:val="BodyText"/>
      </w:pPr>
    </w:p>
    <w:p w:rsidR="00322BB2" w:rsidRDefault="00322BB2" w:rsidP="004D3B4A">
      <w:pPr>
        <w:pStyle w:val="BodyText"/>
      </w:pPr>
      <w: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322BB2" w:rsidRDefault="00322BB2" w:rsidP="004D3B4A">
      <w:pPr>
        <w:pStyle w:val="BodyText"/>
      </w:pPr>
    </w:p>
    <w:p w:rsidR="00322BB2" w:rsidRPr="000F038C" w:rsidRDefault="00322BB2" w:rsidP="004116DB">
      <w:pPr>
        <w:pStyle w:val="Pismenka"/>
        <w:numPr>
          <w:ilvl w:val="0"/>
          <w:numId w:val="0"/>
        </w:numPr>
        <w:ind w:left="426"/>
      </w:pPr>
      <w:r w:rsidRPr="000F038C">
        <w:t>Cenné papiere a podiely</w:t>
      </w:r>
    </w:p>
    <w:p w:rsidR="00322BB2" w:rsidRPr="000F038C" w:rsidRDefault="00322BB2" w:rsidP="004D3B4A">
      <w:pPr>
        <w:pStyle w:val="BodyText"/>
      </w:pPr>
      <w:r>
        <w:t xml:space="preserve">Cenné papiere a podiely (okrem cenných papierov na obchodovanie) sa oceňujú obstarávacími cenami vrátane nákladov súvisiacich s obstaraním. Od obstarávacej ceny je odpočítané zníženie hodnoty cenných papierov a podielov. </w:t>
      </w:r>
    </w:p>
    <w:p w:rsidR="00322BB2" w:rsidRPr="000F038C" w:rsidRDefault="00322BB2" w:rsidP="004D3B4A">
      <w:pPr>
        <w:pStyle w:val="BodyText"/>
      </w:pPr>
    </w:p>
    <w:p w:rsidR="00322BB2" w:rsidRDefault="00322BB2" w:rsidP="004D3B4A">
      <w:pPr>
        <w:pStyle w:val="BodyText"/>
      </w:pPr>
      <w:r>
        <w:t xml:space="preserve">Cenné papiere na obchodovanie sa pri ich obstaraní oceňujú reálnou hodnotou. </w:t>
      </w:r>
    </w:p>
    <w:p w:rsidR="00322BB2" w:rsidRDefault="00322BB2" w:rsidP="004D3B4A">
      <w:pPr>
        <w:pStyle w:val="BodyText"/>
      </w:pPr>
    </w:p>
    <w:p w:rsidR="00322BB2" w:rsidRDefault="00322BB2" w:rsidP="004116DB">
      <w:pPr>
        <w:pStyle w:val="Pismenka"/>
        <w:numPr>
          <w:ilvl w:val="0"/>
          <w:numId w:val="0"/>
        </w:numPr>
        <w:ind w:left="426"/>
      </w:pPr>
      <w:r>
        <w:t xml:space="preserve">Zásoby </w:t>
      </w:r>
    </w:p>
    <w:p w:rsidR="00322BB2" w:rsidRDefault="00322BB2" w:rsidP="004D3B4A">
      <w:pPr>
        <w:pStyle w:val="BodyText"/>
      </w:pPr>
      <w:r>
        <w:t>Zásoby sa oceňujú nižšou z nasledujúcich hodnôt: obstarávacou cenou (nakupované zásoby) alebo vlastnými nákladmi (zásoby vytvorené vlastnou činnosťou) alebo čistou realizačnou hodnotou.</w:t>
      </w:r>
    </w:p>
    <w:p w:rsidR="00322BB2" w:rsidRDefault="00322BB2" w:rsidP="004D3B4A">
      <w:pPr>
        <w:pStyle w:val="BodyText"/>
      </w:pPr>
    </w:p>
    <w:p w:rsidR="00322BB2" w:rsidRDefault="00322BB2" w:rsidP="004D3B4A">
      <w:pPr>
        <w:pStyle w:val="BodyText"/>
      </w:pPr>
      <w: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322BB2" w:rsidRDefault="00322BB2" w:rsidP="004D3B4A">
      <w:pPr>
        <w:pStyle w:val="BodyText"/>
      </w:pPr>
    </w:p>
    <w:p w:rsidR="00322BB2" w:rsidRDefault="00322BB2" w:rsidP="004D3B4A">
      <w:pPr>
        <w:pStyle w:val="BodyText"/>
      </w:pPr>
      <w: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322BB2" w:rsidRDefault="00322BB2" w:rsidP="004D3B4A">
      <w:pPr>
        <w:pStyle w:val="BodyText"/>
      </w:pPr>
    </w:p>
    <w:p w:rsidR="00322BB2" w:rsidRDefault="00322BB2" w:rsidP="004D3B4A">
      <w:pPr>
        <w:pStyle w:val="BodyText"/>
      </w:pPr>
      <w:r>
        <w:t xml:space="preserve">Čistá realizačná hodnota je predpokladaná predajná cena znížená o predpokladané náklady na ich dokončenie a o predpokladané náklady súvisiace s ich predajom.  </w:t>
      </w:r>
    </w:p>
    <w:p w:rsidR="00322BB2" w:rsidRDefault="00322BB2" w:rsidP="004D3B4A">
      <w:pPr>
        <w:pStyle w:val="BodyText"/>
      </w:pPr>
    </w:p>
    <w:p w:rsidR="00322BB2" w:rsidRDefault="00322BB2" w:rsidP="004D3B4A">
      <w:pPr>
        <w:pStyle w:val="BodyText"/>
      </w:pPr>
      <w:r>
        <w:t>Zníženie hodnoty zásob sa zohľadňuje vytvorením opravnej položky.</w:t>
      </w:r>
    </w:p>
    <w:p w:rsidR="00322BB2" w:rsidRDefault="00322BB2" w:rsidP="004D3B4A">
      <w:pPr>
        <w:pStyle w:val="BodyText"/>
      </w:pPr>
    </w:p>
    <w:p w:rsidR="00322BB2" w:rsidRDefault="00322BB2" w:rsidP="004116DB">
      <w:pPr>
        <w:pStyle w:val="Pismenka"/>
        <w:numPr>
          <w:ilvl w:val="0"/>
          <w:numId w:val="0"/>
        </w:numPr>
        <w:ind w:left="426"/>
      </w:pPr>
      <w:r>
        <w:t>Zákazková výroba</w:t>
      </w:r>
    </w:p>
    <w:p w:rsidR="00322BB2" w:rsidRDefault="00322BB2" w:rsidP="004D3B4A">
      <w:pPr>
        <w:pStyle w:val="BodyText"/>
      </w:pPr>
      <w:r>
        <w:t>Zákazková výroba sa vykazuje použitím metódy stupňa dokončenia zákazky (angl. percentage-of-completion-method).</w:t>
      </w:r>
    </w:p>
    <w:p w:rsidR="00322BB2" w:rsidRDefault="00322BB2" w:rsidP="00551DB6">
      <w:pPr>
        <w:pStyle w:val="BodyText"/>
        <w:ind w:left="0"/>
      </w:pPr>
    </w:p>
    <w:p w:rsidR="00322BB2" w:rsidRPr="00B50225" w:rsidRDefault="00322BB2" w:rsidP="004116DB">
      <w:pPr>
        <w:pStyle w:val="Pismenka"/>
        <w:numPr>
          <w:ilvl w:val="0"/>
          <w:numId w:val="0"/>
        </w:numPr>
        <w:ind w:left="426"/>
        <w:rPr>
          <w:szCs w:val="18"/>
        </w:rPr>
      </w:pPr>
      <w:r w:rsidRPr="00B50225">
        <w:rPr>
          <w:szCs w:val="18"/>
        </w:rPr>
        <w:t>Zákazková výstavba nehnuteľnosti</w:t>
      </w:r>
    </w:p>
    <w:p w:rsidR="00322BB2" w:rsidRPr="00B50225" w:rsidRDefault="00322BB2" w:rsidP="00551DB6">
      <w:pPr>
        <w:pStyle w:val="BodyText"/>
        <w:rPr>
          <w:szCs w:val="18"/>
        </w:rPr>
      </w:pPr>
    </w:p>
    <w:p w:rsidR="00322BB2" w:rsidRPr="00B50225" w:rsidRDefault="00322BB2" w:rsidP="00551DB6">
      <w:pPr>
        <w:pStyle w:val="BodyText"/>
        <w:rPr>
          <w:b/>
          <w:i/>
          <w:szCs w:val="18"/>
        </w:rPr>
      </w:pPr>
      <w:r w:rsidRPr="00B50225">
        <w:rPr>
          <w:b/>
          <w:i/>
          <w:szCs w:val="18"/>
        </w:rPr>
        <w:t>Zákazková výstavba nehnuteľnosti – priebežný transfer</w:t>
      </w:r>
    </w:p>
    <w:p w:rsidR="00322BB2" w:rsidRPr="00B50225" w:rsidRDefault="00322BB2" w:rsidP="00551DB6">
      <w:pPr>
        <w:pStyle w:val="BodyText"/>
        <w:rPr>
          <w:szCs w:val="18"/>
        </w:rPr>
      </w:pPr>
      <w:r w:rsidRPr="00B50225">
        <w:rPr>
          <w:szCs w:val="18"/>
        </w:rPr>
        <w:t xml:space="preserve">Zákazková výstavba nehnuteľnosti určenej na predaj sa vykazuje podľa metódy stupňa dokončenia. </w:t>
      </w:r>
    </w:p>
    <w:p w:rsidR="00322BB2" w:rsidRPr="00B50225" w:rsidRDefault="00322BB2" w:rsidP="00551DB6">
      <w:pPr>
        <w:pStyle w:val="BodyText"/>
        <w:rPr>
          <w:szCs w:val="18"/>
        </w:rPr>
      </w:pPr>
    </w:p>
    <w:p w:rsidR="00322BB2" w:rsidRPr="00B50225" w:rsidRDefault="00322BB2" w:rsidP="00551DB6">
      <w:pPr>
        <w:pStyle w:val="BodyText"/>
        <w:rPr>
          <w:b/>
          <w:i/>
          <w:szCs w:val="18"/>
        </w:rPr>
      </w:pPr>
      <w:r w:rsidRPr="00B50225">
        <w:rPr>
          <w:b/>
          <w:i/>
          <w:szCs w:val="18"/>
        </w:rPr>
        <w:t>Zákazková výstavba nehnuteľnosti – ostatná (nie priebežný transfer)</w:t>
      </w:r>
    </w:p>
    <w:p w:rsidR="00322BB2" w:rsidRPr="00B50225" w:rsidRDefault="00322BB2" w:rsidP="00551DB6">
      <w:pPr>
        <w:pStyle w:val="BodyText"/>
        <w:rPr>
          <w:szCs w:val="18"/>
        </w:rPr>
      </w:pPr>
      <w:r w:rsidRPr="00B50225">
        <w:rPr>
          <w:szCs w:val="18"/>
        </w:rPr>
        <w:t>Zákazková výstavba nehnuteľnosti určenej na predaj – ostatná (nie priebežný transfer) sa vykazuje metódou tzv. nulového zisku, t. j. zisk sa vykáže až pri predaji nehnuteľnosti.</w:t>
      </w:r>
    </w:p>
    <w:p w:rsidR="00322BB2" w:rsidRDefault="00322BB2" w:rsidP="00551DB6">
      <w:pPr>
        <w:pStyle w:val="BodyText"/>
        <w:ind w:left="0"/>
      </w:pPr>
    </w:p>
    <w:p w:rsidR="00322BB2" w:rsidRDefault="00322BB2" w:rsidP="004116DB">
      <w:pPr>
        <w:pStyle w:val="Pismenka"/>
        <w:numPr>
          <w:ilvl w:val="0"/>
          <w:numId w:val="0"/>
        </w:numPr>
        <w:ind w:left="426"/>
      </w:pPr>
      <w:r>
        <w:t>Pohľadávky</w:t>
      </w:r>
    </w:p>
    <w:p w:rsidR="00322BB2" w:rsidRDefault="00322BB2" w:rsidP="00E26CB0">
      <w:pPr>
        <w:pStyle w:val="Body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322BB2" w:rsidRDefault="00322BB2" w:rsidP="00E26CB0">
      <w:pPr>
        <w:pStyle w:val="BodyText"/>
        <w:rPr>
          <w:b/>
        </w:rPr>
      </w:pPr>
    </w:p>
    <w:p w:rsidR="00322BB2" w:rsidRDefault="00322BB2" w:rsidP="004116DB">
      <w:pPr>
        <w:pStyle w:val="Pismenka"/>
        <w:numPr>
          <w:ilvl w:val="0"/>
          <w:numId w:val="0"/>
        </w:numPr>
        <w:ind w:left="426"/>
      </w:pPr>
      <w:r>
        <w:t>Peňažné prostriedky a ceniny</w:t>
      </w:r>
    </w:p>
    <w:p w:rsidR="00322BB2" w:rsidRDefault="00322BB2" w:rsidP="004D3B4A">
      <w:pPr>
        <w:pStyle w:val="BodyText"/>
      </w:pPr>
      <w:r>
        <w:t>Peňažné prostriedky a ceniny sa oceňujú ich menovitou hodnotou. Zníženie ich hodnoty sa vyjadruje opravnou položkou.</w:t>
      </w:r>
    </w:p>
    <w:p w:rsidR="00322BB2" w:rsidRDefault="00322BB2" w:rsidP="004D3B4A">
      <w:pPr>
        <w:pStyle w:val="BodyText"/>
      </w:pPr>
    </w:p>
    <w:p w:rsidR="00322BB2" w:rsidRDefault="00322BB2" w:rsidP="004116DB">
      <w:pPr>
        <w:pStyle w:val="Pismenka"/>
        <w:numPr>
          <w:ilvl w:val="0"/>
          <w:numId w:val="0"/>
        </w:numPr>
        <w:ind w:left="426"/>
      </w:pPr>
      <w:r>
        <w:t>Náklady budúcich období a príjmy budúcich období</w:t>
      </w:r>
    </w:p>
    <w:p w:rsidR="00322BB2" w:rsidRDefault="00322BB2" w:rsidP="004D3B4A">
      <w:pPr>
        <w:pStyle w:val="BodyText"/>
      </w:pPr>
      <w:r>
        <w:t>Náklady budúcich období a príjmy budúcich období sa vykazujú vo výške, ktorá je potrebná na dodržanie zásady vecnej a časovej súvislosti s účtovným obdobím.</w:t>
      </w:r>
    </w:p>
    <w:p w:rsidR="00322BB2" w:rsidRDefault="00322BB2" w:rsidP="004D3B4A">
      <w:pPr>
        <w:pStyle w:val="BodyText"/>
      </w:pPr>
    </w:p>
    <w:p w:rsidR="00322BB2" w:rsidRDefault="00322BB2" w:rsidP="004116DB">
      <w:pPr>
        <w:pStyle w:val="Pismenka"/>
        <w:numPr>
          <w:ilvl w:val="0"/>
          <w:numId w:val="0"/>
        </w:numPr>
        <w:ind w:left="426"/>
      </w:pPr>
      <w:r>
        <w:t>Rezervy</w:t>
      </w:r>
    </w:p>
    <w:p w:rsidR="00322BB2" w:rsidRDefault="00322BB2" w:rsidP="004D3B4A">
      <w:pPr>
        <w:pStyle w:val="BodyText"/>
      </w:pPr>
      <w:r>
        <w:t>Rezervy sú záväzky s neurčitým časovým vymedzením alebo výškou; tvoria sa na krytie známych rizík alebo strát z podnikania. Oceňujú sa v očakávanej výške záväzku.</w:t>
      </w:r>
    </w:p>
    <w:p w:rsidR="00322BB2" w:rsidRDefault="00322BB2" w:rsidP="00251BF2">
      <w:pPr>
        <w:pStyle w:val="Pismenka"/>
        <w:numPr>
          <w:ilvl w:val="0"/>
          <w:numId w:val="0"/>
        </w:numPr>
        <w:ind w:left="360"/>
      </w:pPr>
    </w:p>
    <w:p w:rsidR="00322BB2" w:rsidRDefault="00322BB2" w:rsidP="004116DB">
      <w:pPr>
        <w:pStyle w:val="Pismenka"/>
        <w:numPr>
          <w:ilvl w:val="0"/>
          <w:numId w:val="0"/>
        </w:numPr>
        <w:ind w:left="426"/>
      </w:pPr>
      <w:r>
        <w:t>Záväzky</w:t>
      </w:r>
    </w:p>
    <w:p w:rsidR="00322BB2" w:rsidRDefault="00322BB2" w:rsidP="004D3B4A">
      <w:pPr>
        <w:pStyle w:val="BodyText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322BB2" w:rsidRDefault="00322BB2" w:rsidP="00251BF2">
      <w:pPr>
        <w:pStyle w:val="Pismenka"/>
        <w:numPr>
          <w:ilvl w:val="0"/>
          <w:numId w:val="0"/>
        </w:numPr>
        <w:ind w:left="360"/>
      </w:pPr>
    </w:p>
    <w:p w:rsidR="00322BB2" w:rsidRDefault="00322BB2" w:rsidP="004116DB">
      <w:pPr>
        <w:pStyle w:val="Pismenka"/>
        <w:numPr>
          <w:ilvl w:val="0"/>
          <w:numId w:val="0"/>
        </w:numPr>
        <w:ind w:left="426"/>
      </w:pPr>
      <w:r>
        <w:t>Odložené dane</w:t>
      </w:r>
    </w:p>
    <w:p w:rsidR="00322BB2" w:rsidRDefault="00322BB2" w:rsidP="004D3B4A">
      <w:pPr>
        <w:pStyle w:val="BodyText"/>
      </w:pPr>
      <w:r>
        <w:t xml:space="preserve">Odložené dane (odložená daňová pohľadávka a odložený daňový záväzok) sa vzťahujú na: </w:t>
      </w:r>
    </w:p>
    <w:p w:rsidR="00322BB2" w:rsidRDefault="00322BB2" w:rsidP="00361F64">
      <w:pPr>
        <w:pStyle w:val="BodyText"/>
        <w:numPr>
          <w:ilvl w:val="0"/>
          <w:numId w:val="3"/>
        </w:numPr>
      </w:pPr>
      <w:r>
        <w:t>dočasné rozdiely medzi účtovnou hodnotou majetku a účtovnou hodnotou záväzkov vykázanou v súvahe a ich daňovou základňou,</w:t>
      </w:r>
    </w:p>
    <w:p w:rsidR="00322BB2" w:rsidRDefault="00322BB2" w:rsidP="00361F64">
      <w:pPr>
        <w:pStyle w:val="BodyText"/>
        <w:numPr>
          <w:ilvl w:val="0"/>
          <w:numId w:val="3"/>
        </w:numPr>
      </w:pPr>
      <w:r>
        <w:t>možnosť umorovať daňovú stratu v budúcnosti, ktorou sa rozumie možnosť odpočítať daňovú stratu od základu dane v budúcnosti,</w:t>
      </w:r>
    </w:p>
    <w:p w:rsidR="00322BB2" w:rsidRDefault="00322BB2" w:rsidP="00361F64">
      <w:pPr>
        <w:pStyle w:val="BodyText"/>
        <w:numPr>
          <w:ilvl w:val="0"/>
          <w:numId w:val="3"/>
        </w:numPr>
      </w:pPr>
      <w:r>
        <w:t>možnosť previesť nevyužité daňové odpočty a iné daňové nároky do budúcich období.</w:t>
      </w:r>
    </w:p>
    <w:p w:rsidR="00322BB2" w:rsidRDefault="00322BB2" w:rsidP="004D3B4A">
      <w:pPr>
        <w:pStyle w:val="BodyText"/>
      </w:pPr>
    </w:p>
    <w:p w:rsidR="00322BB2" w:rsidRDefault="00322BB2" w:rsidP="004116DB">
      <w:pPr>
        <w:pStyle w:val="Pismenka"/>
        <w:numPr>
          <w:ilvl w:val="0"/>
          <w:numId w:val="0"/>
        </w:numPr>
        <w:ind w:left="426"/>
      </w:pPr>
      <w:r>
        <w:t>Výdavky budúcich období a výnosy budúcich období</w:t>
      </w:r>
    </w:p>
    <w:p w:rsidR="00322BB2" w:rsidRDefault="00322BB2" w:rsidP="004D3B4A">
      <w:pPr>
        <w:pStyle w:val="BodyText"/>
      </w:pPr>
      <w:r>
        <w:t>Výdavky budúcich období a výnosy budúcich období sa vykazujú vo výške, ktorá je potrebná na dodržanie zásady vecnej a časovej súvislosti s účtovným obdobím.</w:t>
      </w:r>
    </w:p>
    <w:p w:rsidR="00322BB2" w:rsidRDefault="00322BB2" w:rsidP="004D3B4A">
      <w:pPr>
        <w:pStyle w:val="BodyText"/>
      </w:pPr>
    </w:p>
    <w:p w:rsidR="00322BB2" w:rsidRDefault="00322BB2" w:rsidP="004116DB">
      <w:pPr>
        <w:pStyle w:val="Pismenka"/>
        <w:numPr>
          <w:ilvl w:val="0"/>
          <w:numId w:val="0"/>
        </w:numPr>
        <w:ind w:left="426"/>
      </w:pPr>
    </w:p>
    <w:p w:rsidR="00322BB2" w:rsidRDefault="00322BB2" w:rsidP="004116DB">
      <w:pPr>
        <w:pStyle w:val="Pismenka"/>
        <w:numPr>
          <w:ilvl w:val="0"/>
          <w:numId w:val="0"/>
        </w:numPr>
        <w:ind w:left="426"/>
      </w:pPr>
      <w:r>
        <w:t>Prenájom (lízing)</w:t>
      </w:r>
    </w:p>
    <w:p w:rsidR="00322BB2" w:rsidRDefault="00322BB2" w:rsidP="004D3B4A">
      <w:pPr>
        <w:pStyle w:val="BodyText"/>
      </w:pPr>
      <w:r>
        <w:t>Majetok prenajatý na základe operatívneho prenájmu vykazuje ako svoj majetok jeho vlastník, nie nájomca.</w:t>
      </w:r>
    </w:p>
    <w:p w:rsidR="00322BB2" w:rsidRDefault="00322BB2" w:rsidP="004D3B4A">
      <w:pPr>
        <w:pStyle w:val="BodyText"/>
      </w:pPr>
    </w:p>
    <w:p w:rsidR="00322BB2" w:rsidRDefault="00322BB2" w:rsidP="004D3B4A">
      <w:pPr>
        <w:pStyle w:val="BodyText"/>
      </w:pPr>
      <w:r>
        <w:t xml:space="preserve">Finančný prenájom je obstaranie dlhodobého hmotného majetku na základe nájomnej zmluvy s dojednaným právom kúpy prenajatej veci za dohodnuté platby počas dohodnutej doby nájmu. </w:t>
      </w:r>
      <w:r w:rsidRPr="002C6EEA">
        <w:t xml:space="preserve">Majetok prenajatý </w:t>
      </w:r>
      <w:r>
        <w:t xml:space="preserve"> formou finančného prenájmu vykazuje ako svoj majetok a odpisuje ho jeho nájomca, nie vlastník. </w:t>
      </w:r>
    </w:p>
    <w:p w:rsidR="00322BB2" w:rsidRDefault="00322BB2" w:rsidP="004D3B4A">
      <w:pPr>
        <w:pStyle w:val="BodyText"/>
      </w:pPr>
    </w:p>
    <w:p w:rsidR="00322BB2" w:rsidRDefault="00322BB2" w:rsidP="00781875">
      <w:pPr>
        <w:pStyle w:val="BodyText"/>
      </w:pPr>
      <w:r>
        <w:t>Prijatie majetku nájomcom sa v účtovníctve nájomcu účtuje v deň prijatia majetku na ťarchu príslušného účtu majetku so súvzťažným zápisom v prospech účtu 474 – Záväzky z nájmu vo výške dohodnutých platieb znížených o nerealizované finančné náklady.</w:t>
      </w:r>
    </w:p>
    <w:p w:rsidR="00322BB2" w:rsidRPr="001D5F78" w:rsidRDefault="00322BB2" w:rsidP="00781875">
      <w:pPr>
        <w:pStyle w:val="BodyText"/>
        <w:rPr>
          <w:szCs w:val="18"/>
        </w:rPr>
      </w:pPr>
    </w:p>
    <w:p w:rsidR="00322BB2" w:rsidRPr="006957CC" w:rsidRDefault="00322BB2" w:rsidP="004D3B4A">
      <w:pPr>
        <w:pStyle w:val="BodyText"/>
      </w:pPr>
      <w:r>
        <w:t xml:space="preserve">Súčasťou dohodnutých platieb je aj kúpna cena, za ktorú na konci dohodnutej doby finančného prenájmu prechádza vlastnícke právo k prenajatému majetku z prenajímateľa na nájomcu. Dohodnutá doba nájmu je najmenej 60 </w:t>
      </w:r>
      <w:r w:rsidRPr="000C17C3">
        <w:t>% dob</w:t>
      </w:r>
      <w:r>
        <w:t>y odpisovania podľa daňových predpisov, minimálne však 3 roky. Platba nájomného je alokovaná medzi splátku istiny a finančné náklady, vypočítané metódou efektívnej úrokovej miery. Finančné náklady sa účtujú na ťarchu účtu 562 – Úroky.</w:t>
      </w:r>
    </w:p>
    <w:p w:rsidR="00322BB2" w:rsidRDefault="00322BB2" w:rsidP="004D3B4A">
      <w:pPr>
        <w:pStyle w:val="BodyText"/>
      </w:pPr>
    </w:p>
    <w:p w:rsidR="00322BB2" w:rsidRDefault="00322BB2" w:rsidP="004116DB">
      <w:pPr>
        <w:pStyle w:val="Pismenka"/>
        <w:numPr>
          <w:ilvl w:val="0"/>
          <w:numId w:val="0"/>
        </w:numPr>
        <w:ind w:left="426"/>
      </w:pPr>
      <w:r>
        <w:t>Deriváty</w:t>
      </w:r>
    </w:p>
    <w:p w:rsidR="00322BB2" w:rsidRDefault="00322BB2" w:rsidP="004D3B4A">
      <w:pPr>
        <w:pStyle w:val="BodyText"/>
      </w:pPr>
      <w:r>
        <w:t>Deriváty sa oceňujú reálnou hodnotou.</w:t>
      </w:r>
    </w:p>
    <w:p w:rsidR="00322BB2" w:rsidRPr="006201DD" w:rsidRDefault="00322BB2" w:rsidP="004D3B4A">
      <w:pPr>
        <w:pStyle w:val="BodyText"/>
      </w:pPr>
    </w:p>
    <w:p w:rsidR="00322BB2" w:rsidRDefault="00322BB2" w:rsidP="004D3B4A">
      <w:pPr>
        <w:pStyle w:val="BodyText"/>
      </w:pPr>
      <w:r>
        <w:t>Zmeny reálnych hodnôt zabezpečovacích derivátov sa účtujú bez vplyvu na výsledok hospodárenia, priamo do vlastného imania.</w:t>
      </w:r>
    </w:p>
    <w:p w:rsidR="00322BB2" w:rsidRPr="006201DD" w:rsidRDefault="00322BB2" w:rsidP="004D3B4A">
      <w:pPr>
        <w:pStyle w:val="BodyText"/>
      </w:pPr>
    </w:p>
    <w:p w:rsidR="00322BB2" w:rsidRDefault="00322BB2" w:rsidP="004D3B4A">
      <w:pPr>
        <w:pStyle w:val="BodyText"/>
      </w:pPr>
      <w:r>
        <w:t>Zmeny reálnych hodnôt derivátov určených na obchodovanie na tuzemskej burze, zahraničnej burze alebo na inom verejnom trhu sa účtujú s vplyvom na výsledok hospodárenia.</w:t>
      </w:r>
    </w:p>
    <w:p w:rsidR="00322BB2" w:rsidRPr="006201DD" w:rsidRDefault="00322BB2" w:rsidP="004D3B4A">
      <w:pPr>
        <w:pStyle w:val="BodyText"/>
      </w:pPr>
    </w:p>
    <w:p w:rsidR="00322BB2" w:rsidRDefault="00322BB2" w:rsidP="004D3B4A">
      <w:pPr>
        <w:pStyle w:val="BodyText"/>
      </w:pPr>
      <w:r>
        <w:t>Zmeny reálnych hodnôt derivátov určených na obchodovanie na neverejnom trhu sa účtujú bez vplyvu na výsledok hospodárenia, priamo do vlastného imania.</w:t>
      </w:r>
    </w:p>
    <w:p w:rsidR="00322BB2" w:rsidRPr="006201DD" w:rsidRDefault="00322BB2" w:rsidP="004D3B4A">
      <w:pPr>
        <w:pStyle w:val="BodyText"/>
      </w:pPr>
    </w:p>
    <w:p w:rsidR="00322BB2" w:rsidRDefault="00322BB2" w:rsidP="004116DB">
      <w:pPr>
        <w:pStyle w:val="Pismenka"/>
        <w:numPr>
          <w:ilvl w:val="0"/>
          <w:numId w:val="0"/>
        </w:numPr>
        <w:ind w:left="426"/>
      </w:pPr>
      <w:r>
        <w:t>Majetok a záväzky zabezpečené derivátmi</w:t>
      </w:r>
    </w:p>
    <w:p w:rsidR="00322BB2" w:rsidRDefault="00322BB2" w:rsidP="004D3B4A">
      <w:pPr>
        <w:pStyle w:val="BodyText"/>
      </w:pPr>
      <w:r>
        <w:t xml:space="preserve">Majetok a záväzky zabezpečené derivátmi sa oceňujú reálnou hodnotou. Zmeny reálnych hodnôt majetku a záväzkov zabezpečených derivátmi sa účtujú bez vplyvu na výsledok hospodárenia, priamo do vlastného imania. </w:t>
      </w:r>
    </w:p>
    <w:p w:rsidR="00322BB2" w:rsidRPr="001D5F78" w:rsidRDefault="00322BB2" w:rsidP="004D3B4A">
      <w:pPr>
        <w:pStyle w:val="BodyText"/>
        <w:rPr>
          <w:szCs w:val="18"/>
        </w:rPr>
      </w:pPr>
    </w:p>
    <w:p w:rsidR="00322BB2" w:rsidRDefault="00322BB2" w:rsidP="004116DB">
      <w:pPr>
        <w:pStyle w:val="Pismenka"/>
        <w:numPr>
          <w:ilvl w:val="0"/>
          <w:numId w:val="0"/>
        </w:numPr>
        <w:ind w:left="426"/>
      </w:pPr>
      <w:r>
        <w:t>Cudzia mena</w:t>
      </w:r>
    </w:p>
    <w:p w:rsidR="00322BB2" w:rsidRDefault="00322BB2" w:rsidP="004D3B4A">
      <w:pPr>
        <w:pStyle w:val="BodyText"/>
      </w:pPr>
      <w:r w:rsidRPr="00194BFD">
        <w:t xml:space="preserve">Majetok a záväzky vyjadrené v cudzej mene sa ku dňu uskutočnenia účtovného prípadu </w:t>
      </w:r>
      <w:r>
        <w:t xml:space="preserve">prepočítavajú na menu euro referenčným výmenným </w:t>
      </w:r>
      <w:r w:rsidRPr="00194BFD">
        <w:t>kurzom</w:t>
      </w:r>
      <w:r>
        <w:t xml:space="preserve"> určeným a vyhláseným Európskou centrálnou bankou alebo Národnou bankou Slovenska v deň predchádzajúci dňu uskutočnenia účtovného prípadu. </w:t>
      </w:r>
    </w:p>
    <w:p w:rsidR="00322BB2" w:rsidRDefault="00322BB2" w:rsidP="004D3B4A">
      <w:pPr>
        <w:pStyle w:val="BodyText"/>
      </w:pPr>
      <w:r>
        <w:t>Na ocenenie prírastku cudzej meny nakúpenej za euro sa použije kurz, za ktorý bola táto cudzia mena nakúpená.</w:t>
      </w:r>
    </w:p>
    <w:p w:rsidR="00322BB2" w:rsidRDefault="00322BB2" w:rsidP="004D3B4A">
      <w:pPr>
        <w:pStyle w:val="BodyText"/>
      </w:pPr>
    </w:p>
    <w:p w:rsidR="00322BB2" w:rsidRDefault="00322BB2" w:rsidP="004D3B4A">
      <w:pPr>
        <w:pStyle w:val="BodyText"/>
      </w:pPr>
      <w: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322BB2" w:rsidRDefault="00322BB2" w:rsidP="004D3B4A">
      <w:pPr>
        <w:pStyle w:val="BodyText"/>
      </w:pPr>
    </w:p>
    <w:p w:rsidR="00322BB2" w:rsidRDefault="00322BB2" w:rsidP="004D3B4A">
      <w:pPr>
        <w:pStyle w:val="BodyText"/>
      </w:pPr>
      <w:r w:rsidRPr="00194BFD">
        <w:t>Majetok a záväzky vyjadrené v cudzej mene (</w:t>
      </w:r>
      <w:r>
        <w:t>okrem</w:t>
      </w:r>
      <w:r w:rsidRPr="00194BFD">
        <w:t xml:space="preserve"> prijatých a poskytnutých preddavkov) sa ku dňu, ku ktorému</w:t>
      </w:r>
      <w:r>
        <w:t xml:space="preserve"> sa</w:t>
      </w:r>
      <w:r w:rsidRPr="00194BFD">
        <w:t xml:space="preserve"> zostavuje účtovná závierka</w:t>
      </w:r>
      <w:r>
        <w:t>,</w:t>
      </w:r>
      <w:r w:rsidRPr="00194BFD">
        <w:t xml:space="preserve"> prepočítavajú na </w:t>
      </w:r>
      <w:r>
        <w:t xml:space="preserve">menu euro referenčným výmenným </w:t>
      </w:r>
      <w:r w:rsidRPr="00194BFD">
        <w:t xml:space="preserve">kurzom </w:t>
      </w:r>
      <w:r>
        <w:t>určeným a vyhláseným Európskou centrálnou bankou alebo Národnou bankou Slovenska v deň, ku ktorému sa zostavuje účtovná závierka,</w:t>
      </w:r>
      <w:r w:rsidRPr="00194BFD">
        <w:t xml:space="preserve"> a účtujú sa s vplyvom na výsledok hospodárenia. </w:t>
      </w:r>
    </w:p>
    <w:p w:rsidR="00322BB2" w:rsidRDefault="00322BB2" w:rsidP="004D3B4A">
      <w:pPr>
        <w:pStyle w:val="BodyText"/>
      </w:pPr>
    </w:p>
    <w:p w:rsidR="00322BB2" w:rsidRDefault="00322BB2" w:rsidP="00E5113F">
      <w:pPr>
        <w:pStyle w:val="BodyText"/>
      </w:pPr>
      <w: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322BB2" w:rsidRDefault="00322BB2" w:rsidP="004D3B4A">
      <w:pPr>
        <w:pStyle w:val="BodyText"/>
      </w:pPr>
    </w:p>
    <w:p w:rsidR="00322BB2" w:rsidRDefault="00322BB2" w:rsidP="004D3B4A">
      <w:pPr>
        <w:pStyle w:val="BodyText"/>
      </w:pPr>
      <w:r>
        <w:t>Prijaté a poskytnuté preddavky v cudzej mene na účet zriadený v eurách a z účtu zriadeného v eurách sa prepočítavajú na menu euro kurzom, za ktorý boli tieto hodnoty nakúpené alebo predané.</w:t>
      </w:r>
    </w:p>
    <w:p w:rsidR="00322BB2" w:rsidRDefault="00322BB2" w:rsidP="004D3B4A">
      <w:pPr>
        <w:pStyle w:val="BodyText"/>
      </w:pPr>
    </w:p>
    <w:p w:rsidR="00322BB2" w:rsidRDefault="00322BB2" w:rsidP="004116DB">
      <w:pPr>
        <w:pStyle w:val="Pismenka"/>
        <w:numPr>
          <w:ilvl w:val="0"/>
          <w:numId w:val="0"/>
        </w:numPr>
        <w:ind w:left="426"/>
      </w:pPr>
      <w:r>
        <w:t>Výnosy</w:t>
      </w:r>
    </w:p>
    <w:p w:rsidR="00322BB2" w:rsidRDefault="00322BB2" w:rsidP="004D3B4A">
      <w:pPr>
        <w:pStyle w:val="BodyText"/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322BB2" w:rsidRDefault="00322BB2" w:rsidP="004116DB">
      <w:pPr>
        <w:pStyle w:val="BodyText"/>
        <w:ind w:left="0"/>
      </w:pPr>
    </w:p>
    <w:p w:rsidR="00322BB2" w:rsidRPr="001838CB" w:rsidRDefault="00322BB2" w:rsidP="001838CB">
      <w:pPr>
        <w:pStyle w:val="BodyText"/>
        <w:ind w:left="720"/>
      </w:pPr>
    </w:p>
    <w:p w:rsidR="00322BB2" w:rsidRDefault="00322BB2">
      <w:pPr>
        <w:spacing w:after="200" w:line="276" w:lineRule="auto"/>
        <w:rPr>
          <w:i/>
        </w:rPr>
      </w:pPr>
      <w:r>
        <w:rPr>
          <w:i/>
        </w:rPr>
        <w:br w:type="page"/>
      </w:r>
    </w:p>
    <w:p w:rsidR="00322BB2" w:rsidRPr="001838CB" w:rsidRDefault="00322BB2" w:rsidP="00361F64">
      <w:pPr>
        <w:pStyle w:val="BodyText"/>
        <w:numPr>
          <w:ilvl w:val="0"/>
          <w:numId w:val="10"/>
        </w:numPr>
      </w:pPr>
      <w:r>
        <w:rPr>
          <w:i/>
        </w:rPr>
        <w:t>Určenie odhadu zníženia hodnoty majetku a tvorba opravnej položky</w:t>
      </w:r>
    </w:p>
    <w:p w:rsidR="00322BB2" w:rsidRDefault="00322BB2" w:rsidP="001838CB">
      <w:pPr>
        <w:pStyle w:val="BodyText"/>
        <w:ind w:left="0"/>
      </w:pPr>
    </w:p>
    <w:p w:rsidR="00322BB2" w:rsidRDefault="00322BB2" w:rsidP="001838CB">
      <w:pPr>
        <w:pStyle w:val="BodyText"/>
      </w:pPr>
      <w:r>
        <w:t>Podľa § 26 ods. 3 a 4 zákona o účtovníctve sa opravné položky vytvárajú pri prechodnom znížení hodnoty majetku. Opravnú položku je nutné vytvárať na základe opatrnosti, ak je predpoklad, že nastalo zníženie hodnoty majetku oproti jeho oceneniu v účtovníctve.</w:t>
      </w:r>
    </w:p>
    <w:p w:rsidR="00322BB2" w:rsidRDefault="00322BB2" w:rsidP="00B84C60">
      <w:pPr>
        <w:pStyle w:val="BodyText"/>
      </w:pPr>
    </w:p>
    <w:p w:rsidR="00322BB2" w:rsidRDefault="00322BB2" w:rsidP="00B84C60">
      <w:pPr>
        <w:ind w:left="426"/>
        <w:jc w:val="both"/>
        <w:rPr>
          <w:lang w:eastAsia="sk-SK"/>
        </w:rPr>
      </w:pPr>
      <w:r>
        <w:t xml:space="preserve">Účtovná jednotka vytvorila opravnú položku k pohľadávkam z obchodného styku po lehote splatnosti, </w:t>
      </w:r>
      <w:r w:rsidRPr="001838CB">
        <w:rPr>
          <w:lang w:eastAsia="sk-SK"/>
        </w:rPr>
        <w:t xml:space="preserve">pri </w:t>
      </w:r>
      <w:r>
        <w:rPr>
          <w:lang w:eastAsia="sk-SK"/>
        </w:rPr>
        <w:t>ktorých</w:t>
      </w:r>
      <w:r w:rsidRPr="001838CB">
        <w:rPr>
          <w:lang w:eastAsia="sk-SK"/>
        </w:rPr>
        <w:t xml:space="preserve"> je opodstatnené predpokladať, že ju dlžník ú</w:t>
      </w:r>
      <w:r>
        <w:rPr>
          <w:lang w:eastAsia="sk-SK"/>
        </w:rPr>
        <w:t>plne alebo čiastočne nezaplatí:</w:t>
      </w:r>
    </w:p>
    <w:p w:rsidR="00322BB2" w:rsidRDefault="00322BB2" w:rsidP="00B84C60">
      <w:pPr>
        <w:ind w:left="426"/>
        <w:jc w:val="both"/>
        <w:rPr>
          <w:lang w:eastAsia="sk-SK"/>
        </w:rPr>
      </w:pPr>
    </w:p>
    <w:p w:rsidR="00322BB2" w:rsidRPr="00B938DE" w:rsidRDefault="00322BB2" w:rsidP="00B938DE">
      <w:pPr>
        <w:ind w:left="426"/>
        <w:jc w:val="both"/>
        <w:rPr>
          <w:lang w:eastAsia="sk-SK"/>
        </w:rPr>
      </w:pPr>
      <w:r>
        <w:object w:dxaOrig="8968" w:dyaOrig="56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0.5pt;height:297pt" o:ole="" o:preferrelative="f">
            <v:imagedata r:id="rId7" o:title=""/>
            <o:lock v:ext="edit" aspectratio="f"/>
          </v:shape>
          <o:OLEObject Type="Embed" ProgID="Excel.Sheet.12" ShapeID="_x0000_i1025" DrawAspect="Content" ObjectID="_1560371357" r:id="rId8"/>
        </w:object>
      </w:r>
      <w:bookmarkStart w:id="5" w:name="_Toc530739900"/>
    </w:p>
    <w:p w:rsidR="00322BB2" w:rsidRPr="00E26CB0" w:rsidRDefault="00322BB2" w:rsidP="00E26CB0">
      <w:pPr>
        <w:pStyle w:val="Heading1"/>
        <w:numPr>
          <w:ilvl w:val="0"/>
          <w:numId w:val="0"/>
        </w:numPr>
        <w:spacing w:before="120" w:after="60"/>
        <w:ind w:left="720"/>
      </w:pPr>
    </w:p>
    <w:p w:rsidR="00322BB2" w:rsidRPr="00B938DE" w:rsidRDefault="00322BB2" w:rsidP="00361F64">
      <w:pPr>
        <w:pStyle w:val="Heading1"/>
        <w:numPr>
          <w:ilvl w:val="0"/>
          <w:numId w:val="10"/>
        </w:numPr>
        <w:spacing w:before="120" w:after="60"/>
      </w:pPr>
      <w:r>
        <w:rPr>
          <w:b w:val="0"/>
          <w:i/>
          <w:caps w:val="0"/>
          <w:szCs w:val="18"/>
        </w:rPr>
        <w:t>Určenie ocenenia záväzkov, stanovenie odhadu ocenenia rezerv</w:t>
      </w:r>
    </w:p>
    <w:p w:rsidR="00322BB2" w:rsidRDefault="00322BB2" w:rsidP="00996285">
      <w:pPr>
        <w:ind w:firstLine="426"/>
      </w:pPr>
    </w:p>
    <w:p w:rsidR="00322BB2" w:rsidRDefault="00322BB2" w:rsidP="00996285">
      <w:pPr>
        <w:ind w:firstLine="426"/>
      </w:pPr>
      <w:r>
        <w:t xml:space="preserve">Záväzky sa oceňujú menovitou hodnotu. </w:t>
      </w:r>
    </w:p>
    <w:p w:rsidR="00322BB2" w:rsidRDefault="00322BB2" w:rsidP="00B938DE">
      <w:pPr>
        <w:ind w:firstLine="708"/>
      </w:pPr>
    </w:p>
    <w:p w:rsidR="00322BB2" w:rsidRPr="00B938DE" w:rsidRDefault="00322BB2" w:rsidP="00996285">
      <w:pPr>
        <w:ind w:left="426"/>
        <w:jc w:val="both"/>
        <w:rPr>
          <w:sz w:val="24"/>
          <w:szCs w:val="24"/>
          <w:lang w:eastAsia="sk-SK"/>
        </w:rPr>
      </w:pPr>
      <w:r>
        <w:t>Rezervy sa tvoria</w:t>
      </w:r>
      <w:r w:rsidRPr="00B938DE">
        <w:t xml:space="preserve"> ku dňu, ku ktorému sa zostavuje účtovná závierka na základe zásady opatrnosti na riziká a straty. </w:t>
      </w:r>
      <w:r>
        <w:rPr>
          <w:rStyle w:val="Strong"/>
          <w:b w:val="0"/>
        </w:rPr>
        <w:t xml:space="preserve">Rezerva sa oceňuje </w:t>
      </w:r>
      <w:r w:rsidRPr="00B938DE">
        <w:t>odhadom v sume dostatočnej na splnenie existujúcej povinnosti ku dňu, ku ktorému sa zostavuje účtovná závierka pri zohľadnení rizík a neistôt.</w:t>
      </w:r>
    </w:p>
    <w:p w:rsidR="00322BB2" w:rsidRDefault="00322BB2" w:rsidP="00B938DE">
      <w:pPr>
        <w:ind w:left="360"/>
      </w:pPr>
    </w:p>
    <w:p w:rsidR="00322BB2" w:rsidRDefault="00322BB2">
      <w:pPr>
        <w:spacing w:after="200" w:line="276" w:lineRule="auto"/>
      </w:pPr>
      <w:r>
        <w:br w:type="page"/>
      </w:r>
    </w:p>
    <w:p w:rsidR="00322BB2" w:rsidRDefault="00322BB2" w:rsidP="00F97856">
      <w:pPr>
        <w:pStyle w:val="BodyText"/>
      </w:pPr>
      <w:r w:rsidRPr="00B433AF">
        <w:t>Prehľad o rezervách za bežné účtovné obdobie je uvedený v nasledujúcom prehľade:</w:t>
      </w:r>
    </w:p>
    <w:p w:rsidR="00322BB2" w:rsidRDefault="00322BB2" w:rsidP="00F97856">
      <w:pPr>
        <w:pStyle w:val="BodyText"/>
      </w:pPr>
    </w:p>
    <w:p w:rsidR="00322BB2" w:rsidRDefault="00322BB2" w:rsidP="00F97856">
      <w:pPr>
        <w:ind w:left="426"/>
      </w:pPr>
      <w:r>
        <w:object w:dxaOrig="8748" w:dyaOrig="4975">
          <v:shape id="_x0000_i1026" type="#_x0000_t75" style="width:437.25pt;height:276pt" o:ole="" o:preferrelative="f">
            <v:imagedata r:id="rId9" o:title=""/>
            <o:lock v:ext="edit" aspectratio="f"/>
          </v:shape>
          <o:OLEObject Type="Embed" ProgID="Excel.Sheet.12" ShapeID="_x0000_i1026" DrawAspect="Content" ObjectID="_1560371358" r:id="rId10"/>
        </w:object>
      </w:r>
    </w:p>
    <w:p w:rsidR="00322BB2" w:rsidRPr="00E37C2C" w:rsidRDefault="00322BB2" w:rsidP="00E37C2C">
      <w:pPr>
        <w:pStyle w:val="ListParagraph"/>
        <w:ind w:left="720"/>
      </w:pPr>
    </w:p>
    <w:p w:rsidR="00322BB2" w:rsidRPr="002531FD" w:rsidRDefault="00322BB2" w:rsidP="00361F64">
      <w:pPr>
        <w:pStyle w:val="ListParagraph"/>
        <w:numPr>
          <w:ilvl w:val="0"/>
          <w:numId w:val="10"/>
        </w:numPr>
      </w:pPr>
      <w:r>
        <w:rPr>
          <w:i/>
        </w:rPr>
        <w:t>Ocenenie finančných nástrojov alebo majetku, ktorý nie je finančným nástrojom pri oceňovaní reálnou hodnotu</w:t>
      </w:r>
    </w:p>
    <w:p w:rsidR="00322BB2" w:rsidRDefault="00322BB2" w:rsidP="002531FD">
      <w:pPr>
        <w:ind w:left="360"/>
      </w:pPr>
    </w:p>
    <w:p w:rsidR="00322BB2" w:rsidRPr="00EB2931" w:rsidRDefault="00322BB2" w:rsidP="00361F64">
      <w:pPr>
        <w:pStyle w:val="ListParagraph"/>
        <w:numPr>
          <w:ilvl w:val="0"/>
          <w:numId w:val="11"/>
        </w:numPr>
        <w:rPr>
          <w:i/>
          <w:color w:val="A6A6A6"/>
        </w:rPr>
      </w:pPr>
      <w:r w:rsidRPr="00EB2931">
        <w:rPr>
          <w:i/>
          <w:color w:val="A6A6A6"/>
        </w:rPr>
        <w:t xml:space="preserve">určenie ocenenia reálnou hodnotou, pričom sa uvádza aplikácia reálnej hodnoty podľa zákona; pri kvalifikovanom odhade sa uvádza stanovenie významných predpokladov slúžiacich ako základ modelov a postupov ocenenia, </w:t>
      </w:r>
    </w:p>
    <w:p w:rsidR="00322BB2" w:rsidRPr="00EB2931" w:rsidRDefault="00322BB2" w:rsidP="00361F64">
      <w:pPr>
        <w:pStyle w:val="ListParagraph"/>
        <w:numPr>
          <w:ilvl w:val="0"/>
          <w:numId w:val="11"/>
        </w:numPr>
        <w:rPr>
          <w:i/>
          <w:color w:val="A6A6A6"/>
        </w:rPr>
      </w:pPr>
      <w:r w:rsidRPr="00EB2931">
        <w:rPr>
          <w:i/>
          <w:color w:val="A6A6A6"/>
        </w:rPr>
        <w:t xml:space="preserve">pre každú kategóriu finančných nástrojov alebo majetku, ktorý nie je finančných nástrojom sa uvádza reálna hodnota a údaj o tom, v akej sume sa zmeny reálnej hodnoty zahrnuli do výkazu ziskov a strát a v akej sume sa zahrnuli vo vlastnom imaní ako oceňovacie rozdiely, </w:t>
      </w:r>
    </w:p>
    <w:p w:rsidR="00322BB2" w:rsidRDefault="00322BB2" w:rsidP="00361F64">
      <w:pPr>
        <w:pStyle w:val="ListParagraph"/>
        <w:numPr>
          <w:ilvl w:val="0"/>
          <w:numId w:val="11"/>
        </w:numPr>
        <w:rPr>
          <w:i/>
          <w:color w:val="A6A6A6"/>
        </w:rPr>
      </w:pPr>
      <w:r w:rsidRPr="00EB2931">
        <w:rPr>
          <w:i/>
          <w:color w:val="A6A6A6"/>
        </w:rPr>
        <w:t xml:space="preserve">pre každý druh derivátových finančných nástrojov informácie o rozsahu a podstate týchto nástrojov vrátane hlavných podmienok a okolností, ktoré môžu ovplyvniť sumu, časový priebeh a mieru istoty budúcich peňažných tokov, </w:t>
      </w:r>
    </w:p>
    <w:p w:rsidR="00322BB2" w:rsidRDefault="00322BB2" w:rsidP="00EB2931">
      <w:pPr>
        <w:rPr>
          <w:i/>
          <w:color w:val="A6A6A6"/>
        </w:rPr>
      </w:pPr>
    </w:p>
    <w:p w:rsidR="00322BB2" w:rsidRPr="00EB2931" w:rsidRDefault="00322BB2" w:rsidP="00AF2328">
      <w:pPr>
        <w:ind w:left="426"/>
        <w:jc w:val="both"/>
      </w:pPr>
      <w:r>
        <w:t>Spoločnosť</w:t>
      </w:r>
      <w:r w:rsidRPr="00EB2931">
        <w:t xml:space="preserve"> neúčtuje o finančných nástrojoch alebo majetku, ktorý nie je finančným nástrojom oceňovanom reálnou hodnotou.</w:t>
      </w:r>
    </w:p>
    <w:p w:rsidR="00322BB2" w:rsidRDefault="00322BB2" w:rsidP="00CD6833">
      <w:pPr>
        <w:jc w:val="both"/>
      </w:pPr>
    </w:p>
    <w:p w:rsidR="00322BB2" w:rsidRPr="00E26CB0" w:rsidRDefault="00322BB2" w:rsidP="00CD6833">
      <w:pPr>
        <w:pStyle w:val="ListParagraph"/>
        <w:numPr>
          <w:ilvl w:val="0"/>
          <w:numId w:val="10"/>
        </w:numPr>
        <w:jc w:val="both"/>
        <w:rPr>
          <w:i/>
        </w:rPr>
      </w:pPr>
      <w:r w:rsidRPr="00E26CB0">
        <w:rPr>
          <w:i/>
        </w:rPr>
        <w:t xml:space="preserve">určenie ocenenia finančných nástrojov alebo majetku, ktorý nie je finančným nástrojom pri oceňovaní obstarávacou cenou </w:t>
      </w:r>
      <w:r>
        <w:rPr>
          <w:i/>
        </w:rPr>
        <w:t>alebo vlastnými nákladmi</w:t>
      </w:r>
    </w:p>
    <w:p w:rsidR="00322BB2" w:rsidRPr="00EB2931" w:rsidRDefault="00322BB2" w:rsidP="00361F64">
      <w:pPr>
        <w:pStyle w:val="ListParagraph"/>
        <w:numPr>
          <w:ilvl w:val="0"/>
          <w:numId w:val="12"/>
        </w:numPr>
        <w:rPr>
          <w:i/>
          <w:color w:val="A6A6A6"/>
        </w:rPr>
      </w:pPr>
      <w:r w:rsidRPr="00EB2931">
        <w:rPr>
          <w:i/>
          <w:color w:val="A6A6A6"/>
        </w:rPr>
        <w:t xml:space="preserve">pre každý druh derivátových finančných nástrojov sa uvádza reálna hodnota týchto finančných nástrojov, ak sa môže spoľahlivo určiť ako trhová cena a informácia o rozsahu a charaktere týchto nástrojov, </w:t>
      </w:r>
    </w:p>
    <w:p w:rsidR="00322BB2" w:rsidRPr="00EB2931" w:rsidRDefault="00322BB2" w:rsidP="00361F64">
      <w:pPr>
        <w:pStyle w:val="ListParagraph"/>
        <w:numPr>
          <w:ilvl w:val="0"/>
          <w:numId w:val="12"/>
        </w:numPr>
        <w:rPr>
          <w:i/>
          <w:color w:val="A6A6A6"/>
        </w:rPr>
      </w:pPr>
      <w:r w:rsidRPr="00EB2931">
        <w:rPr>
          <w:i/>
          <w:color w:val="A6A6A6"/>
        </w:rPr>
        <w:t xml:space="preserve">pri dlhodobom finančnom majetku, ktorý sa vykazuje vo vyššej hodnote ako je jeho reálna hodnota, sa uvádza </w:t>
      </w:r>
    </w:p>
    <w:p w:rsidR="00322BB2" w:rsidRPr="00EB2931" w:rsidRDefault="00322BB2" w:rsidP="00EB2931">
      <w:pPr>
        <w:pStyle w:val="ListParagraph"/>
        <w:ind w:left="720"/>
        <w:rPr>
          <w:i/>
          <w:color w:val="A6A6A6"/>
        </w:rPr>
      </w:pPr>
      <w:r w:rsidRPr="00EB2931">
        <w:rPr>
          <w:i/>
          <w:color w:val="A6A6A6"/>
        </w:rPr>
        <w:t xml:space="preserve">2a. účtovná hodnota a reálna hodnota za jednotlivé položky majetku alebo skupiny týchto jednotlivých položiek majetku, </w:t>
      </w:r>
    </w:p>
    <w:p w:rsidR="00322BB2" w:rsidRPr="00EB2931" w:rsidRDefault="00322BB2" w:rsidP="00EB2931">
      <w:pPr>
        <w:pStyle w:val="ListParagraph"/>
        <w:ind w:left="720"/>
        <w:rPr>
          <w:i/>
          <w:color w:val="A6A6A6"/>
        </w:rPr>
      </w:pPr>
      <w:r w:rsidRPr="00EB2931">
        <w:rPr>
          <w:i/>
          <w:color w:val="A6A6A6"/>
        </w:rPr>
        <w:t xml:space="preserve">2b. dôvod pre nezníženie účtovnej hodnoty vrátane povahy dôkazov pre predpoklad, že sa účtovná hodnota opätovne dosiahne, </w:t>
      </w:r>
    </w:p>
    <w:p w:rsidR="00322BB2" w:rsidRDefault="00322BB2" w:rsidP="00EB2931">
      <w:pPr>
        <w:ind w:left="426"/>
      </w:pPr>
    </w:p>
    <w:p w:rsidR="00322BB2" w:rsidRDefault="00322BB2" w:rsidP="00AF2328">
      <w:pPr>
        <w:ind w:left="426"/>
        <w:jc w:val="both"/>
      </w:pPr>
      <w:r>
        <w:t>Spoločnosť</w:t>
      </w:r>
      <w:r w:rsidRPr="00EB2931">
        <w:t xml:space="preserve"> neúčtuje o finančných nástrojoch alebo majetku, ktorý nie je finančným nástrojom oceňovanom </w:t>
      </w:r>
      <w:r>
        <w:t>obstarávacou cenou alebo vlastnými nákladmi.</w:t>
      </w:r>
    </w:p>
    <w:p w:rsidR="00322BB2" w:rsidRDefault="00322BB2" w:rsidP="00E37C2C"/>
    <w:p w:rsidR="00322BB2" w:rsidRPr="00E26CB0" w:rsidRDefault="00322BB2" w:rsidP="00361F64">
      <w:pPr>
        <w:pStyle w:val="ListParagraph"/>
        <w:numPr>
          <w:ilvl w:val="0"/>
          <w:numId w:val="10"/>
        </w:numPr>
        <w:rPr>
          <w:i/>
        </w:rPr>
      </w:pPr>
      <w:r w:rsidRPr="00E26CB0">
        <w:rPr>
          <w:i/>
        </w:rPr>
        <w:t>stanovenie metódy vlastného imania</w:t>
      </w:r>
    </w:p>
    <w:p w:rsidR="00322BB2" w:rsidRDefault="00322BB2" w:rsidP="00EB2931"/>
    <w:p w:rsidR="00322BB2" w:rsidRDefault="00322BB2" w:rsidP="00EB2931">
      <w:pPr>
        <w:ind w:left="426"/>
      </w:pPr>
      <w:r>
        <w:t>Spoločnosť</w:t>
      </w:r>
      <w:r w:rsidRPr="00EB2931">
        <w:t xml:space="preserve"> </w:t>
      </w:r>
      <w:r>
        <w:t>neúčtuje o podieloch, ktoré sa oceňujú metódou vlastného imania.</w:t>
      </w:r>
    </w:p>
    <w:p w:rsidR="00322BB2" w:rsidRDefault="00322BB2" w:rsidP="00EB2931">
      <w:pPr>
        <w:pStyle w:val="ListParagraph"/>
        <w:ind w:left="720"/>
      </w:pPr>
    </w:p>
    <w:p w:rsidR="00322BB2" w:rsidRPr="00E26CB0" w:rsidRDefault="00322BB2" w:rsidP="00CD6833">
      <w:pPr>
        <w:pStyle w:val="ListParagraph"/>
        <w:numPr>
          <w:ilvl w:val="0"/>
          <w:numId w:val="10"/>
        </w:numPr>
        <w:jc w:val="both"/>
        <w:rPr>
          <w:i/>
        </w:rPr>
      </w:pPr>
      <w:r w:rsidRPr="00E26CB0">
        <w:rPr>
          <w:i/>
        </w:rPr>
        <w:t>tvorba odpisového plánu pre dlhodobý majetok, pričom sa uvádza doba odpisovania, sadzby odpisov a odpisové metódy pre účtovné odpisy</w:t>
      </w:r>
    </w:p>
    <w:p w:rsidR="00322BB2" w:rsidRDefault="00322BB2" w:rsidP="00E26CB0">
      <w:pPr>
        <w:ind w:left="360"/>
      </w:pPr>
    </w:p>
    <w:p w:rsidR="00322BB2" w:rsidRDefault="00322BB2" w:rsidP="00E26CB0">
      <w:pPr>
        <w:ind w:left="360"/>
      </w:pPr>
    </w:p>
    <w:p w:rsidR="00322BB2" w:rsidRDefault="00322BB2" w:rsidP="00E26CB0">
      <w:pPr>
        <w:pStyle w:val="BodyText"/>
      </w:pPr>
      <w:r>
        <w:t xml:space="preserve">Odpisy dlhodobého nehmotného majetku sú stanovené vychádzajúc z predpokladanej doby jeho používania a predpokladaného priebehu jeho opotrebenia. Odpisovať sa začína počnúc mesiacom zaradenia dlhodobého majetku do používania. Drobný dlhodobý nehmotný majetok, ktorého obstarávacia cena (resp. vlastné náklady) je </w:t>
      </w:r>
      <w:r w:rsidRPr="00F7710B">
        <w:t>2</w:t>
      </w:r>
      <w:r w:rsidRPr="00DF04B4">
        <w:t> </w:t>
      </w:r>
      <w:r>
        <w:t>400</w:t>
      </w:r>
      <w:r w:rsidRPr="00DF04B4">
        <w:t xml:space="preserve"> EUR</w:t>
      </w:r>
      <w:r>
        <w:t xml:space="preserve"> a nižšia, sa odpisuje jednorazovo pri uvedení do používania. Predpokladaná doba používania, metóda odpisovania a odpisová sadzba sú uvedené v nasledujúcej tabuľke:</w:t>
      </w:r>
    </w:p>
    <w:p w:rsidR="00322BB2" w:rsidRDefault="00322BB2" w:rsidP="00E26CB0">
      <w:pPr>
        <w:pStyle w:val="BodyText"/>
      </w:pPr>
    </w:p>
    <w:tbl>
      <w:tblPr>
        <w:tblW w:w="0" w:type="auto"/>
        <w:tblInd w:w="456" w:type="dxa"/>
        <w:tblCellMar>
          <w:left w:w="30" w:type="dxa"/>
          <w:right w:w="30" w:type="dxa"/>
        </w:tblCellMar>
        <w:tblLook w:val="0000"/>
      </w:tblPr>
      <w:tblGrid>
        <w:gridCol w:w="2901"/>
        <w:gridCol w:w="416"/>
        <w:gridCol w:w="1544"/>
        <w:gridCol w:w="222"/>
        <w:gridCol w:w="1817"/>
        <w:gridCol w:w="222"/>
        <w:gridCol w:w="1695"/>
      </w:tblGrid>
      <w:tr w:rsidR="00322BB2" w:rsidTr="007C00FF">
        <w:trPr>
          <w:trHeight w:val="250"/>
        </w:trPr>
        <w:tc>
          <w:tcPr>
            <w:tcW w:w="3317" w:type="dxa"/>
            <w:gridSpan w:val="2"/>
          </w:tcPr>
          <w:p w:rsidR="00322BB2" w:rsidRDefault="00322BB2" w:rsidP="007C00FF">
            <w:pPr>
              <w:pStyle w:val="Tabulka"/>
            </w:pPr>
            <w:r>
              <w:br w:type="page"/>
            </w:r>
          </w:p>
        </w:tc>
        <w:tc>
          <w:tcPr>
            <w:tcW w:w="1544" w:type="dxa"/>
          </w:tcPr>
          <w:p w:rsidR="00322BB2" w:rsidRDefault="00322BB2" w:rsidP="007C00FF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222" w:type="dxa"/>
          </w:tcPr>
          <w:p w:rsidR="00322BB2" w:rsidRDefault="00322BB2" w:rsidP="007C00FF">
            <w:pPr>
              <w:pStyle w:val="Tabulka"/>
              <w:jc w:val="center"/>
            </w:pPr>
          </w:p>
        </w:tc>
        <w:tc>
          <w:tcPr>
            <w:tcW w:w="1817" w:type="dxa"/>
          </w:tcPr>
          <w:p w:rsidR="00322BB2" w:rsidRDefault="00322BB2" w:rsidP="007C00FF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222" w:type="dxa"/>
          </w:tcPr>
          <w:p w:rsidR="00322BB2" w:rsidRDefault="00322BB2" w:rsidP="007C00FF">
            <w:pPr>
              <w:pStyle w:val="Tabulka"/>
              <w:jc w:val="center"/>
            </w:pPr>
          </w:p>
        </w:tc>
        <w:tc>
          <w:tcPr>
            <w:tcW w:w="1695" w:type="dxa"/>
          </w:tcPr>
          <w:p w:rsidR="00322BB2" w:rsidRDefault="00322BB2" w:rsidP="007C00FF">
            <w:pPr>
              <w:pStyle w:val="Tabulka"/>
              <w:jc w:val="center"/>
            </w:pPr>
            <w:r>
              <w:t>Ročná odpisová</w:t>
            </w:r>
          </w:p>
        </w:tc>
      </w:tr>
      <w:tr w:rsidR="00322BB2" w:rsidTr="007C00FF">
        <w:trPr>
          <w:trHeight w:val="250"/>
        </w:trPr>
        <w:tc>
          <w:tcPr>
            <w:tcW w:w="2901" w:type="dxa"/>
            <w:tcBorders>
              <w:bottom w:val="single" w:sz="4" w:space="0" w:color="auto"/>
            </w:tcBorders>
          </w:tcPr>
          <w:p w:rsidR="00322BB2" w:rsidRDefault="00322BB2" w:rsidP="007C00FF">
            <w:pPr>
              <w:pStyle w:val="Tabulka"/>
            </w:pPr>
          </w:p>
        </w:tc>
        <w:tc>
          <w:tcPr>
            <w:tcW w:w="416" w:type="dxa"/>
            <w:tcBorders>
              <w:bottom w:val="single" w:sz="4" w:space="0" w:color="auto"/>
            </w:tcBorders>
          </w:tcPr>
          <w:p w:rsidR="00322BB2" w:rsidRDefault="00322BB2" w:rsidP="007C00FF">
            <w:pPr>
              <w:pStyle w:val="Tabulka"/>
            </w:pPr>
          </w:p>
        </w:tc>
        <w:tc>
          <w:tcPr>
            <w:tcW w:w="1544" w:type="dxa"/>
            <w:tcBorders>
              <w:bottom w:val="single" w:sz="4" w:space="0" w:color="auto"/>
            </w:tcBorders>
          </w:tcPr>
          <w:p w:rsidR="00322BB2" w:rsidRDefault="00322BB2" w:rsidP="007C00FF">
            <w:pPr>
              <w:pStyle w:val="Tabulka"/>
              <w:jc w:val="center"/>
            </w:pPr>
            <w:r>
              <w:t>doba používania</w:t>
            </w:r>
            <w:r>
              <w:br/>
              <w:t>v rokoch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322BB2" w:rsidRDefault="00322BB2" w:rsidP="007C00FF">
            <w:pPr>
              <w:pStyle w:val="Tabulka"/>
              <w:jc w:val="center"/>
            </w:pPr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:rsidR="00322BB2" w:rsidRDefault="00322BB2" w:rsidP="007C00FF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322BB2" w:rsidRDefault="00322BB2" w:rsidP="007C00FF">
            <w:pPr>
              <w:pStyle w:val="Tabulka"/>
              <w:jc w:val="center"/>
            </w:pP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:rsidR="00322BB2" w:rsidRDefault="00322BB2" w:rsidP="007C00FF">
            <w:pPr>
              <w:pStyle w:val="Tabulka"/>
              <w:jc w:val="center"/>
            </w:pPr>
            <w:r>
              <w:t>sadzba v %</w:t>
            </w:r>
          </w:p>
        </w:tc>
      </w:tr>
      <w:tr w:rsidR="00322BB2" w:rsidTr="007C00FF">
        <w:trPr>
          <w:trHeight w:val="250"/>
        </w:trPr>
        <w:tc>
          <w:tcPr>
            <w:tcW w:w="3317" w:type="dxa"/>
            <w:gridSpan w:val="2"/>
          </w:tcPr>
          <w:p w:rsidR="00322BB2" w:rsidRDefault="00322BB2" w:rsidP="007C00FF">
            <w:pPr>
              <w:pStyle w:val="Tabulka"/>
            </w:pPr>
            <w:r>
              <w:t>Softvér</w:t>
            </w:r>
          </w:p>
        </w:tc>
        <w:tc>
          <w:tcPr>
            <w:tcW w:w="1544" w:type="dxa"/>
          </w:tcPr>
          <w:p w:rsidR="00322BB2" w:rsidRDefault="00322BB2" w:rsidP="007C00FF">
            <w:pPr>
              <w:pStyle w:val="Tabulka"/>
              <w:jc w:val="center"/>
            </w:pPr>
            <w:r>
              <w:t>10</w:t>
            </w:r>
          </w:p>
        </w:tc>
        <w:tc>
          <w:tcPr>
            <w:tcW w:w="222" w:type="dxa"/>
          </w:tcPr>
          <w:p w:rsidR="00322BB2" w:rsidRDefault="00322BB2" w:rsidP="007C00FF">
            <w:pPr>
              <w:pStyle w:val="Tabulka"/>
              <w:jc w:val="center"/>
            </w:pPr>
          </w:p>
        </w:tc>
        <w:tc>
          <w:tcPr>
            <w:tcW w:w="1817" w:type="dxa"/>
          </w:tcPr>
          <w:p w:rsidR="00322BB2" w:rsidRDefault="00322BB2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222" w:type="dxa"/>
          </w:tcPr>
          <w:p w:rsidR="00322BB2" w:rsidRDefault="00322BB2" w:rsidP="007C00FF">
            <w:pPr>
              <w:pStyle w:val="Tabulka"/>
              <w:jc w:val="center"/>
            </w:pPr>
          </w:p>
        </w:tc>
        <w:tc>
          <w:tcPr>
            <w:tcW w:w="1695" w:type="dxa"/>
          </w:tcPr>
          <w:p w:rsidR="00322BB2" w:rsidRDefault="00322BB2" w:rsidP="007C00FF">
            <w:pPr>
              <w:pStyle w:val="Tabulka"/>
              <w:jc w:val="center"/>
            </w:pPr>
            <w:r>
              <w:t>10</w:t>
            </w:r>
          </w:p>
        </w:tc>
      </w:tr>
      <w:tr w:rsidR="00322BB2" w:rsidTr="007C00FF">
        <w:trPr>
          <w:trHeight w:val="250"/>
        </w:trPr>
        <w:tc>
          <w:tcPr>
            <w:tcW w:w="3317" w:type="dxa"/>
            <w:gridSpan w:val="2"/>
          </w:tcPr>
          <w:p w:rsidR="00322BB2" w:rsidRDefault="00322BB2" w:rsidP="007C00FF">
            <w:pPr>
              <w:pStyle w:val="Tabulka"/>
            </w:pPr>
            <w:r>
              <w:t xml:space="preserve">Ostatný DNM </w:t>
            </w:r>
          </w:p>
        </w:tc>
        <w:tc>
          <w:tcPr>
            <w:tcW w:w="1544" w:type="dxa"/>
          </w:tcPr>
          <w:p w:rsidR="00322BB2" w:rsidRDefault="00322BB2" w:rsidP="007C00FF">
            <w:pPr>
              <w:pStyle w:val="Tabulka"/>
              <w:jc w:val="center"/>
            </w:pPr>
            <w:r>
              <w:t>5 až 10</w:t>
            </w:r>
          </w:p>
        </w:tc>
        <w:tc>
          <w:tcPr>
            <w:tcW w:w="222" w:type="dxa"/>
          </w:tcPr>
          <w:p w:rsidR="00322BB2" w:rsidRDefault="00322BB2" w:rsidP="007C00FF">
            <w:pPr>
              <w:pStyle w:val="Tabulka"/>
              <w:jc w:val="center"/>
            </w:pPr>
          </w:p>
        </w:tc>
        <w:tc>
          <w:tcPr>
            <w:tcW w:w="1817" w:type="dxa"/>
          </w:tcPr>
          <w:p w:rsidR="00322BB2" w:rsidRDefault="00322BB2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222" w:type="dxa"/>
          </w:tcPr>
          <w:p w:rsidR="00322BB2" w:rsidRDefault="00322BB2" w:rsidP="007C00FF">
            <w:pPr>
              <w:pStyle w:val="Tabulka"/>
              <w:jc w:val="center"/>
            </w:pPr>
          </w:p>
        </w:tc>
        <w:tc>
          <w:tcPr>
            <w:tcW w:w="1695" w:type="dxa"/>
          </w:tcPr>
          <w:p w:rsidR="00322BB2" w:rsidRDefault="00322BB2" w:rsidP="007C00FF">
            <w:pPr>
              <w:pStyle w:val="Tabulka"/>
              <w:jc w:val="center"/>
            </w:pPr>
            <w:r>
              <w:t>10 až 20</w:t>
            </w:r>
          </w:p>
        </w:tc>
      </w:tr>
    </w:tbl>
    <w:p w:rsidR="00322BB2" w:rsidRDefault="00322BB2" w:rsidP="00E26CB0">
      <w:pPr>
        <w:pStyle w:val="BodyText"/>
      </w:pPr>
    </w:p>
    <w:p w:rsidR="00322BB2" w:rsidRDefault="00322BB2" w:rsidP="00E26CB0">
      <w:pPr>
        <w:pStyle w:val="BodyText"/>
      </w:pPr>
      <w:r>
        <w:t>Odpisy dlhodobého hmotného majetku sú stanovené vychádzajúc z predpokladanej doby jeho používania a predpokladaného priebehu jeho opotrebenia. Odpisovať sa začína počnúc mesiacom zaradenia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322BB2" w:rsidRDefault="00322BB2" w:rsidP="00E26CB0">
      <w:pPr>
        <w:pStyle w:val="Body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322BB2" w:rsidTr="007C00FF">
        <w:trPr>
          <w:trHeight w:val="250"/>
        </w:trPr>
        <w:tc>
          <w:tcPr>
            <w:tcW w:w="3118" w:type="dxa"/>
            <w:gridSpan w:val="2"/>
          </w:tcPr>
          <w:p w:rsidR="00322BB2" w:rsidRDefault="00322BB2" w:rsidP="007C00FF">
            <w:pPr>
              <w:pStyle w:val="Tabulka"/>
            </w:pPr>
          </w:p>
        </w:tc>
        <w:tc>
          <w:tcPr>
            <w:tcW w:w="1985" w:type="dxa"/>
          </w:tcPr>
          <w:p w:rsidR="00322BB2" w:rsidRDefault="00322BB2" w:rsidP="007C00FF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</w:tcPr>
          <w:p w:rsidR="00322BB2" w:rsidRDefault="00322BB2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322BB2" w:rsidRDefault="00322BB2" w:rsidP="007C00FF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:rsidR="00322BB2" w:rsidRDefault="00322BB2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322BB2" w:rsidRDefault="00322BB2" w:rsidP="007C00FF">
            <w:pPr>
              <w:pStyle w:val="Tabulka"/>
              <w:jc w:val="center"/>
            </w:pPr>
            <w:r>
              <w:t>Ročná odpisová</w:t>
            </w:r>
          </w:p>
        </w:tc>
      </w:tr>
      <w:tr w:rsidR="00322BB2" w:rsidTr="007C00FF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322BB2" w:rsidRDefault="00322BB2" w:rsidP="007C00FF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322BB2" w:rsidRDefault="00322BB2" w:rsidP="007C00FF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322BB2" w:rsidRDefault="00322BB2" w:rsidP="007C00FF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322BB2" w:rsidRDefault="00322BB2" w:rsidP="007C00FF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22BB2" w:rsidRDefault="00322BB2" w:rsidP="007C00FF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322BB2" w:rsidRDefault="00322BB2" w:rsidP="007C00FF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22BB2" w:rsidRDefault="00322BB2" w:rsidP="007C00FF">
            <w:pPr>
              <w:pStyle w:val="Tabulka"/>
              <w:jc w:val="center"/>
            </w:pPr>
            <w:r>
              <w:t>sadzba v %</w:t>
            </w:r>
          </w:p>
        </w:tc>
      </w:tr>
      <w:tr w:rsidR="00322BB2" w:rsidTr="007C00FF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322BB2" w:rsidRDefault="00322BB2" w:rsidP="007C00FF">
            <w:pPr>
              <w:pStyle w:val="Tabulka"/>
            </w:pPr>
            <w: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322BB2" w:rsidRDefault="00322BB2" w:rsidP="007C00FF">
            <w:pPr>
              <w:pStyle w:val="Tabulka"/>
              <w:jc w:val="center"/>
            </w:pPr>
            <w:r>
              <w:t>20 až 50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322BB2" w:rsidRDefault="00322BB2" w:rsidP="007C00FF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22BB2" w:rsidRDefault="00322BB2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322BB2" w:rsidRDefault="00322BB2" w:rsidP="007C00FF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22BB2" w:rsidRDefault="00322BB2" w:rsidP="007C00FF">
            <w:pPr>
              <w:pStyle w:val="Tabulka"/>
              <w:jc w:val="center"/>
            </w:pPr>
            <w:r>
              <w:t>2 až 5</w:t>
            </w:r>
          </w:p>
        </w:tc>
      </w:tr>
      <w:tr w:rsidR="00322BB2" w:rsidTr="007C00FF">
        <w:trPr>
          <w:trHeight w:val="250"/>
        </w:trPr>
        <w:tc>
          <w:tcPr>
            <w:tcW w:w="3118" w:type="dxa"/>
            <w:gridSpan w:val="2"/>
          </w:tcPr>
          <w:p w:rsidR="00322BB2" w:rsidRDefault="00322BB2" w:rsidP="007C00FF">
            <w:pPr>
              <w:pStyle w:val="Tabulka"/>
            </w:pPr>
            <w:r>
              <w:t>Stroje, prístroje a zariadenia</w:t>
            </w:r>
          </w:p>
        </w:tc>
        <w:tc>
          <w:tcPr>
            <w:tcW w:w="1985" w:type="dxa"/>
          </w:tcPr>
          <w:p w:rsidR="00322BB2" w:rsidRDefault="00322BB2" w:rsidP="007C00FF">
            <w:pPr>
              <w:pStyle w:val="Tabulka"/>
              <w:jc w:val="center"/>
            </w:pPr>
            <w:r>
              <w:t>4 až 5</w:t>
            </w:r>
          </w:p>
        </w:tc>
        <w:tc>
          <w:tcPr>
            <w:tcW w:w="141" w:type="dxa"/>
          </w:tcPr>
          <w:p w:rsidR="00322BB2" w:rsidRDefault="00322BB2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322BB2" w:rsidRDefault="00322BB2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322BB2" w:rsidRDefault="00322BB2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322BB2" w:rsidRDefault="00322BB2" w:rsidP="007C00FF">
            <w:pPr>
              <w:pStyle w:val="Tabulka"/>
              <w:jc w:val="center"/>
            </w:pPr>
            <w:r>
              <w:t xml:space="preserve">20 až 25 </w:t>
            </w:r>
          </w:p>
        </w:tc>
      </w:tr>
      <w:tr w:rsidR="00322BB2" w:rsidTr="007C00FF">
        <w:trPr>
          <w:trHeight w:val="250"/>
        </w:trPr>
        <w:tc>
          <w:tcPr>
            <w:tcW w:w="3118" w:type="dxa"/>
            <w:gridSpan w:val="2"/>
          </w:tcPr>
          <w:p w:rsidR="00322BB2" w:rsidRDefault="00322BB2" w:rsidP="007C00FF">
            <w:pPr>
              <w:pStyle w:val="Tabulka"/>
            </w:pPr>
            <w:r>
              <w:t>Dopravné prostriedky</w:t>
            </w:r>
          </w:p>
        </w:tc>
        <w:tc>
          <w:tcPr>
            <w:tcW w:w="1985" w:type="dxa"/>
          </w:tcPr>
          <w:p w:rsidR="00322BB2" w:rsidRDefault="00322BB2" w:rsidP="007C00FF">
            <w:pPr>
              <w:pStyle w:val="Tabulka"/>
              <w:jc w:val="center"/>
            </w:pPr>
            <w:r>
              <w:t>5 až 6</w:t>
            </w:r>
          </w:p>
        </w:tc>
        <w:tc>
          <w:tcPr>
            <w:tcW w:w="141" w:type="dxa"/>
          </w:tcPr>
          <w:p w:rsidR="00322BB2" w:rsidRDefault="00322BB2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322BB2" w:rsidRDefault="00322BB2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322BB2" w:rsidRDefault="00322BB2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322BB2" w:rsidRDefault="00322BB2" w:rsidP="007C00FF">
            <w:pPr>
              <w:pStyle w:val="Tabulka"/>
              <w:jc w:val="center"/>
            </w:pPr>
            <w:r>
              <w:t>16 až 20</w:t>
            </w:r>
          </w:p>
        </w:tc>
      </w:tr>
      <w:tr w:rsidR="00322BB2" w:rsidTr="007C00FF">
        <w:trPr>
          <w:trHeight w:val="250"/>
        </w:trPr>
        <w:tc>
          <w:tcPr>
            <w:tcW w:w="3118" w:type="dxa"/>
            <w:gridSpan w:val="2"/>
          </w:tcPr>
          <w:p w:rsidR="00322BB2" w:rsidRDefault="00322BB2" w:rsidP="007C00FF">
            <w:pPr>
              <w:pStyle w:val="Tabulka"/>
            </w:pPr>
            <w:r>
              <w:t>Inventár</w:t>
            </w:r>
          </w:p>
        </w:tc>
        <w:tc>
          <w:tcPr>
            <w:tcW w:w="1985" w:type="dxa"/>
          </w:tcPr>
          <w:p w:rsidR="00322BB2" w:rsidRDefault="00322BB2" w:rsidP="007C00FF">
            <w:pPr>
              <w:pStyle w:val="Tabulka"/>
              <w:jc w:val="center"/>
            </w:pPr>
            <w:r>
              <w:t>5 až 10</w:t>
            </w:r>
          </w:p>
        </w:tc>
        <w:tc>
          <w:tcPr>
            <w:tcW w:w="141" w:type="dxa"/>
          </w:tcPr>
          <w:p w:rsidR="00322BB2" w:rsidRDefault="00322BB2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322BB2" w:rsidRDefault="00322BB2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322BB2" w:rsidRDefault="00322BB2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322BB2" w:rsidRDefault="00322BB2" w:rsidP="007C00FF">
            <w:pPr>
              <w:pStyle w:val="Tabulka"/>
              <w:jc w:val="center"/>
            </w:pPr>
            <w:r>
              <w:t>10 až 20</w:t>
            </w:r>
          </w:p>
        </w:tc>
      </w:tr>
      <w:tr w:rsidR="00322BB2" w:rsidTr="007C00FF">
        <w:trPr>
          <w:trHeight w:val="250"/>
        </w:trPr>
        <w:tc>
          <w:tcPr>
            <w:tcW w:w="3118" w:type="dxa"/>
            <w:gridSpan w:val="2"/>
          </w:tcPr>
          <w:p w:rsidR="00322BB2" w:rsidRDefault="00322BB2" w:rsidP="007C00FF">
            <w:pPr>
              <w:pStyle w:val="Tabulka"/>
            </w:pPr>
            <w:r>
              <w:t>Ostatný dlhodobý hmotný majetok</w:t>
            </w:r>
          </w:p>
        </w:tc>
        <w:tc>
          <w:tcPr>
            <w:tcW w:w="1985" w:type="dxa"/>
          </w:tcPr>
          <w:p w:rsidR="00322BB2" w:rsidRDefault="00322BB2" w:rsidP="007C00FF">
            <w:pPr>
              <w:pStyle w:val="Tabulka"/>
              <w:jc w:val="center"/>
            </w:pPr>
            <w:r>
              <w:t>50</w:t>
            </w:r>
          </w:p>
        </w:tc>
        <w:tc>
          <w:tcPr>
            <w:tcW w:w="141" w:type="dxa"/>
          </w:tcPr>
          <w:p w:rsidR="00322BB2" w:rsidRDefault="00322BB2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322BB2" w:rsidRDefault="00322BB2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322BB2" w:rsidRDefault="00322BB2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322BB2" w:rsidRDefault="00322BB2" w:rsidP="007C00FF">
            <w:pPr>
              <w:pStyle w:val="Tabulka"/>
              <w:jc w:val="center"/>
            </w:pPr>
            <w:r>
              <w:t>2</w:t>
            </w:r>
          </w:p>
        </w:tc>
      </w:tr>
    </w:tbl>
    <w:p w:rsidR="00322BB2" w:rsidRDefault="00322BB2" w:rsidP="00E26CB0">
      <w:pPr>
        <w:ind w:left="360"/>
      </w:pPr>
    </w:p>
    <w:p w:rsidR="00322BB2" w:rsidRDefault="00322BB2" w:rsidP="00E26CB0"/>
    <w:p w:rsidR="00322BB2" w:rsidRDefault="00322BB2" w:rsidP="00E26CB0"/>
    <w:p w:rsidR="00322BB2" w:rsidRDefault="00322BB2" w:rsidP="00361F64">
      <w:pPr>
        <w:pStyle w:val="ListParagraph"/>
        <w:numPr>
          <w:ilvl w:val="0"/>
          <w:numId w:val="10"/>
        </w:numPr>
        <w:rPr>
          <w:i/>
        </w:rPr>
      </w:pPr>
      <w:r w:rsidRPr="00E26CB0">
        <w:rPr>
          <w:i/>
        </w:rPr>
        <w:t>informácia o poskytnutých dotáciách a pri dotáciách na obstaranie majetku sa uvedú zložky majetku a ich ocenenie</w:t>
      </w:r>
    </w:p>
    <w:p w:rsidR="00322BB2" w:rsidRDefault="00322BB2" w:rsidP="008530DC"/>
    <w:p w:rsidR="00322BB2" w:rsidRDefault="00322BB2" w:rsidP="008530DC">
      <w:pPr>
        <w:ind w:left="360"/>
      </w:pPr>
      <w:r w:rsidRPr="00AF2328">
        <w:t>Účtovnej jednotke bola poskytnutá dotácia od Slovenskej golfovej asociácie vo výške 20 000 EUR, ktorá bola v plnej výške použitá na prevádzkové náklady.</w:t>
      </w:r>
    </w:p>
    <w:p w:rsidR="00322BB2" w:rsidRPr="008530DC" w:rsidRDefault="00322BB2" w:rsidP="008530DC">
      <w:pPr>
        <w:ind w:left="360"/>
      </w:pPr>
    </w:p>
    <w:p w:rsidR="00322BB2" w:rsidRDefault="00322BB2" w:rsidP="00E26CB0"/>
    <w:p w:rsidR="00322BB2" w:rsidRPr="00D56B52" w:rsidRDefault="00322BB2" w:rsidP="00361F64">
      <w:pPr>
        <w:pStyle w:val="ListParagraph"/>
        <w:numPr>
          <w:ilvl w:val="0"/>
          <w:numId w:val="9"/>
        </w:numPr>
        <w:rPr>
          <w:szCs w:val="18"/>
        </w:rPr>
      </w:pPr>
      <w:r>
        <w:rPr>
          <w:b/>
        </w:rPr>
        <w:t>Informácia o oprave významných chýb minulých účtovných období</w:t>
      </w:r>
    </w:p>
    <w:p w:rsidR="00322BB2" w:rsidRDefault="00322BB2" w:rsidP="00D56B52">
      <w:pPr>
        <w:ind w:left="709"/>
        <w:rPr>
          <w:i/>
          <w:color w:val="BFBFBF"/>
        </w:rPr>
      </w:pPr>
      <w:r w:rsidRPr="00D56B52">
        <w:rPr>
          <w:i/>
          <w:color w:val="BFBFBF"/>
        </w:rPr>
        <w:t xml:space="preserve">s uvedením sumy vplyvu na nerozdelený zisk minulých rokov alebo na neuhradenú stratu minulých rokov. Účtovná jednotka môže uviesť aj informácie o oprave nevýznamných chýb minulých účtovných období účtovaných v bežnom účtovnom období s uvedením sumy vplyvu na výsledok hospodárenia bežného účtovného obdobia </w:t>
      </w:r>
    </w:p>
    <w:p w:rsidR="00322BB2" w:rsidRDefault="00322BB2" w:rsidP="002E1647">
      <w:pPr>
        <w:rPr>
          <w:i/>
          <w:color w:val="BFBFBF"/>
        </w:rPr>
      </w:pPr>
    </w:p>
    <w:p w:rsidR="00322BB2" w:rsidRDefault="00322BB2" w:rsidP="00A26F9A">
      <w:pPr>
        <w:ind w:firstLine="360"/>
      </w:pPr>
      <w:r w:rsidRPr="0063280C">
        <w:t>V účtovnom období 201</w:t>
      </w:r>
      <w:r>
        <w:t>5</w:t>
      </w:r>
      <w:r w:rsidRPr="0063280C">
        <w:t xml:space="preserve"> Spoločnosť nevykonala žiadne </w:t>
      </w:r>
      <w:r>
        <w:t xml:space="preserve">opravy významných </w:t>
      </w:r>
      <w:r w:rsidRPr="0063280C">
        <w:t xml:space="preserve">chýb minulých účtovných období. </w:t>
      </w:r>
    </w:p>
    <w:p w:rsidR="00322BB2" w:rsidRPr="00532C90" w:rsidRDefault="00322BB2" w:rsidP="00532C90">
      <w:pPr>
        <w:rPr>
          <w:szCs w:val="18"/>
        </w:rPr>
      </w:pPr>
    </w:p>
    <w:p w:rsidR="00322BB2" w:rsidRDefault="00322BB2" w:rsidP="00E26CB0"/>
    <w:p w:rsidR="00322BB2" w:rsidRDefault="00322BB2" w:rsidP="00E26CB0"/>
    <w:p w:rsidR="00322BB2" w:rsidRDefault="00322BB2" w:rsidP="00532C90">
      <w:pPr>
        <w:pStyle w:val="PoznmkyUcPOD"/>
      </w:pPr>
      <w:r>
        <w:t>Článok IV</w:t>
      </w:r>
    </w:p>
    <w:p w:rsidR="00322BB2" w:rsidRDefault="00322BB2" w:rsidP="00532C90">
      <w:pPr>
        <w:pStyle w:val="PoznmkyUcPOD"/>
      </w:pPr>
      <w:r>
        <w:t xml:space="preserve">Informácie, ktoré vysvetľujú a dopĺňajú </w:t>
      </w:r>
    </w:p>
    <w:p w:rsidR="00322BB2" w:rsidRDefault="00322BB2" w:rsidP="00532C90">
      <w:pPr>
        <w:pStyle w:val="PoznmkyUcPOD"/>
      </w:pPr>
      <w:r>
        <w:t>súvahu a výkaz ziskov a strát</w:t>
      </w:r>
    </w:p>
    <w:p w:rsidR="00322BB2" w:rsidRDefault="00322BB2" w:rsidP="00532C90"/>
    <w:p w:rsidR="00322BB2" w:rsidRDefault="00322BB2" w:rsidP="00361F64">
      <w:pPr>
        <w:pStyle w:val="ListParagraph"/>
        <w:numPr>
          <w:ilvl w:val="0"/>
          <w:numId w:val="13"/>
        </w:numPr>
        <w:rPr>
          <w:b/>
        </w:rPr>
      </w:pPr>
      <w:r w:rsidRPr="00B4042E">
        <w:rPr>
          <w:b/>
        </w:rPr>
        <w:t>Goodwill a záporný goodwill</w:t>
      </w:r>
    </w:p>
    <w:p w:rsidR="00322BB2" w:rsidRPr="00B4042E" w:rsidRDefault="00322BB2" w:rsidP="00B4042E">
      <w:pPr>
        <w:ind w:firstLine="708"/>
        <w:rPr>
          <w:i/>
          <w:color w:val="BFBFBF"/>
        </w:rPr>
      </w:pPr>
      <w:r w:rsidRPr="00B4042E">
        <w:rPr>
          <w:i/>
          <w:color w:val="BFBFBF"/>
        </w:rPr>
        <w:t xml:space="preserve">sa uvádza dôvod jeho vzniku, spôsob výpočtu a prehodnotenie opodstatnenosti jeho výšky a odpisu jeho hodnoty </w:t>
      </w:r>
    </w:p>
    <w:p w:rsidR="00322BB2" w:rsidRDefault="00322BB2" w:rsidP="00B4042E">
      <w:r>
        <w:tab/>
      </w:r>
    </w:p>
    <w:p w:rsidR="00322BB2" w:rsidRDefault="00322BB2" w:rsidP="00B4042E">
      <w:pPr>
        <w:ind w:firstLine="360"/>
      </w:pPr>
      <w:r>
        <w:t>Spoločnosť neúčtuje o goodwille.</w:t>
      </w:r>
    </w:p>
    <w:p w:rsidR="00322BB2" w:rsidRDefault="00322BB2" w:rsidP="00B4042E"/>
    <w:p w:rsidR="00322BB2" w:rsidRDefault="00322BB2" w:rsidP="00361F64">
      <w:pPr>
        <w:pStyle w:val="ListParagraph"/>
        <w:numPr>
          <w:ilvl w:val="0"/>
          <w:numId w:val="13"/>
        </w:numPr>
        <w:rPr>
          <w:b/>
        </w:rPr>
      </w:pPr>
      <w:r w:rsidRPr="00B4042E">
        <w:rPr>
          <w:b/>
        </w:rPr>
        <w:t>Informácie o významných položkách derivátov, majetku a záväzkoch zabezpečených derivátmi</w:t>
      </w:r>
    </w:p>
    <w:p w:rsidR="00322BB2" w:rsidRDefault="00322BB2" w:rsidP="00B4042E">
      <w:pPr>
        <w:ind w:left="709"/>
        <w:rPr>
          <w:i/>
          <w:color w:val="BFBFBF"/>
        </w:rPr>
      </w:pPr>
      <w:r w:rsidRPr="00B4042E">
        <w:rPr>
          <w:i/>
          <w:color w:val="BFBFBF"/>
        </w:rPr>
        <w:t xml:space="preserve">pričom sa uvádza forma zabezpečenia a zmena reálnej hodnoty v priebehu účtovného obdobia. Pre každý druh derivátov sa uvádza informácia o rozsahu a povahe týchto derivátov vrátane významných podmienok, ktoré môžu ovplyvniť sumu, načasovanie a mieru istoty budúcich peňažných tokov a v tabuľkovej forme informácia zobrazujúca pohyby v oceňovacích rozdieloch z ocenenia reálnou hodnotou počas účtovného obdobia. </w:t>
      </w:r>
    </w:p>
    <w:p w:rsidR="00322BB2" w:rsidRDefault="00322BB2" w:rsidP="00B4042E">
      <w:pPr>
        <w:ind w:firstLine="360"/>
      </w:pPr>
    </w:p>
    <w:p w:rsidR="00322BB2" w:rsidRDefault="00322BB2" w:rsidP="00B4042E">
      <w:pPr>
        <w:ind w:firstLine="360"/>
      </w:pPr>
      <w:r>
        <w:t>Spoločnosť neúčtuje o derivátoch, majetku a záväzkoch zabezpečených derivátmi.</w:t>
      </w:r>
    </w:p>
    <w:p w:rsidR="00322BB2" w:rsidRDefault="00322BB2" w:rsidP="0083770B"/>
    <w:p w:rsidR="00322BB2" w:rsidRPr="0083770B" w:rsidRDefault="00322BB2" w:rsidP="00361F64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b/>
          <w:szCs w:val="18"/>
        </w:rPr>
        <w:t>Informácie o záväzkoch</w:t>
      </w:r>
    </w:p>
    <w:p w:rsidR="00322BB2" w:rsidRPr="00D13BF7" w:rsidRDefault="00322BB2" w:rsidP="00D13BF7">
      <w:pPr>
        <w:pStyle w:val="Default"/>
        <w:ind w:left="720"/>
        <w:rPr>
          <w:rFonts w:ascii="Times New Roman" w:hAnsi="Times New Roman" w:cs="Times New Roman"/>
          <w:i/>
          <w:color w:val="BFBFBF"/>
          <w:sz w:val="18"/>
          <w:szCs w:val="18"/>
        </w:rPr>
      </w:pPr>
      <w:r w:rsidRPr="00D13BF7">
        <w:rPr>
          <w:rFonts w:ascii="Times New Roman" w:hAnsi="Times New Roman" w:cs="Times New Roman"/>
          <w:i/>
          <w:color w:val="BFBFBF"/>
          <w:sz w:val="18"/>
          <w:szCs w:val="18"/>
        </w:rPr>
        <w:t xml:space="preserve">a) celkovej sume záväzkov so zostatkovou dobou splatnosti dlhšou ako päť rokov, </w:t>
      </w:r>
    </w:p>
    <w:p w:rsidR="00322BB2" w:rsidRPr="00D13BF7" w:rsidRDefault="00322BB2" w:rsidP="00D13BF7">
      <w:pPr>
        <w:pStyle w:val="Default"/>
        <w:ind w:left="720"/>
        <w:rPr>
          <w:rFonts w:ascii="Times New Roman" w:hAnsi="Times New Roman" w:cs="Times New Roman"/>
          <w:i/>
          <w:color w:val="BFBFBF"/>
          <w:sz w:val="18"/>
          <w:szCs w:val="18"/>
        </w:rPr>
      </w:pPr>
      <w:r w:rsidRPr="00D13BF7">
        <w:rPr>
          <w:rFonts w:ascii="Times New Roman" w:hAnsi="Times New Roman" w:cs="Times New Roman"/>
          <w:i/>
          <w:color w:val="BFBFBF"/>
          <w:sz w:val="18"/>
          <w:szCs w:val="18"/>
        </w:rPr>
        <w:t xml:space="preserve">b) celkovej sume zabezpečených záväzkov, opise a spôsoboch zabezpečenia záväzkov. </w:t>
      </w:r>
    </w:p>
    <w:p w:rsidR="00322BB2" w:rsidRDefault="00322BB2" w:rsidP="00D13BF7">
      <w:pPr>
        <w:pStyle w:val="BodyText"/>
        <w:ind w:left="0"/>
      </w:pPr>
    </w:p>
    <w:p w:rsidR="00322BB2" w:rsidRDefault="00322BB2" w:rsidP="00D13BF7">
      <w:pPr>
        <w:pStyle w:val="BodyText"/>
        <w:ind w:left="0"/>
      </w:pPr>
      <w:r>
        <w:t>Štruktúra záväzkov (okrem bankových úverov) je uvedená v nasledujúcom prehľade:</w:t>
      </w:r>
    </w:p>
    <w:p w:rsidR="00322BB2" w:rsidRDefault="00322BB2" w:rsidP="00D13BF7">
      <w:pPr>
        <w:pStyle w:val="BodyText"/>
      </w:pPr>
    </w:p>
    <w:p w:rsidR="00322BB2" w:rsidRPr="00D13BF7" w:rsidRDefault="00322BB2" w:rsidP="00D13BF7">
      <w:r>
        <w:object w:dxaOrig="7223" w:dyaOrig="940">
          <v:shape id="_x0000_i1027" type="#_x0000_t75" style="width:354pt;height:51pt" o:ole="">
            <v:imagedata r:id="rId11" o:title=""/>
            <o:lock v:ext="edit" aspectratio="f"/>
          </v:shape>
          <o:OLEObject Type="Embed" ProgID="Excel.Sheet.12" ShapeID="_x0000_i1027" DrawAspect="Content" ObjectID="_1560371359" r:id="rId12"/>
        </w:object>
      </w:r>
    </w:p>
    <w:p w:rsidR="00322BB2" w:rsidRDefault="00322BB2" w:rsidP="00586CC4">
      <w:pPr>
        <w:pStyle w:val="BodyText"/>
        <w:ind w:left="0"/>
      </w:pPr>
    </w:p>
    <w:p w:rsidR="00322BB2" w:rsidRDefault="00322BB2" w:rsidP="00AF2328">
      <w:pPr>
        <w:pStyle w:val="BodyText"/>
        <w:ind w:left="0"/>
      </w:pPr>
      <w:r w:rsidRPr="00F86BD9">
        <w:t>Spoločnosť má záväzky z finančného prenájmu súboru predmetov na údržbu trávnikov, traktora a golfových vozíkov, ktoré sú kryté záložným právom k predmetom prenájmu do výšky 235.720 EUR.</w:t>
      </w:r>
    </w:p>
    <w:p w:rsidR="00322BB2" w:rsidRDefault="00322BB2" w:rsidP="00AF2328">
      <w:pPr>
        <w:pStyle w:val="BodyText"/>
        <w:ind w:left="0"/>
      </w:pPr>
    </w:p>
    <w:p w:rsidR="00322BB2" w:rsidRDefault="00322BB2" w:rsidP="00AF2328">
      <w:pPr>
        <w:pStyle w:val="BodyText"/>
        <w:ind w:left="0"/>
      </w:pPr>
      <w:r>
        <w:t>Spoločnosť uzatvorila úverovú zmluvu so spoločnosťou Tatra banka, a.s. vo výške 2.900.000 EUR. Úroková sadzba je EURIBOR 3M + 3,25% p.a., splatnosť úveru je 31.12.2024. Úver je zabezpečený záložným právom na všetok nehmotný majetok, záložným právom na všetok hmotný majetok (s výnimkou troch parciel a majetku, ktorý je predmetom lízingu), záložným právom k pohľadávkam, ručením v podobe štyroch ručiteľov a zmenkou Spoločnosti avalovanou všetkými ručiteľmi.</w:t>
      </w:r>
    </w:p>
    <w:p w:rsidR="00322BB2" w:rsidRDefault="00322BB2" w:rsidP="00586CC4">
      <w:pPr>
        <w:pStyle w:val="BodyText"/>
        <w:ind w:left="0"/>
      </w:pPr>
    </w:p>
    <w:p w:rsidR="00322BB2" w:rsidRPr="00330754" w:rsidRDefault="00322BB2" w:rsidP="00586CC4">
      <w:pPr>
        <w:pStyle w:val="BodyText"/>
        <w:ind w:left="0"/>
      </w:pPr>
    </w:p>
    <w:p w:rsidR="00322BB2" w:rsidRDefault="00322BB2" w:rsidP="00361F64">
      <w:pPr>
        <w:pStyle w:val="ListParagraph"/>
        <w:numPr>
          <w:ilvl w:val="0"/>
          <w:numId w:val="13"/>
        </w:numPr>
        <w:rPr>
          <w:b/>
        </w:rPr>
      </w:pPr>
      <w:r w:rsidRPr="00586CC4">
        <w:rPr>
          <w:b/>
        </w:rPr>
        <w:t>Informácie o vlastných akciách</w:t>
      </w:r>
    </w:p>
    <w:p w:rsidR="00322BB2" w:rsidRPr="00EE2336" w:rsidRDefault="00322BB2" w:rsidP="00EE2336">
      <w:pPr>
        <w:ind w:left="709"/>
        <w:rPr>
          <w:i/>
          <w:color w:val="BFBFBF"/>
        </w:rPr>
      </w:pPr>
      <w:r w:rsidRPr="00EE2336">
        <w:rPr>
          <w:i/>
          <w:color w:val="BFBFBF"/>
        </w:rPr>
        <w:t xml:space="preserve">a) dôvode nadobudnutia vlastných akcií počas účtovného obdobia, </w:t>
      </w:r>
    </w:p>
    <w:p w:rsidR="00322BB2" w:rsidRPr="00EE2336" w:rsidRDefault="00322BB2" w:rsidP="00EE2336">
      <w:pPr>
        <w:ind w:left="709"/>
        <w:rPr>
          <w:i/>
          <w:color w:val="BFBFBF"/>
        </w:rPr>
      </w:pPr>
      <w:r w:rsidRPr="00EE2336">
        <w:rPr>
          <w:i/>
          <w:color w:val="BFBFBF"/>
        </w:rPr>
        <w:t xml:space="preserve">b) informáciách, ktorými sú </w:t>
      </w:r>
    </w:p>
    <w:p w:rsidR="00322BB2" w:rsidRPr="00EE2336" w:rsidRDefault="00322BB2" w:rsidP="00EE2336">
      <w:pPr>
        <w:ind w:left="709"/>
        <w:rPr>
          <w:i/>
          <w:color w:val="BFBFBF"/>
        </w:rPr>
      </w:pPr>
      <w:r w:rsidRPr="00EE2336">
        <w:rPr>
          <w:i/>
          <w:color w:val="BFBFBF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322BB2" w:rsidRPr="00EE2336" w:rsidRDefault="00322BB2" w:rsidP="00EE2336">
      <w:pPr>
        <w:ind w:left="709"/>
        <w:rPr>
          <w:i/>
          <w:color w:val="BFBFBF"/>
        </w:rPr>
      </w:pPr>
      <w:r w:rsidRPr="00EE2336">
        <w:rPr>
          <w:i/>
          <w:color w:val="BFBFBF"/>
        </w:rPr>
        <w:t xml:space="preserve">2. počet a protihodnota, za ktorú sa vlastné akcie počas účtovného obdobia nadobudli a počet a hodnota, za ktorú sa vlastné akcie počas účtovného obdobia previedli na inú osobu, </w:t>
      </w:r>
    </w:p>
    <w:p w:rsidR="00322BB2" w:rsidRDefault="00322BB2" w:rsidP="00EE2336">
      <w:pPr>
        <w:ind w:left="709"/>
        <w:rPr>
          <w:i/>
          <w:color w:val="BFBFBF"/>
        </w:rPr>
      </w:pPr>
      <w:r w:rsidRPr="00EE2336">
        <w:rPr>
          <w:i/>
          <w:color w:val="BFBFBF"/>
        </w:rPr>
        <w:t xml:space="preserve">c) počte, menovitej hodnote a protihodnote, za ktorú sa vlastné akcie nadobudli a ktoré účtovná jednotka má v držbe k poslednému dňu účtovného obdobia; uvádza sa aj ich percentuálny podiel na upísanom základnom imaní. </w:t>
      </w:r>
    </w:p>
    <w:p w:rsidR="00322BB2" w:rsidRDefault="00322BB2" w:rsidP="00EE2336"/>
    <w:p w:rsidR="00322BB2" w:rsidRDefault="00322BB2" w:rsidP="00EE2336">
      <w:pPr>
        <w:ind w:firstLine="360"/>
      </w:pPr>
      <w:r>
        <w:t>Spoločnosť neúčtuje o vlastných akciách.</w:t>
      </w:r>
    </w:p>
    <w:p w:rsidR="00322BB2" w:rsidRDefault="00322BB2" w:rsidP="00EE2336"/>
    <w:p w:rsidR="00322BB2" w:rsidRDefault="00322BB2" w:rsidP="00361F64">
      <w:pPr>
        <w:pStyle w:val="ListParagraph"/>
        <w:numPr>
          <w:ilvl w:val="0"/>
          <w:numId w:val="13"/>
        </w:numPr>
      </w:pPr>
      <w:r w:rsidRPr="00EE2336">
        <w:rPr>
          <w:b/>
        </w:rPr>
        <w:t>Informácia o sume a dôvodoch vzniku jednotlivých položiek nákladov alebo výnosov, ktoré majú výnimočný rozsah alebo výskyt</w:t>
      </w:r>
    </w:p>
    <w:p w:rsidR="00322BB2" w:rsidRDefault="00322BB2" w:rsidP="00EE2336">
      <w:pPr>
        <w:pStyle w:val="ListParagraph"/>
        <w:ind w:left="720"/>
        <w:rPr>
          <w:i/>
          <w:color w:val="A6A6A6"/>
        </w:rPr>
      </w:pPr>
      <w:r w:rsidRPr="00EE2336">
        <w:rPr>
          <w:i/>
          <w:color w:val="A6A6A6"/>
        </w:rPr>
        <w:t>napríklad výnosy z predaja podniku alebo časti podniku, náklady z dôvodu predaja podniku alebo časti podniku, š</w:t>
      </w:r>
      <w:r>
        <w:rPr>
          <w:i/>
          <w:color w:val="A6A6A6"/>
        </w:rPr>
        <w:t>kody z dôvodu živelných pohrôm</w:t>
      </w:r>
    </w:p>
    <w:p w:rsidR="00322BB2" w:rsidRDefault="00322BB2" w:rsidP="00EE2336">
      <w:pPr>
        <w:pStyle w:val="ListParagraph"/>
        <w:ind w:left="0"/>
        <w:rPr>
          <w:i/>
          <w:color w:val="A6A6A6"/>
        </w:rPr>
      </w:pPr>
    </w:p>
    <w:p w:rsidR="00322BB2" w:rsidRPr="00EE2336" w:rsidRDefault="00322BB2" w:rsidP="00983902">
      <w:pPr>
        <w:pStyle w:val="ListParagraph"/>
        <w:ind w:left="426"/>
        <w:rPr>
          <w:i/>
          <w:color w:val="A6A6A6"/>
        </w:rPr>
      </w:pPr>
      <w:r w:rsidRPr="0063280C">
        <w:t>V</w:t>
      </w:r>
      <w:r>
        <w:t> účtovnom období 2015 Spoločnosti nevznikli náklady alebo výnosy, ktoré majú výnimočný rozsah alebo výskyt.</w:t>
      </w:r>
    </w:p>
    <w:p w:rsidR="00322BB2" w:rsidRDefault="00322BB2" w:rsidP="00EE2336">
      <w:pPr>
        <w:pStyle w:val="ListParagraph"/>
        <w:ind w:left="720"/>
      </w:pPr>
    </w:p>
    <w:p w:rsidR="00322BB2" w:rsidRDefault="00322BB2" w:rsidP="00EE2336">
      <w:pPr>
        <w:pStyle w:val="ListParagraph"/>
        <w:ind w:left="720"/>
      </w:pPr>
    </w:p>
    <w:p w:rsidR="00322BB2" w:rsidRPr="00EE2336" w:rsidRDefault="00322BB2" w:rsidP="00EE2336">
      <w:pPr>
        <w:pStyle w:val="ListParagraph"/>
        <w:ind w:left="720"/>
      </w:pPr>
    </w:p>
    <w:p w:rsidR="00322BB2" w:rsidRDefault="00322BB2" w:rsidP="00BA195F">
      <w:pPr>
        <w:pStyle w:val="PoznmkyUcPOD"/>
      </w:pPr>
      <w:r>
        <w:t xml:space="preserve">Článok V </w:t>
      </w:r>
    </w:p>
    <w:p w:rsidR="00322BB2" w:rsidRDefault="00322BB2" w:rsidP="00BA195F">
      <w:pPr>
        <w:pStyle w:val="PoznmkyUcPOD"/>
      </w:pPr>
      <w:r>
        <w:t xml:space="preserve">Informácie o iných aktívach a iných pasívach </w:t>
      </w:r>
    </w:p>
    <w:p w:rsidR="00322BB2" w:rsidRDefault="00322BB2" w:rsidP="00BA195F">
      <w:pPr>
        <w:pStyle w:val="PoznmkyUcPOD"/>
      </w:pPr>
    </w:p>
    <w:p w:rsidR="00322BB2" w:rsidRPr="00DB2B7B" w:rsidRDefault="00322BB2" w:rsidP="00361F64">
      <w:pPr>
        <w:pStyle w:val="ListParagraph"/>
        <w:numPr>
          <w:ilvl w:val="0"/>
          <w:numId w:val="16"/>
        </w:numPr>
        <w:rPr>
          <w:b/>
          <w:color w:val="BFBFBF"/>
        </w:rPr>
      </w:pPr>
      <w:r w:rsidRPr="00DB2B7B">
        <w:rPr>
          <w:b/>
          <w:color w:val="BFBFBF"/>
        </w:rPr>
        <w:t xml:space="preserve">K iným aktívam a iným pasívam sa uvádzajú tieto informácie: </w:t>
      </w:r>
    </w:p>
    <w:p w:rsidR="00322BB2" w:rsidRPr="00DB2B7B" w:rsidRDefault="00322BB2" w:rsidP="00EE2336">
      <w:pPr>
        <w:rPr>
          <w:color w:val="BFBFBF"/>
        </w:rPr>
      </w:pPr>
    </w:p>
    <w:p w:rsidR="00322BB2" w:rsidRPr="00DB2B7B" w:rsidRDefault="00322BB2" w:rsidP="00361F64">
      <w:pPr>
        <w:pStyle w:val="ListParagraph"/>
        <w:numPr>
          <w:ilvl w:val="0"/>
          <w:numId w:val="14"/>
        </w:numPr>
        <w:rPr>
          <w:color w:val="BFBFBF"/>
        </w:rPr>
      </w:pPr>
      <w:r w:rsidRPr="00DB2B7B">
        <w:rPr>
          <w:color w:val="BFBFBF"/>
        </w:rPr>
        <w:t xml:space="preserve">opis a hodnota </w:t>
      </w:r>
      <w:r w:rsidRPr="00DB2B7B">
        <w:rPr>
          <w:b/>
          <w:i/>
          <w:color w:val="BFBFBF"/>
        </w:rPr>
        <w:t>podmieneného majetku</w:t>
      </w:r>
      <w:r w:rsidRPr="00DB2B7B">
        <w:rPr>
          <w:color w:val="BFBFBF"/>
        </w:rPr>
        <w:t xml:space="preserve">, ktorým sa rozumie možný majetok, ktorý vznikol v dôsledku minulých udalostí a ktorého existencia alebo vlastníctvo závisí od toho, či nastane alebo nenastane jedna alebo viac neistých udalostí v budúcnosti, ktorých vznik nezávisí od účtovnej jednotky; takýmto majetkom sú napríklad práva zo servisných zmlúv, poistných zmlúv, koncesionárskych zmlúv, licenčných zmlúv, </w:t>
      </w:r>
    </w:p>
    <w:p w:rsidR="00322BB2" w:rsidRPr="00DB2B7B" w:rsidRDefault="00322BB2" w:rsidP="00361F64">
      <w:pPr>
        <w:pStyle w:val="ListParagraph"/>
        <w:numPr>
          <w:ilvl w:val="0"/>
          <w:numId w:val="14"/>
        </w:numPr>
        <w:rPr>
          <w:color w:val="BFBFBF"/>
        </w:rPr>
      </w:pPr>
      <w:r w:rsidRPr="00DB2B7B">
        <w:rPr>
          <w:color w:val="BFBFBF"/>
        </w:rPr>
        <w:t xml:space="preserve">opis a hodnota </w:t>
      </w:r>
      <w:r w:rsidRPr="00DB2B7B">
        <w:rPr>
          <w:b/>
          <w:i/>
          <w:color w:val="BFBFBF"/>
        </w:rPr>
        <w:t>podmienených záväzkov</w:t>
      </w:r>
      <w:r w:rsidRPr="00DB2B7B">
        <w:rPr>
          <w:color w:val="BFBFBF"/>
        </w:rPr>
        <w:t xml:space="preserve"> vyplývajúcich napríklad zo súdnych rozhodnutí, z poskytnutých záruk, zo všeobecne záväzných právnych predpisov, z ručenia podľa jednotlivých druhov ručenia; takýmito podmienenými záväzkami sú </w:t>
      </w:r>
    </w:p>
    <w:p w:rsidR="00322BB2" w:rsidRPr="00DB2B7B" w:rsidRDefault="00322BB2" w:rsidP="00361F64">
      <w:pPr>
        <w:pStyle w:val="ListParagraph"/>
        <w:numPr>
          <w:ilvl w:val="1"/>
          <w:numId w:val="15"/>
        </w:numPr>
        <w:rPr>
          <w:color w:val="BFBFBF"/>
        </w:rPr>
      </w:pPr>
      <w:r w:rsidRPr="00DB2B7B">
        <w:rPr>
          <w:color w:val="BFBFBF"/>
        </w:rPr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322BB2" w:rsidRPr="00DB2B7B" w:rsidRDefault="00322BB2" w:rsidP="00361F64">
      <w:pPr>
        <w:pStyle w:val="ListParagraph"/>
        <w:numPr>
          <w:ilvl w:val="1"/>
          <w:numId w:val="15"/>
        </w:numPr>
        <w:rPr>
          <w:color w:val="BFBFBF"/>
        </w:rPr>
      </w:pPr>
      <w:r w:rsidRPr="00DB2B7B">
        <w:rPr>
          <w:color w:val="BFBFBF"/>
        </w:rPr>
        <w:t xml:space="preserve">povinnosť, ktorá vznikla ako dôsledok minulej udalosti, ale ktorá sa nevykazuje v súvahe, pretože nie je pravdepodobné, že na splnenie tejto povinnosti bude potrebný úbytok ekonomických úžitkov, alebo výška tejto povinnosti sa nedá spoľahlivo oceniť. </w:t>
      </w:r>
    </w:p>
    <w:p w:rsidR="00322BB2" w:rsidRPr="00DB2B7B" w:rsidRDefault="00322BB2" w:rsidP="00EE2336">
      <w:pPr>
        <w:rPr>
          <w:color w:val="BFBFBF"/>
        </w:rPr>
      </w:pPr>
    </w:p>
    <w:p w:rsidR="00322BB2" w:rsidRPr="00DB2B7B" w:rsidRDefault="00322BB2" w:rsidP="00361F64">
      <w:pPr>
        <w:pStyle w:val="ListParagraph"/>
        <w:numPr>
          <w:ilvl w:val="0"/>
          <w:numId w:val="16"/>
        </w:numPr>
        <w:rPr>
          <w:color w:val="BFBFBF"/>
        </w:rPr>
      </w:pPr>
      <w:r w:rsidRPr="00DB2B7B">
        <w:rPr>
          <w:color w:val="BFBFBF"/>
        </w:rPr>
        <w:t xml:space="preserve">V poznámkach sa uvádzajú významné položky </w:t>
      </w:r>
      <w:r w:rsidRPr="00DB2B7B">
        <w:rPr>
          <w:b/>
          <w:color w:val="BFBFBF"/>
        </w:rPr>
        <w:t>ostatných finančných povinností, ktoré sa nevykazujú v účtovných výkazoch</w:t>
      </w:r>
      <w:r w:rsidRPr="00DB2B7B">
        <w:rPr>
          <w:color w:val="BFBFBF"/>
        </w:rPr>
        <w:t xml:space="preserve">, napríklad zákonná povinnosť alebo zmluvná povinnosť odobrať určité množstvo produktu, uskutočniť investície a veľké opravy. </w:t>
      </w:r>
    </w:p>
    <w:p w:rsidR="00322BB2" w:rsidRPr="00DB2B7B" w:rsidRDefault="00322BB2" w:rsidP="00EE2336">
      <w:pPr>
        <w:rPr>
          <w:color w:val="BFBFBF"/>
        </w:rPr>
      </w:pPr>
    </w:p>
    <w:p w:rsidR="00322BB2" w:rsidRPr="00DB2B7B" w:rsidRDefault="00322BB2" w:rsidP="00361F64">
      <w:pPr>
        <w:pStyle w:val="ListParagraph"/>
        <w:numPr>
          <w:ilvl w:val="0"/>
          <w:numId w:val="16"/>
        </w:numPr>
        <w:rPr>
          <w:color w:val="BFBFBF"/>
        </w:rPr>
      </w:pPr>
      <w:r w:rsidRPr="00DB2B7B">
        <w:rPr>
          <w:color w:val="BFBFBF"/>
        </w:rPr>
        <w:t xml:space="preserve">Ku skutočnostiam sledovaným na </w:t>
      </w:r>
      <w:r w:rsidRPr="00DB2B7B">
        <w:rPr>
          <w:b/>
          <w:color w:val="BFBFBF"/>
        </w:rPr>
        <w:t>podsúvahových účtoch</w:t>
      </w:r>
      <w:r w:rsidRPr="00DB2B7B">
        <w:rPr>
          <w:color w:val="BFBFBF"/>
        </w:rPr>
        <w:t xml:space="preserve"> sa v poznámkach uvádzajú informácie o významných položkách prenajatého majetku, majetku prijatého do úschovy, o pohľadávkach a záväzkoch z opcií, odpísaných pohľadávkach a podobne. </w:t>
      </w:r>
    </w:p>
    <w:p w:rsidR="00322BB2" w:rsidRDefault="00322BB2" w:rsidP="00DB2B7B">
      <w:pPr>
        <w:pStyle w:val="ListParagraph"/>
        <w:jc w:val="both"/>
      </w:pPr>
    </w:p>
    <w:p w:rsidR="00322BB2" w:rsidRDefault="00322BB2" w:rsidP="00DB2B7B">
      <w:pPr>
        <w:jc w:val="both"/>
      </w:pPr>
      <w:r>
        <w:t>Spoločnosť neeviduje žiaden podmienený majetok, záväzky, ostatné finančné povinnosti, ktoré sa nevykazujú v účtovných výkazoch a taktiež neeviduje žiadne skutočnosti na podsúvahových účtoch.</w:t>
      </w:r>
    </w:p>
    <w:p w:rsidR="00322BB2" w:rsidRDefault="00322BB2" w:rsidP="00EE2336"/>
    <w:p w:rsidR="00322BB2" w:rsidRDefault="00322BB2" w:rsidP="00EE2336"/>
    <w:p w:rsidR="00322BB2" w:rsidRDefault="00322BB2" w:rsidP="00EE2336">
      <w:pPr>
        <w:rPr>
          <w:b/>
          <w:bCs/>
        </w:rPr>
      </w:pPr>
    </w:p>
    <w:p w:rsidR="00322BB2" w:rsidRDefault="00322BB2" w:rsidP="00A542A8">
      <w:pPr>
        <w:pStyle w:val="PoznmkyUcPOD"/>
      </w:pPr>
      <w:r>
        <w:t xml:space="preserve">Článok VI </w:t>
      </w:r>
    </w:p>
    <w:p w:rsidR="00322BB2" w:rsidRDefault="00322BB2" w:rsidP="00A542A8">
      <w:pPr>
        <w:pStyle w:val="PoznmkyUcPOD"/>
      </w:pPr>
      <w:r>
        <w:t>Udalosti, ktoré nastali po dni, ku ktorému sa zostavuje účtovná závierka</w:t>
      </w:r>
    </w:p>
    <w:p w:rsidR="00322BB2" w:rsidRDefault="00322BB2" w:rsidP="00A542A8">
      <w:r>
        <w:t xml:space="preserve"> </w:t>
      </w:r>
    </w:p>
    <w:p w:rsidR="00322BB2" w:rsidRPr="00B93AAD" w:rsidRDefault="00322BB2" w:rsidP="00EE2336">
      <w:pPr>
        <w:rPr>
          <w:i/>
          <w:color w:val="BFBFBF"/>
        </w:rPr>
      </w:pPr>
      <w:r w:rsidRPr="00B93AAD">
        <w:rPr>
          <w:i/>
          <w:color w:val="BFBFBF"/>
        </w:rPr>
        <w:t xml:space="preserve">Uvádzajú sa informácie o charaktere a finančnom vplyve významných udalostí, ktoré nastali po dni, ku ktorému sa zostavuje účtovná závierka do dňa zostavenia účtovnej závierky a ktoré nie sú zohľadnené v súvahe alebo vo výkaze ziskov a strát, napríklad informácie o </w:t>
      </w:r>
    </w:p>
    <w:p w:rsidR="00322BB2" w:rsidRPr="00B93AAD" w:rsidRDefault="00322BB2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poklese alebo zvýšení trhovej ceny finančného majetku ako dôsledku udalostí, ktoré nastali po dni, ku ktorému sa zostavuje účtovná závierka do dňa zostavenia účtovnej závierky, s uvedením dôvodu týchto zmien, </w:t>
      </w:r>
    </w:p>
    <w:p w:rsidR="00322BB2" w:rsidRPr="00B93AAD" w:rsidRDefault="00322BB2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dôvodoch pre zmenu výšky rezerv a opravných položiek, ktoré nastali v dôsledku udalostí po dni, ku ktorému sa zostavuje účtovná závierka do dňa zostavenia účtovnej závierky, </w:t>
      </w:r>
    </w:p>
    <w:p w:rsidR="00322BB2" w:rsidRPr="00B93AAD" w:rsidRDefault="00322BB2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zmene spoločníkov účtovnej jednotky, </w:t>
      </w:r>
    </w:p>
    <w:p w:rsidR="00322BB2" w:rsidRPr="00B93AAD" w:rsidRDefault="00322BB2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prijatí rozhodnutia o predaji účtovnej jednotky alebo jej časti, </w:t>
      </w:r>
    </w:p>
    <w:p w:rsidR="00322BB2" w:rsidRPr="00B93AAD" w:rsidRDefault="00322BB2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zmenách významných položiek dlhodobého finančného majetku, </w:t>
      </w:r>
    </w:p>
    <w:p w:rsidR="00322BB2" w:rsidRPr="00B93AAD" w:rsidRDefault="00322BB2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začatí alebo ukončení činnosti časti účtovnej jednotky, napríklad odštepného závodu, organizačnej zložky, prevádzkarne, </w:t>
      </w:r>
    </w:p>
    <w:p w:rsidR="00322BB2" w:rsidRPr="00B93AAD" w:rsidRDefault="00322BB2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vydaných dlhopisoch a iných cenných papieroch, </w:t>
      </w:r>
    </w:p>
    <w:p w:rsidR="00322BB2" w:rsidRPr="00B93AAD" w:rsidRDefault="00322BB2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zlúčení, splynutí, rozdelení a zmene právnej formy účtovnej jednotky, </w:t>
      </w:r>
    </w:p>
    <w:p w:rsidR="00322BB2" w:rsidRPr="00B93AAD" w:rsidRDefault="00322BB2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mimoriadnych udalostiach, ak majú vplyv na hospodárenie účtovnej jednotky, napríklad o živelnej pohrome, </w:t>
      </w:r>
    </w:p>
    <w:p w:rsidR="00322BB2" w:rsidRDefault="00322BB2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získaní alebo odobratí licencií alebo iných povolení významných pre činnosť účtovnej jednotky a podobne. </w:t>
      </w:r>
    </w:p>
    <w:p w:rsidR="00322BB2" w:rsidRDefault="00322BB2" w:rsidP="00B93AAD">
      <w:pPr>
        <w:rPr>
          <w:i/>
          <w:color w:val="BFBFBF"/>
        </w:rPr>
      </w:pPr>
    </w:p>
    <w:p w:rsidR="00322BB2" w:rsidRPr="00B93AAD" w:rsidRDefault="00322BB2" w:rsidP="00CD6833">
      <w:pPr>
        <w:jc w:val="both"/>
      </w:pPr>
      <w:r>
        <w:t>Po 31. decembri 2015 nenastali žiadne významné udalosti, ktoré nie sú zohľadnené v súvahe alebo vo výkaze ziskov a strát.</w:t>
      </w:r>
    </w:p>
    <w:p w:rsidR="00322BB2" w:rsidRDefault="00322BB2" w:rsidP="00EE2336"/>
    <w:p w:rsidR="00322BB2" w:rsidRDefault="00322BB2" w:rsidP="00EE2336"/>
    <w:p w:rsidR="00322BB2" w:rsidRDefault="00322BB2" w:rsidP="00EE2336"/>
    <w:p w:rsidR="00322BB2" w:rsidRDefault="00322BB2" w:rsidP="00A542A8">
      <w:pPr>
        <w:pStyle w:val="PoznmkyUcPOD"/>
      </w:pPr>
      <w:r>
        <w:t xml:space="preserve">Článok VII </w:t>
      </w:r>
    </w:p>
    <w:p w:rsidR="00322BB2" w:rsidRDefault="00322BB2" w:rsidP="00A542A8">
      <w:pPr>
        <w:pStyle w:val="PoznmkyUcPOD"/>
      </w:pPr>
      <w:r>
        <w:t xml:space="preserve">Ostatné informácie </w:t>
      </w:r>
    </w:p>
    <w:p w:rsidR="00322BB2" w:rsidRDefault="00322BB2" w:rsidP="00EE2336"/>
    <w:p w:rsidR="00322BB2" w:rsidRPr="005F3E00" w:rsidRDefault="00322BB2" w:rsidP="00361F64">
      <w:pPr>
        <w:pStyle w:val="ListParagraph"/>
        <w:numPr>
          <w:ilvl w:val="0"/>
          <w:numId w:val="18"/>
        </w:numPr>
        <w:rPr>
          <w:i/>
          <w:color w:val="BFBFBF"/>
        </w:rPr>
      </w:pPr>
      <w:r w:rsidRPr="005F3E00">
        <w:rPr>
          <w:i/>
          <w:color w:val="BFBFBF"/>
        </w:rPr>
        <w:t xml:space="preserve">V poznámkach sa uvádza informácia o udelení </w:t>
      </w:r>
      <w:r w:rsidRPr="005F3E00">
        <w:rPr>
          <w:b/>
          <w:i/>
          <w:color w:val="BFBFBF"/>
        </w:rPr>
        <w:t>výlučného práva alebo osobitného práva</w:t>
      </w:r>
      <w:r w:rsidRPr="005F3E00">
        <w:rPr>
          <w:i/>
          <w:color w:val="BFBFBF"/>
        </w:rPr>
        <w:t xml:space="preserve">, ktorým sa udelilo právo poskytovať služby vo verejnom záujme, pričom sa uvádza náhrada za túto činnosť v akejkoľvek forme, a ak sa zároveň vykonávajú aj iné činnosti, uvádzajú sa aj informácie o </w:t>
      </w:r>
    </w:p>
    <w:p w:rsidR="00322BB2" w:rsidRPr="005F3E00" w:rsidRDefault="00322BB2" w:rsidP="00361F64">
      <w:pPr>
        <w:pStyle w:val="ListParagraph"/>
        <w:numPr>
          <w:ilvl w:val="0"/>
          <w:numId w:val="19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všetkých formách prijatej náhrady, </w:t>
      </w:r>
    </w:p>
    <w:p w:rsidR="00322BB2" w:rsidRPr="005F3E00" w:rsidRDefault="00322BB2" w:rsidP="00361F64">
      <w:pPr>
        <w:pStyle w:val="ListParagraph"/>
        <w:numPr>
          <w:ilvl w:val="0"/>
          <w:numId w:val="19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účtovných zásadách použitých pri prideľovaní nákladov a výnosov, </w:t>
      </w:r>
    </w:p>
    <w:p w:rsidR="00322BB2" w:rsidRPr="005F3E00" w:rsidRDefault="00322BB2" w:rsidP="00361F64">
      <w:pPr>
        <w:pStyle w:val="ListParagraph"/>
        <w:numPr>
          <w:ilvl w:val="0"/>
          <w:numId w:val="19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všetkých druhoch činností účtovnej jednotky. </w:t>
      </w:r>
    </w:p>
    <w:p w:rsidR="00322BB2" w:rsidRPr="005F3E00" w:rsidRDefault="00322BB2" w:rsidP="005F3E00">
      <w:pPr>
        <w:rPr>
          <w:i/>
          <w:color w:val="BFBFBF"/>
        </w:rPr>
      </w:pPr>
    </w:p>
    <w:p w:rsidR="00322BB2" w:rsidRPr="005F3E00" w:rsidRDefault="00322BB2" w:rsidP="00361F64">
      <w:pPr>
        <w:pStyle w:val="ListParagraph"/>
        <w:numPr>
          <w:ilvl w:val="0"/>
          <w:numId w:val="18"/>
        </w:numPr>
        <w:rPr>
          <w:i/>
          <w:color w:val="BFBFBF"/>
        </w:rPr>
      </w:pPr>
      <w:r w:rsidRPr="005F3E00">
        <w:rPr>
          <w:i/>
          <w:color w:val="BFBFBF"/>
        </w:rPr>
        <w:t xml:space="preserve">V poznámkach účtovnej jednotky, na ktorú sa </w:t>
      </w:r>
      <w:r w:rsidRPr="005F3E00">
        <w:rPr>
          <w:b/>
          <w:i/>
          <w:color w:val="BFBFBF"/>
        </w:rPr>
        <w:t>vzťahuje § 23d ods. 6 zákona, ktorej činnosť je zaradená do kategórie priemyselnej výroby podľa osobitného predpisu</w:t>
      </w:r>
      <w:r w:rsidRPr="005F3E00">
        <w:rPr>
          <w:i/>
          <w:color w:val="BFBFBF"/>
          <w:sz w:val="14"/>
          <w:szCs w:val="14"/>
        </w:rPr>
        <w:t xml:space="preserve"> </w:t>
      </w:r>
      <w:r w:rsidRPr="005F3E00">
        <w:rPr>
          <w:i/>
          <w:color w:val="BFBFBF"/>
        </w:rPr>
        <w:t xml:space="preserve">a ktorej čistý obrat za bezprostredne predchádzajúce účtovné obdobie bol väčší ako 250 000 000 eur, sa uvedú aj informácie o </w:t>
      </w:r>
    </w:p>
    <w:p w:rsidR="00322BB2" w:rsidRPr="005F3E00" w:rsidRDefault="00322BB2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zložení a výške základného imania pripadajúceho na orgány verejnej moci a iné osoby, v ktorých má orgán verejnej moci väčšinový podiel na hlasovacích právach s uvedením druhu akcie, opisu práv a povinností s nimi spojených pre každý druh akcií a ich percentuálny podiel na celkovom základnom imaní alebo hodnote a percentuálnej výške podielov na základnom imaní a s nimi spojených hlasovacích právach, </w:t>
      </w:r>
    </w:p>
    <w:p w:rsidR="00322BB2" w:rsidRPr="005F3E00" w:rsidRDefault="00322BB2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cenných papieroch vo vlastníctve orgánov verejnej moci a iných osôb, v ktorých má orgán verejnej moci väčšinový podiel na hlasovacích právach, s ktorými je spojené právo na výmenu za akcie, napríklad konvertibilné dlhopisy, </w:t>
      </w:r>
    </w:p>
    <w:p w:rsidR="00322BB2" w:rsidRPr="005F3E00" w:rsidRDefault="00322BB2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výške dotácií a návratných finančných výpomocí, </w:t>
      </w:r>
    </w:p>
    <w:p w:rsidR="00322BB2" w:rsidRPr="005F3E00" w:rsidRDefault="00322BB2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prijatých úveroch, poskytnutých prečerpaniach úverov, prijatých kapitálových príspevkoch s uvedením úrokových sadzieb a o podmienkach poskytnutia úveru a zárukách poskytnutých účtovnou jednotkou, </w:t>
      </w:r>
    </w:p>
    <w:p w:rsidR="00322BB2" w:rsidRPr="005F3E00" w:rsidRDefault="00322BB2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zárukách poskytnutých orgánom verejnej moci a zárukách poskytnutých inou účtovnou jednotkou, v ktorej má orgán verejnej moci väčšinový podiel na hlasovacích právach, podmienkach ich poskytnutia a nákladoch na ich získanie, </w:t>
      </w:r>
    </w:p>
    <w:p w:rsidR="00322BB2" w:rsidRPr="005F3E00" w:rsidRDefault="00322BB2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vyplatených dividendách a výške nerozdeleného zisku, </w:t>
      </w:r>
    </w:p>
    <w:p w:rsidR="00322BB2" w:rsidRPr="005F3E00" w:rsidRDefault="00322BB2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iných formách prijatej štátnej pomoci, najmä odpustenie súm, ktoré účtovná jednotka dlhuje štátu alebo inému subjektu verejnej správy. </w:t>
      </w:r>
    </w:p>
    <w:p w:rsidR="00322BB2" w:rsidRPr="005F3E00" w:rsidRDefault="00322BB2" w:rsidP="005F3E00">
      <w:pPr>
        <w:rPr>
          <w:i/>
          <w:color w:val="BFBFBF"/>
        </w:rPr>
      </w:pPr>
    </w:p>
    <w:p w:rsidR="00322BB2" w:rsidRPr="005F3E00" w:rsidRDefault="00322BB2" w:rsidP="00361F64">
      <w:pPr>
        <w:pStyle w:val="ListParagraph"/>
        <w:numPr>
          <w:ilvl w:val="0"/>
          <w:numId w:val="18"/>
        </w:numPr>
        <w:rPr>
          <w:i/>
          <w:color w:val="BFBFBF"/>
        </w:rPr>
      </w:pPr>
      <w:r w:rsidRPr="005F3E00">
        <w:rPr>
          <w:i/>
          <w:color w:val="BFBFBF"/>
        </w:rPr>
        <w:t xml:space="preserve">V poznámkach účtovnej jednotky, na ktorú sa vzťahuje </w:t>
      </w:r>
      <w:r w:rsidRPr="005F3E00">
        <w:rPr>
          <w:b/>
          <w:i/>
          <w:color w:val="BFBFBF"/>
        </w:rPr>
        <w:t>§ 23d ods. 6 zákona sa uvedú aj informácie o finančných vzťahoch medzi orgánom verejnej moci a účtovnou jednotkou</w:t>
      </w:r>
      <w:r w:rsidRPr="005F3E00">
        <w:rPr>
          <w:i/>
          <w:color w:val="BFBFBF"/>
        </w:rPr>
        <w:t xml:space="preserve">, a to o: </w:t>
      </w:r>
    </w:p>
    <w:p w:rsidR="00322BB2" w:rsidRPr="005F3E00" w:rsidRDefault="00322BB2" w:rsidP="00361F64">
      <w:pPr>
        <w:pStyle w:val="ListParagraph"/>
        <w:numPr>
          <w:ilvl w:val="0"/>
          <w:numId w:val="21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náhradách strát z hospodárskej činnosti účtovnej jednotky, </w:t>
      </w:r>
    </w:p>
    <w:p w:rsidR="00322BB2" w:rsidRPr="005F3E00" w:rsidRDefault="00322BB2" w:rsidP="00361F64">
      <w:pPr>
        <w:pStyle w:val="ListParagraph"/>
        <w:numPr>
          <w:ilvl w:val="0"/>
          <w:numId w:val="21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peňažných vkladoch a nepeňažných vkladoch, </w:t>
      </w:r>
    </w:p>
    <w:p w:rsidR="00322BB2" w:rsidRPr="005F3E00" w:rsidRDefault="00322BB2" w:rsidP="00361F64">
      <w:pPr>
        <w:pStyle w:val="ListParagraph"/>
        <w:numPr>
          <w:ilvl w:val="0"/>
          <w:numId w:val="21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nenávratných finančných príspevkoch alebo pôžičkách za zvýhodnených podmienok, </w:t>
      </w:r>
    </w:p>
    <w:p w:rsidR="00322BB2" w:rsidRPr="005F3E00" w:rsidRDefault="00322BB2" w:rsidP="00361F64">
      <w:pPr>
        <w:pStyle w:val="ListParagraph"/>
        <w:numPr>
          <w:ilvl w:val="0"/>
          <w:numId w:val="21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finančných výhodách, ktorými sú napríklad nevymáhanie pohľadávky voči účtovnej jednotke, </w:t>
      </w:r>
    </w:p>
    <w:p w:rsidR="00322BB2" w:rsidRPr="005F3E00" w:rsidRDefault="00322BB2" w:rsidP="00361F64">
      <w:pPr>
        <w:pStyle w:val="ListParagraph"/>
        <w:numPr>
          <w:ilvl w:val="0"/>
          <w:numId w:val="21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vzdaní sa dividend alebo podielov na zisku, </w:t>
      </w:r>
    </w:p>
    <w:p w:rsidR="00322BB2" w:rsidRDefault="00322BB2" w:rsidP="00361F64">
      <w:pPr>
        <w:pStyle w:val="ListParagraph"/>
        <w:numPr>
          <w:ilvl w:val="0"/>
          <w:numId w:val="21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poskytnutých náhradách za finančné povinnosti uložené orgánom verejnej moci. </w:t>
      </w:r>
    </w:p>
    <w:p w:rsidR="00322BB2" w:rsidRDefault="00322BB2" w:rsidP="00CD6833">
      <w:pPr>
        <w:jc w:val="both"/>
        <w:rPr>
          <w:i/>
          <w:color w:val="BFBFBF"/>
        </w:rPr>
      </w:pPr>
    </w:p>
    <w:p w:rsidR="00322BB2" w:rsidRDefault="00322BB2" w:rsidP="00CD6833">
      <w:pPr>
        <w:jc w:val="both"/>
      </w:pPr>
      <w:r>
        <w:t>Spoločnosť nemá udelené výlučné právo alebo osobitné právo, ktorým by sa udelilo právo poskytovať služby vo verejnom záujme.</w:t>
      </w:r>
    </w:p>
    <w:p w:rsidR="00322BB2" w:rsidRDefault="00322BB2" w:rsidP="00CD6833">
      <w:pPr>
        <w:jc w:val="both"/>
      </w:pPr>
    </w:p>
    <w:p w:rsidR="00322BB2" w:rsidRPr="005518DD" w:rsidRDefault="00322BB2" w:rsidP="00CD6833">
      <w:pPr>
        <w:jc w:val="both"/>
      </w:pPr>
      <w:r>
        <w:t xml:space="preserve">Na Spoločnosť sa nevzťahuje </w:t>
      </w:r>
      <w:r w:rsidRPr="005518DD">
        <w:t>§ 23d ods. 6 zákona, ktorej činnosť je zaradená do kategórie priemyselnej výroby podľa osobitného predpisu</w:t>
      </w:r>
      <w:r>
        <w:t>.</w:t>
      </w:r>
    </w:p>
    <w:p w:rsidR="00322BB2" w:rsidRPr="00EE2336" w:rsidRDefault="00322BB2" w:rsidP="00EE2336">
      <w:pPr>
        <w:rPr>
          <w:b/>
        </w:rPr>
      </w:pPr>
    </w:p>
    <w:p w:rsidR="00322BB2" w:rsidRPr="00B4042E" w:rsidRDefault="00322BB2" w:rsidP="00D13BF7">
      <w:pPr>
        <w:rPr>
          <w:b/>
        </w:rPr>
      </w:pPr>
    </w:p>
    <w:bookmarkEnd w:id="5"/>
    <w:p w:rsidR="00322BB2" w:rsidRDefault="00322BB2" w:rsidP="00D13BF7"/>
    <w:sectPr w:rsidR="00322BB2" w:rsidSect="00866C3B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979" w:right="991" w:bottom="1134" w:left="1673" w:header="675" w:footer="340" w:gutter="0"/>
      <w:pgNumType w:start="1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2BB2" w:rsidRDefault="00322BB2" w:rsidP="00E95128">
      <w:r>
        <w:separator/>
      </w:r>
    </w:p>
  </w:endnote>
  <w:endnote w:type="continuationSeparator" w:id="0">
    <w:p w:rsidR="00322BB2" w:rsidRDefault="00322BB2" w:rsidP="00E951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Gothic">
    <w:altName w:val="?l?r ѓSѓVѓbѓN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Univers 55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E"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B2" w:rsidRDefault="00322BB2" w:rsidP="00D228B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22BB2" w:rsidRDefault="00322BB2" w:rsidP="00DB582F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B2" w:rsidRDefault="00322BB2">
    <w:pPr>
      <w:pStyle w:val="Footer"/>
      <w:jc w:val="right"/>
    </w:pPr>
    <w:fldSimple w:instr="PAGE   \* MERGEFORMAT">
      <w:r>
        <w:rPr>
          <w:noProof/>
        </w:rPr>
        <w:t>13</w:t>
      </w:r>
    </w:fldSimple>
  </w:p>
  <w:p w:rsidR="00322BB2" w:rsidRDefault="00322BB2" w:rsidP="00DB582F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B2" w:rsidRDefault="00322BB2" w:rsidP="00F70C00">
    <w:pPr>
      <w:pStyle w:val="Footer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2013</w:t>
    </w:r>
    <w:r w:rsidRPr="00803D2C">
      <w:rPr>
        <w:sz w:val="16"/>
        <w:szCs w:val="16"/>
        <w:lang w:val="en-US"/>
      </w:rPr>
      <w:t xml:space="preserve"> KPMG Slovensko, spol. s r. o. V</w:t>
    </w:r>
    <w:r w:rsidRPr="00803D2C">
      <w:rPr>
        <w:sz w:val="16"/>
        <w:szCs w:val="16"/>
      </w:rPr>
      <w:t>šetky práva vyhradené. Vytlačené na Slovensku.</w:t>
    </w:r>
    <w:r w:rsidRPr="00E95128">
      <w:t xml:space="preserve"> </w:t>
    </w:r>
    <w:r>
      <w:tab/>
    </w:r>
    <w:r w:rsidRPr="00F70C00">
      <w:rPr>
        <w:b/>
      </w:rPr>
      <w:fldChar w:fldCharType="begin"/>
    </w:r>
    <w:r w:rsidRPr="00F70C00">
      <w:rPr>
        <w:b/>
      </w:rPr>
      <w:instrText xml:space="preserve"> PAGE   \* MERGEFORMAT </w:instrText>
    </w:r>
    <w:r w:rsidRPr="00F70C00">
      <w:rPr>
        <w:b/>
      </w:rPr>
      <w:fldChar w:fldCharType="separate"/>
    </w:r>
    <w:r>
      <w:rPr>
        <w:b/>
        <w:noProof/>
      </w:rPr>
      <w:t>17</w:t>
    </w:r>
    <w:r w:rsidRPr="00F70C00">
      <w:rPr>
        <w:b/>
      </w:rPr>
      <w:fldChar w:fldCharType="end"/>
    </w:r>
  </w:p>
  <w:p w:rsidR="00322BB2" w:rsidRDefault="00322BB2" w:rsidP="00F70C00">
    <w:pPr>
      <w:pStyle w:val="Footer"/>
      <w:tabs>
        <w:tab w:val="clear" w:pos="9072"/>
        <w:tab w:val="right" w:pos="9214"/>
      </w:tabs>
      <w:rPr>
        <w:sz w:val="16"/>
        <w:szCs w:val="16"/>
      </w:rPr>
    </w:pPr>
  </w:p>
  <w:p w:rsidR="00322BB2" w:rsidRPr="00F70C00" w:rsidRDefault="00322BB2" w:rsidP="00F70C00">
    <w:pPr>
      <w:pStyle w:val="Footer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2BB2" w:rsidRDefault="00322BB2" w:rsidP="00E95128">
      <w:r>
        <w:separator/>
      </w:r>
    </w:p>
  </w:footnote>
  <w:footnote w:type="continuationSeparator" w:id="0">
    <w:p w:rsidR="00322BB2" w:rsidRDefault="00322BB2" w:rsidP="00E951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B2" w:rsidRDefault="00322BB2" w:rsidP="00E95128">
    <w:pPr>
      <w:pStyle w:val="Header"/>
      <w:tabs>
        <w:tab w:val="center" w:pos="4820"/>
        <w:tab w:val="right" w:pos="9214"/>
      </w:tabs>
      <w:jc w:val="right"/>
    </w:pPr>
  </w:p>
  <w:p w:rsidR="00322BB2" w:rsidRPr="00393933" w:rsidRDefault="00322BB2" w:rsidP="00E95128">
    <w:pPr>
      <w:pStyle w:val="Header"/>
      <w:tabs>
        <w:tab w:val="center" w:pos="4820"/>
        <w:tab w:val="right" w:pos="9214"/>
      </w:tabs>
      <w:jc w:val="right"/>
      <w:rPr>
        <w:i/>
      </w:rPr>
    </w:pPr>
    <w:r w:rsidRPr="008648B4">
      <w:rPr>
        <w:szCs w:val="18"/>
      </w:rPr>
      <w:t xml:space="preserve"> </w:t>
    </w:r>
    <w:r w:rsidRPr="00393933">
      <w:rPr>
        <w:i/>
        <w:szCs w:val="18"/>
      </w:rPr>
      <w:t>účtovná závierka</w:t>
    </w:r>
  </w:p>
  <w:p w:rsidR="00322BB2" w:rsidRDefault="00322BB2" w:rsidP="00E95128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  <w:rPr>
        <w:szCs w:val="18"/>
      </w:rPr>
    </w:pPr>
    <w:r>
      <w:rPr>
        <w:b/>
        <w:bCs/>
        <w:szCs w:val="18"/>
      </w:rPr>
      <w:tab/>
      <w:t>POHAS GROUP, s.r.o.</w:t>
    </w:r>
    <w:r>
      <w:rPr>
        <w:b/>
        <w:bCs/>
        <w:szCs w:val="18"/>
      </w:rPr>
      <w:tab/>
    </w:r>
    <w:r w:rsidRPr="00E95128">
      <w:rPr>
        <w:b/>
        <w:bCs/>
        <w:szCs w:val="18"/>
      </w:rPr>
      <w:t xml:space="preserve"> </w:t>
    </w:r>
    <w:r w:rsidRPr="00393933">
      <w:rPr>
        <w:i/>
        <w:szCs w:val="18"/>
      </w:rPr>
      <w:t>k</w:t>
    </w:r>
    <w:r w:rsidRPr="00393933">
      <w:rPr>
        <w:b/>
        <w:bCs/>
        <w:i/>
        <w:szCs w:val="18"/>
      </w:rPr>
      <w:t xml:space="preserve"> </w:t>
    </w:r>
    <w:r w:rsidRPr="00393933">
      <w:rPr>
        <w:i/>
        <w:szCs w:val="18"/>
      </w:rPr>
      <w:t>31. decembru 2015</w:t>
    </w:r>
  </w:p>
  <w:p w:rsidR="00322BB2" w:rsidRDefault="00322BB2" w:rsidP="00E95128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  <w:rPr>
        <w:szCs w:val="18"/>
      </w:rPr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A0"/>
    </w:tblPr>
    <w:tblGrid>
      <w:gridCol w:w="199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322BB2" w:rsidRPr="00C14925" w:rsidTr="00DC03DD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22BB2" w:rsidRPr="00C14925" w:rsidRDefault="00322BB2" w:rsidP="00D228BA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Cs w:val="18"/>
            </w:rPr>
          </w:pPr>
          <w:r w:rsidRPr="00C14925">
            <w:rPr>
              <w:szCs w:val="18"/>
            </w:rPr>
            <w:t xml:space="preserve">Poznámky </w:t>
          </w:r>
          <w:r>
            <w:rPr>
              <w:szCs w:val="18"/>
            </w:rPr>
            <w:t>Ú</w:t>
          </w:r>
          <w:r w:rsidRPr="00C14925">
            <w:rPr>
              <w:szCs w:val="18"/>
            </w:rPr>
            <w:t>č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22BB2" w:rsidRPr="00C14925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 xml:space="preserve">                                                                                     IČ</w:t>
          </w:r>
          <w:r w:rsidRPr="00C14925">
            <w:rPr>
              <w:szCs w:val="18"/>
            </w:rPr>
            <w:t>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22BB2" w:rsidRPr="00833D0C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</w:tcBorders>
          <w:vAlign w:val="center"/>
        </w:tcPr>
        <w:p w:rsidR="00322BB2" w:rsidRPr="00833D0C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83" w:type="dxa"/>
          <w:vAlign w:val="center"/>
        </w:tcPr>
        <w:p w:rsidR="00322BB2" w:rsidRPr="00833D0C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4</w:t>
          </w:r>
        </w:p>
      </w:tc>
      <w:tc>
        <w:tcPr>
          <w:tcW w:w="282" w:type="dxa"/>
          <w:vAlign w:val="center"/>
        </w:tcPr>
        <w:p w:rsidR="00322BB2" w:rsidRPr="00833D0C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8</w:t>
          </w:r>
        </w:p>
      </w:tc>
      <w:tc>
        <w:tcPr>
          <w:tcW w:w="283" w:type="dxa"/>
          <w:vAlign w:val="center"/>
        </w:tcPr>
        <w:p w:rsidR="00322BB2" w:rsidRPr="00833D0C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3</w:t>
          </w:r>
        </w:p>
      </w:tc>
      <w:tc>
        <w:tcPr>
          <w:tcW w:w="282" w:type="dxa"/>
          <w:vAlign w:val="center"/>
        </w:tcPr>
        <w:p w:rsidR="00322BB2" w:rsidRPr="00833D0C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3</w:t>
          </w:r>
        </w:p>
      </w:tc>
      <w:tc>
        <w:tcPr>
          <w:tcW w:w="283" w:type="dxa"/>
          <w:vAlign w:val="center"/>
        </w:tcPr>
        <w:p w:rsidR="00322BB2" w:rsidRPr="00833D0C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3</w:t>
          </w:r>
        </w:p>
      </w:tc>
      <w:tc>
        <w:tcPr>
          <w:tcW w:w="282" w:type="dxa"/>
          <w:vAlign w:val="center"/>
        </w:tcPr>
        <w:p w:rsidR="00322BB2" w:rsidRPr="00833D0C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2</w:t>
          </w:r>
        </w:p>
      </w:tc>
      <w:tc>
        <w:tcPr>
          <w:tcW w:w="283" w:type="dxa"/>
          <w:vAlign w:val="center"/>
        </w:tcPr>
        <w:p w:rsidR="00322BB2" w:rsidRPr="00833D0C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8</w:t>
          </w:r>
        </w:p>
      </w:tc>
      <w:tc>
        <w:tcPr>
          <w:tcW w:w="282" w:type="dxa"/>
          <w:vAlign w:val="center"/>
        </w:tcPr>
        <w:p w:rsidR="00322BB2" w:rsidRPr="00833D0C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0</w:t>
          </w:r>
        </w:p>
      </w:tc>
    </w:tr>
  </w:tbl>
  <w:p w:rsidR="00322BB2" w:rsidRPr="00833D0C" w:rsidRDefault="00322BB2" w:rsidP="00DC03DD">
    <w:pPr>
      <w:pStyle w:val="Header"/>
      <w:tabs>
        <w:tab w:val="center" w:pos="4962"/>
        <w:tab w:val="right" w:pos="9213"/>
      </w:tabs>
      <w:ind w:right="-1"/>
      <w:jc w:val="right"/>
      <w:rPr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A0"/>
    </w:tblPr>
    <w:tblGrid>
      <w:gridCol w:w="215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322BB2" w:rsidRPr="00C14925" w:rsidTr="00DC03DD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22BB2" w:rsidRPr="00C14925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</w:tcBorders>
          <w:vAlign w:val="center"/>
        </w:tcPr>
        <w:p w:rsidR="00322BB2" w:rsidRPr="00C14925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 xml:space="preserve">                                                                                </w:t>
          </w:r>
          <w:r w:rsidRPr="00C14925">
            <w:rPr>
              <w:szCs w:val="18"/>
            </w:rPr>
            <w:t>DIČ</w:t>
          </w:r>
        </w:p>
      </w:tc>
      <w:tc>
        <w:tcPr>
          <w:tcW w:w="279" w:type="dxa"/>
          <w:vAlign w:val="center"/>
        </w:tcPr>
        <w:p w:rsidR="00322BB2" w:rsidRPr="00DC03DD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 w:rsidRPr="00DC03DD">
            <w:rPr>
              <w:szCs w:val="18"/>
            </w:rPr>
            <w:t>2</w:t>
          </w:r>
        </w:p>
      </w:tc>
      <w:tc>
        <w:tcPr>
          <w:tcW w:w="280" w:type="dxa"/>
          <w:vAlign w:val="center"/>
        </w:tcPr>
        <w:p w:rsidR="00322BB2" w:rsidRPr="00DC03DD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1</w:t>
          </w:r>
        </w:p>
      </w:tc>
      <w:tc>
        <w:tcPr>
          <w:tcW w:w="279" w:type="dxa"/>
          <w:vAlign w:val="center"/>
        </w:tcPr>
        <w:p w:rsidR="00322BB2" w:rsidRPr="00DC03DD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2</w:t>
          </w:r>
        </w:p>
      </w:tc>
      <w:tc>
        <w:tcPr>
          <w:tcW w:w="287" w:type="dxa"/>
          <w:vAlign w:val="center"/>
        </w:tcPr>
        <w:p w:rsidR="00322BB2" w:rsidRPr="00DC03DD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0</w:t>
          </w:r>
        </w:p>
      </w:tc>
      <w:tc>
        <w:tcPr>
          <w:tcW w:w="279" w:type="dxa"/>
          <w:vAlign w:val="center"/>
        </w:tcPr>
        <w:p w:rsidR="00322BB2" w:rsidRPr="00DC03DD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1</w:t>
          </w:r>
        </w:p>
      </w:tc>
      <w:tc>
        <w:tcPr>
          <w:tcW w:w="278" w:type="dxa"/>
          <w:vAlign w:val="center"/>
        </w:tcPr>
        <w:p w:rsidR="00322BB2" w:rsidRPr="00DC03DD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3</w:t>
          </w:r>
        </w:p>
      </w:tc>
      <w:tc>
        <w:tcPr>
          <w:tcW w:w="279" w:type="dxa"/>
          <w:vAlign w:val="center"/>
        </w:tcPr>
        <w:p w:rsidR="00322BB2" w:rsidRPr="00DC03DD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7</w:t>
          </w:r>
        </w:p>
      </w:tc>
      <w:tc>
        <w:tcPr>
          <w:tcW w:w="278" w:type="dxa"/>
          <w:vAlign w:val="center"/>
        </w:tcPr>
        <w:p w:rsidR="00322BB2" w:rsidRPr="00DC03DD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6</w:t>
          </w:r>
        </w:p>
      </w:tc>
      <w:tc>
        <w:tcPr>
          <w:tcW w:w="279" w:type="dxa"/>
          <w:vAlign w:val="center"/>
        </w:tcPr>
        <w:p w:rsidR="00322BB2" w:rsidRPr="00DC03DD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4</w:t>
          </w:r>
        </w:p>
      </w:tc>
      <w:tc>
        <w:tcPr>
          <w:tcW w:w="278" w:type="dxa"/>
          <w:vAlign w:val="center"/>
        </w:tcPr>
        <w:p w:rsidR="00322BB2" w:rsidRPr="00DC03DD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6</w:t>
          </w:r>
        </w:p>
      </w:tc>
    </w:tr>
    <w:tr w:rsidR="00322BB2" w:rsidRPr="00C14925" w:rsidTr="00DC03DD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22BB2" w:rsidRPr="00C14925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</w:tcBorders>
          <w:vAlign w:val="center"/>
        </w:tcPr>
        <w:p w:rsidR="00322BB2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9" w:type="dxa"/>
          <w:vAlign w:val="center"/>
        </w:tcPr>
        <w:p w:rsidR="00322BB2" w:rsidRPr="00DC03DD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80" w:type="dxa"/>
          <w:vAlign w:val="center"/>
        </w:tcPr>
        <w:p w:rsidR="00322BB2" w:rsidRPr="00DC03DD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9" w:type="dxa"/>
          <w:vAlign w:val="center"/>
        </w:tcPr>
        <w:p w:rsidR="00322BB2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87" w:type="dxa"/>
          <w:vAlign w:val="center"/>
        </w:tcPr>
        <w:p w:rsidR="00322BB2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9" w:type="dxa"/>
          <w:vAlign w:val="center"/>
        </w:tcPr>
        <w:p w:rsidR="00322BB2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8" w:type="dxa"/>
          <w:vAlign w:val="center"/>
        </w:tcPr>
        <w:p w:rsidR="00322BB2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9" w:type="dxa"/>
          <w:vAlign w:val="center"/>
        </w:tcPr>
        <w:p w:rsidR="00322BB2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8" w:type="dxa"/>
          <w:vAlign w:val="center"/>
        </w:tcPr>
        <w:p w:rsidR="00322BB2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9" w:type="dxa"/>
          <w:vAlign w:val="center"/>
        </w:tcPr>
        <w:p w:rsidR="00322BB2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8" w:type="dxa"/>
          <w:vAlign w:val="center"/>
        </w:tcPr>
        <w:p w:rsidR="00322BB2" w:rsidRDefault="00322BB2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</w:tr>
  </w:tbl>
  <w:p w:rsidR="00322BB2" w:rsidRPr="00E95128" w:rsidRDefault="00322BB2" w:rsidP="00DC03DD">
    <w:pPr>
      <w:pStyle w:val="Header"/>
      <w:tabs>
        <w:tab w:val="clear" w:pos="4536"/>
        <w:tab w:val="clear" w:pos="9072"/>
        <w:tab w:val="center" w:pos="3969"/>
        <w:tab w:val="right" w:pos="9214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B2" w:rsidRDefault="00322BB2" w:rsidP="008A2D79">
    <w:pPr>
      <w:pStyle w:val="Header"/>
      <w:tabs>
        <w:tab w:val="center" w:pos="4820"/>
        <w:tab w:val="right" w:pos="9214"/>
      </w:tabs>
      <w:jc w:val="right"/>
    </w:pPr>
  </w:p>
  <w:p w:rsidR="00322BB2" w:rsidRPr="00E95128" w:rsidRDefault="00322BB2" w:rsidP="008A2D79">
    <w:pPr>
      <w:pStyle w:val="Header"/>
      <w:tabs>
        <w:tab w:val="center" w:pos="4820"/>
        <w:tab w:val="right" w:pos="9214"/>
      </w:tabs>
      <w:jc w:val="right"/>
    </w:pPr>
    <w:r>
      <w:rPr>
        <w:noProof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2049" type="#_x0000_t75" alt="KPMG_20mm56" style="position:absolute;left:0;text-align:left;margin-left:0;margin-top:44.25pt;width:49.6pt;height:19.2pt;z-index:-251656192;visibility:visible;mso-position-horizontal:left;mso-position-vertical-relative:page">
          <v:imagedata r:id="rId1" o:title=""/>
          <w10:wrap anchory="page"/>
        </v:shape>
      </w:pict>
    </w:r>
    <w:r w:rsidRPr="008648B4">
      <w:rPr>
        <w:szCs w:val="18"/>
      </w:rPr>
      <w:t xml:space="preserve"> </w:t>
    </w:r>
    <w:r w:rsidRPr="008D6361">
      <w:rPr>
        <w:szCs w:val="18"/>
      </w:rPr>
      <w:t>Vzorová účtovná závierka</w:t>
    </w:r>
  </w:p>
  <w:p w:rsidR="00322BB2" w:rsidRDefault="00322BB2" w:rsidP="008A2D79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  <w:rPr>
        <w:szCs w:val="18"/>
      </w:rPr>
    </w:pPr>
    <w:r>
      <w:rPr>
        <w:b/>
        <w:bCs/>
        <w:szCs w:val="18"/>
      </w:rPr>
      <w:tab/>
    </w:r>
    <w:r w:rsidRPr="00E95128">
      <w:rPr>
        <w:b/>
        <w:bCs/>
        <w:szCs w:val="18"/>
      </w:rPr>
      <w:t>ABC Slovenská výroba, spol. s r. o.</w:t>
    </w:r>
    <w:r>
      <w:rPr>
        <w:b/>
        <w:bCs/>
        <w:szCs w:val="18"/>
      </w:rPr>
      <w:tab/>
    </w:r>
    <w:r w:rsidRPr="00E95128">
      <w:rPr>
        <w:b/>
        <w:bCs/>
        <w:szCs w:val="18"/>
      </w:rPr>
      <w:t xml:space="preserve"> </w:t>
    </w:r>
    <w:r w:rsidRPr="008D6361">
      <w:rPr>
        <w:szCs w:val="18"/>
      </w:rPr>
      <w:t>k</w:t>
    </w:r>
    <w:r>
      <w:rPr>
        <w:b/>
        <w:bCs/>
        <w:szCs w:val="18"/>
      </w:rPr>
      <w:t xml:space="preserve"> </w:t>
    </w:r>
    <w:r w:rsidRPr="0075768F">
      <w:rPr>
        <w:szCs w:val="18"/>
      </w:rPr>
      <w:t>3</w:t>
    </w:r>
    <w:r w:rsidRPr="008D6361">
      <w:rPr>
        <w:szCs w:val="18"/>
      </w:rPr>
      <w:t xml:space="preserve">1. decembru </w:t>
    </w:r>
    <w:r>
      <w:rPr>
        <w:szCs w:val="18"/>
      </w:rPr>
      <w:t>2013</w:t>
    </w:r>
  </w:p>
  <w:p w:rsidR="00322BB2" w:rsidRPr="00E95128" w:rsidRDefault="00322BB2" w:rsidP="008A2D79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04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322BB2" w:rsidTr="00D34B3E">
      <w:trPr>
        <w:trHeight w:val="299"/>
      </w:trPr>
      <w:tc>
        <w:tcPr>
          <w:tcW w:w="2251" w:type="dxa"/>
          <w:vAlign w:val="center"/>
        </w:tcPr>
        <w:p w:rsidR="00322BB2" w:rsidRDefault="00322BB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>Poznámky Úč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:rsidR="00322BB2" w:rsidRDefault="00322BB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:rsidR="00322BB2" w:rsidRDefault="00322BB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322BB2" w:rsidRDefault="00322BB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322BB2" w:rsidRDefault="00322BB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322BB2" w:rsidRDefault="00322BB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322BB2" w:rsidRDefault="00322BB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322BB2" w:rsidRDefault="00322BB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322BB2" w:rsidRDefault="00322BB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322BB2" w:rsidRDefault="00322BB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322BB2" w:rsidRDefault="00322BB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322BB2" w:rsidRDefault="00322BB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:rsidR="00322BB2" w:rsidRPr="00E95128" w:rsidRDefault="00322BB2" w:rsidP="008648B4">
    <w:pPr>
      <w:pStyle w:val="Header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27"/>
    <w:multiLevelType w:val="hybridMultilevel"/>
    <w:tmpl w:val="564C2772"/>
    <w:lvl w:ilvl="0" w:tplc="D0340B9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i/>
        <w:cap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6B1EE7"/>
    <w:multiLevelType w:val="hybridMultilevel"/>
    <w:tmpl w:val="81AC0E4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3">
    <w:nsid w:val="14B51420"/>
    <w:multiLevelType w:val="hybridMultilevel"/>
    <w:tmpl w:val="B48044D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E3D3262"/>
    <w:multiLevelType w:val="hybridMultilevel"/>
    <w:tmpl w:val="EF50738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B2D1184"/>
    <w:multiLevelType w:val="hybridMultilevel"/>
    <w:tmpl w:val="3AA644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BE10161"/>
    <w:multiLevelType w:val="hybridMultilevel"/>
    <w:tmpl w:val="4662A194"/>
    <w:lvl w:ilvl="0" w:tplc="6916E93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i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6BE61C3"/>
    <w:multiLevelType w:val="singleLevel"/>
    <w:tmpl w:val="E6BC554C"/>
    <w:lvl w:ilvl="0">
      <w:start w:val="1"/>
      <w:numFmt w:val="decimal"/>
      <w:pStyle w:val="Heading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>
    <w:nsid w:val="46100BDC"/>
    <w:multiLevelType w:val="hybridMultilevel"/>
    <w:tmpl w:val="2B84C3B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78C122C"/>
    <w:multiLevelType w:val="hybridMultilevel"/>
    <w:tmpl w:val="4E16FD9C"/>
    <w:lvl w:ilvl="0" w:tplc="EBD8596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78F7E6B"/>
    <w:multiLevelType w:val="hybridMultilevel"/>
    <w:tmpl w:val="68BC8E88"/>
    <w:lvl w:ilvl="0" w:tplc="6916E93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i/>
      </w:rPr>
    </w:lvl>
    <w:lvl w:ilvl="1" w:tplc="041B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E845951"/>
    <w:multiLevelType w:val="hybridMultilevel"/>
    <w:tmpl w:val="79287766"/>
    <w:lvl w:ilvl="0" w:tplc="37562D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  <w:lvl w:ilvl="1" w:tplc="0F7C6558"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7D53E7F"/>
    <w:multiLevelType w:val="hybridMultilevel"/>
    <w:tmpl w:val="81F65CB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D2D5087"/>
    <w:multiLevelType w:val="hybridMultilevel"/>
    <w:tmpl w:val="0DC24D1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1CA4BB3"/>
    <w:multiLevelType w:val="hybridMultilevel"/>
    <w:tmpl w:val="45BCB27A"/>
    <w:lvl w:ilvl="0" w:tplc="3EFA6B06">
      <w:start w:val="26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66B32A0D"/>
    <w:multiLevelType w:val="hybridMultilevel"/>
    <w:tmpl w:val="6DA85892"/>
    <w:lvl w:ilvl="0" w:tplc="5136F6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6C43CD6"/>
    <w:multiLevelType w:val="hybridMultilevel"/>
    <w:tmpl w:val="D8887EB4"/>
    <w:lvl w:ilvl="0" w:tplc="32E26F5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3473C13"/>
    <w:multiLevelType w:val="singleLevel"/>
    <w:tmpl w:val="5CFA7E82"/>
    <w:lvl w:ilvl="0">
      <w:start w:val="1"/>
      <w:numFmt w:val="upperLetter"/>
      <w:pStyle w:val="Heading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8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>
    <w:nsid w:val="7A392796"/>
    <w:multiLevelType w:val="hybridMultilevel"/>
    <w:tmpl w:val="47366DBE"/>
    <w:lvl w:ilvl="0" w:tplc="8CC00C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CCB49EF"/>
    <w:multiLevelType w:val="hybridMultilevel"/>
    <w:tmpl w:val="EA04640A"/>
    <w:lvl w:ilvl="0" w:tplc="2624865C">
      <w:start w:val="26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8"/>
  </w:num>
  <w:num w:numId="3">
    <w:abstractNumId w:val="2"/>
  </w:num>
  <w:num w:numId="4">
    <w:abstractNumId w:val="7"/>
  </w:num>
  <w:num w:numId="5">
    <w:abstractNumId w:val="14"/>
  </w:num>
  <w:num w:numId="6">
    <w:abstractNumId w:val="20"/>
  </w:num>
  <w:num w:numId="7">
    <w:abstractNumId w:val="1"/>
  </w:num>
  <w:num w:numId="8">
    <w:abstractNumId w:val="19"/>
  </w:num>
  <w:num w:numId="9">
    <w:abstractNumId w:val="11"/>
  </w:num>
  <w:num w:numId="10">
    <w:abstractNumId w:val="0"/>
  </w:num>
  <w:num w:numId="11">
    <w:abstractNumId w:val="3"/>
  </w:num>
  <w:num w:numId="12">
    <w:abstractNumId w:val="4"/>
  </w:num>
  <w:num w:numId="13">
    <w:abstractNumId w:val="15"/>
  </w:num>
  <w:num w:numId="14">
    <w:abstractNumId w:val="6"/>
  </w:num>
  <w:num w:numId="15">
    <w:abstractNumId w:val="10"/>
  </w:num>
  <w:num w:numId="16">
    <w:abstractNumId w:val="9"/>
  </w:num>
  <w:num w:numId="17">
    <w:abstractNumId w:val="12"/>
  </w:num>
  <w:num w:numId="18">
    <w:abstractNumId w:val="16"/>
  </w:num>
  <w:num w:numId="19">
    <w:abstractNumId w:val="13"/>
  </w:num>
  <w:num w:numId="20">
    <w:abstractNumId w:val="5"/>
  </w:num>
  <w:num w:numId="21">
    <w:abstractNumId w:val="8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5128"/>
    <w:rsid w:val="00000EBD"/>
    <w:rsid w:val="0000290B"/>
    <w:rsid w:val="00002921"/>
    <w:rsid w:val="00003C63"/>
    <w:rsid w:val="000040F5"/>
    <w:rsid w:val="00006F02"/>
    <w:rsid w:val="00010822"/>
    <w:rsid w:val="00010C2A"/>
    <w:rsid w:val="000145DA"/>
    <w:rsid w:val="000172DD"/>
    <w:rsid w:val="00017791"/>
    <w:rsid w:val="000213C5"/>
    <w:rsid w:val="0002501A"/>
    <w:rsid w:val="00025561"/>
    <w:rsid w:val="000324E1"/>
    <w:rsid w:val="000331E6"/>
    <w:rsid w:val="000338A2"/>
    <w:rsid w:val="0003793C"/>
    <w:rsid w:val="000422E9"/>
    <w:rsid w:val="00042A09"/>
    <w:rsid w:val="00043393"/>
    <w:rsid w:val="00045A17"/>
    <w:rsid w:val="000470EC"/>
    <w:rsid w:val="000517AC"/>
    <w:rsid w:val="00052495"/>
    <w:rsid w:val="00052E8C"/>
    <w:rsid w:val="000536C7"/>
    <w:rsid w:val="00054859"/>
    <w:rsid w:val="00062334"/>
    <w:rsid w:val="000658BA"/>
    <w:rsid w:val="0007097A"/>
    <w:rsid w:val="00073853"/>
    <w:rsid w:val="000738DF"/>
    <w:rsid w:val="000739AC"/>
    <w:rsid w:val="00075B41"/>
    <w:rsid w:val="00076486"/>
    <w:rsid w:val="00077153"/>
    <w:rsid w:val="00082DB2"/>
    <w:rsid w:val="0008425B"/>
    <w:rsid w:val="00085012"/>
    <w:rsid w:val="00085A3A"/>
    <w:rsid w:val="00086A82"/>
    <w:rsid w:val="000901A3"/>
    <w:rsid w:val="000909CB"/>
    <w:rsid w:val="000909D9"/>
    <w:rsid w:val="00092C39"/>
    <w:rsid w:val="00093CC4"/>
    <w:rsid w:val="00095A95"/>
    <w:rsid w:val="000965D0"/>
    <w:rsid w:val="000A1BBA"/>
    <w:rsid w:val="000A3BBB"/>
    <w:rsid w:val="000A4016"/>
    <w:rsid w:val="000A4ACF"/>
    <w:rsid w:val="000A5AA5"/>
    <w:rsid w:val="000A6FBA"/>
    <w:rsid w:val="000B4629"/>
    <w:rsid w:val="000B6195"/>
    <w:rsid w:val="000B7957"/>
    <w:rsid w:val="000C17C3"/>
    <w:rsid w:val="000C2309"/>
    <w:rsid w:val="000C2D66"/>
    <w:rsid w:val="000C2E5F"/>
    <w:rsid w:val="000C3422"/>
    <w:rsid w:val="000C68B3"/>
    <w:rsid w:val="000D22FF"/>
    <w:rsid w:val="000D479C"/>
    <w:rsid w:val="000D4824"/>
    <w:rsid w:val="000E4B8D"/>
    <w:rsid w:val="000E4D12"/>
    <w:rsid w:val="000E6FA7"/>
    <w:rsid w:val="000F038C"/>
    <w:rsid w:val="000F0A6B"/>
    <w:rsid w:val="000F1306"/>
    <w:rsid w:val="000F27A2"/>
    <w:rsid w:val="000F40C4"/>
    <w:rsid w:val="000F5666"/>
    <w:rsid w:val="000F66C2"/>
    <w:rsid w:val="00102C1A"/>
    <w:rsid w:val="00103B71"/>
    <w:rsid w:val="00104E7E"/>
    <w:rsid w:val="0011133F"/>
    <w:rsid w:val="00112685"/>
    <w:rsid w:val="00113259"/>
    <w:rsid w:val="001139DB"/>
    <w:rsid w:val="001176F5"/>
    <w:rsid w:val="00117C0F"/>
    <w:rsid w:val="00117D1C"/>
    <w:rsid w:val="00120F3A"/>
    <w:rsid w:val="0012205A"/>
    <w:rsid w:val="00126EB9"/>
    <w:rsid w:val="00127D9C"/>
    <w:rsid w:val="001311FD"/>
    <w:rsid w:val="00135187"/>
    <w:rsid w:val="00136273"/>
    <w:rsid w:val="00136A4A"/>
    <w:rsid w:val="0013788A"/>
    <w:rsid w:val="00141691"/>
    <w:rsid w:val="00141832"/>
    <w:rsid w:val="00141AA5"/>
    <w:rsid w:val="00142C26"/>
    <w:rsid w:val="00142DDE"/>
    <w:rsid w:val="001438AC"/>
    <w:rsid w:val="0014486E"/>
    <w:rsid w:val="001466DC"/>
    <w:rsid w:val="00146904"/>
    <w:rsid w:val="00147FB3"/>
    <w:rsid w:val="0015039D"/>
    <w:rsid w:val="00150D3F"/>
    <w:rsid w:val="00151067"/>
    <w:rsid w:val="001533C7"/>
    <w:rsid w:val="00156231"/>
    <w:rsid w:val="0015674B"/>
    <w:rsid w:val="00156885"/>
    <w:rsid w:val="00160AAA"/>
    <w:rsid w:val="001712A8"/>
    <w:rsid w:val="0017267A"/>
    <w:rsid w:val="00172D44"/>
    <w:rsid w:val="0017316C"/>
    <w:rsid w:val="001733C5"/>
    <w:rsid w:val="00175A63"/>
    <w:rsid w:val="0017651F"/>
    <w:rsid w:val="00177051"/>
    <w:rsid w:val="00177BCA"/>
    <w:rsid w:val="00177C59"/>
    <w:rsid w:val="001824D2"/>
    <w:rsid w:val="001838CB"/>
    <w:rsid w:val="001844A9"/>
    <w:rsid w:val="00184E52"/>
    <w:rsid w:val="00192E95"/>
    <w:rsid w:val="00193EE6"/>
    <w:rsid w:val="00194BFD"/>
    <w:rsid w:val="001A14AF"/>
    <w:rsid w:val="001A1C39"/>
    <w:rsid w:val="001A410C"/>
    <w:rsid w:val="001A4151"/>
    <w:rsid w:val="001A4977"/>
    <w:rsid w:val="001A566C"/>
    <w:rsid w:val="001A5F9F"/>
    <w:rsid w:val="001A7CD7"/>
    <w:rsid w:val="001B5156"/>
    <w:rsid w:val="001B5855"/>
    <w:rsid w:val="001C0A6A"/>
    <w:rsid w:val="001C22D3"/>
    <w:rsid w:val="001C6938"/>
    <w:rsid w:val="001D06F0"/>
    <w:rsid w:val="001D181E"/>
    <w:rsid w:val="001D3160"/>
    <w:rsid w:val="001D36C1"/>
    <w:rsid w:val="001D3DCB"/>
    <w:rsid w:val="001D4E8A"/>
    <w:rsid w:val="001D507C"/>
    <w:rsid w:val="001D5F78"/>
    <w:rsid w:val="001D71C2"/>
    <w:rsid w:val="001E03E6"/>
    <w:rsid w:val="001E1815"/>
    <w:rsid w:val="001E27A6"/>
    <w:rsid w:val="001E3EC9"/>
    <w:rsid w:val="001E4714"/>
    <w:rsid w:val="001E6A82"/>
    <w:rsid w:val="001E7DAF"/>
    <w:rsid w:val="001F2588"/>
    <w:rsid w:val="001F338B"/>
    <w:rsid w:val="001F340D"/>
    <w:rsid w:val="001F4E5F"/>
    <w:rsid w:val="00205E14"/>
    <w:rsid w:val="002112DA"/>
    <w:rsid w:val="0021293B"/>
    <w:rsid w:val="002130D8"/>
    <w:rsid w:val="00213707"/>
    <w:rsid w:val="00214198"/>
    <w:rsid w:val="00214924"/>
    <w:rsid w:val="0021533B"/>
    <w:rsid w:val="00215FF9"/>
    <w:rsid w:val="00216E9E"/>
    <w:rsid w:val="0021757D"/>
    <w:rsid w:val="00221F76"/>
    <w:rsid w:val="00223446"/>
    <w:rsid w:val="00225398"/>
    <w:rsid w:val="0023026F"/>
    <w:rsid w:val="002303A4"/>
    <w:rsid w:val="002304B6"/>
    <w:rsid w:val="00232D0A"/>
    <w:rsid w:val="0023562B"/>
    <w:rsid w:val="002361DE"/>
    <w:rsid w:val="002414BC"/>
    <w:rsid w:val="002418D5"/>
    <w:rsid w:val="0024584A"/>
    <w:rsid w:val="00245B3F"/>
    <w:rsid w:val="00246542"/>
    <w:rsid w:val="002513D6"/>
    <w:rsid w:val="00251BF2"/>
    <w:rsid w:val="002531FD"/>
    <w:rsid w:val="00254418"/>
    <w:rsid w:val="0025662A"/>
    <w:rsid w:val="00260C4C"/>
    <w:rsid w:val="00262CD4"/>
    <w:rsid w:val="00262E33"/>
    <w:rsid w:val="00265783"/>
    <w:rsid w:val="00271316"/>
    <w:rsid w:val="002724ED"/>
    <w:rsid w:val="0027298D"/>
    <w:rsid w:val="002761B2"/>
    <w:rsid w:val="00280D5B"/>
    <w:rsid w:val="00283139"/>
    <w:rsid w:val="002842FC"/>
    <w:rsid w:val="002861DB"/>
    <w:rsid w:val="00286A3D"/>
    <w:rsid w:val="00286BF5"/>
    <w:rsid w:val="00286D2A"/>
    <w:rsid w:val="00290A84"/>
    <w:rsid w:val="00290F83"/>
    <w:rsid w:val="00294BAE"/>
    <w:rsid w:val="002977CC"/>
    <w:rsid w:val="002A264B"/>
    <w:rsid w:val="002A597C"/>
    <w:rsid w:val="002A7CDF"/>
    <w:rsid w:val="002B2E36"/>
    <w:rsid w:val="002B4000"/>
    <w:rsid w:val="002B6120"/>
    <w:rsid w:val="002C191C"/>
    <w:rsid w:val="002C341E"/>
    <w:rsid w:val="002C4BC0"/>
    <w:rsid w:val="002C6EEA"/>
    <w:rsid w:val="002D4AEE"/>
    <w:rsid w:val="002D69FB"/>
    <w:rsid w:val="002D79A9"/>
    <w:rsid w:val="002E0DE7"/>
    <w:rsid w:val="002E0E7B"/>
    <w:rsid w:val="002E1647"/>
    <w:rsid w:val="002E31E7"/>
    <w:rsid w:val="002E35FC"/>
    <w:rsid w:val="002F033C"/>
    <w:rsid w:val="002F05C7"/>
    <w:rsid w:val="002F0B54"/>
    <w:rsid w:val="002F102B"/>
    <w:rsid w:val="002F2C69"/>
    <w:rsid w:val="002F3429"/>
    <w:rsid w:val="002F3C09"/>
    <w:rsid w:val="002F5513"/>
    <w:rsid w:val="002F626C"/>
    <w:rsid w:val="002F770F"/>
    <w:rsid w:val="00301031"/>
    <w:rsid w:val="00301AE5"/>
    <w:rsid w:val="00301C73"/>
    <w:rsid w:val="00302B7A"/>
    <w:rsid w:val="00305CB5"/>
    <w:rsid w:val="00307540"/>
    <w:rsid w:val="003147AA"/>
    <w:rsid w:val="00322BB2"/>
    <w:rsid w:val="00330754"/>
    <w:rsid w:val="00331FD6"/>
    <w:rsid w:val="00332136"/>
    <w:rsid w:val="00335C04"/>
    <w:rsid w:val="00340CB1"/>
    <w:rsid w:val="0034119B"/>
    <w:rsid w:val="00342E08"/>
    <w:rsid w:val="003434C5"/>
    <w:rsid w:val="003521EB"/>
    <w:rsid w:val="00352453"/>
    <w:rsid w:val="00352A8C"/>
    <w:rsid w:val="00354B2F"/>
    <w:rsid w:val="00361248"/>
    <w:rsid w:val="00361F64"/>
    <w:rsid w:val="003642CE"/>
    <w:rsid w:val="0036502B"/>
    <w:rsid w:val="00367A6E"/>
    <w:rsid w:val="00370F56"/>
    <w:rsid w:val="003733BA"/>
    <w:rsid w:val="00375AB4"/>
    <w:rsid w:val="003841C4"/>
    <w:rsid w:val="003846B1"/>
    <w:rsid w:val="003911FC"/>
    <w:rsid w:val="00393933"/>
    <w:rsid w:val="003A0F96"/>
    <w:rsid w:val="003A1A88"/>
    <w:rsid w:val="003A2AE6"/>
    <w:rsid w:val="003A4862"/>
    <w:rsid w:val="003A53F5"/>
    <w:rsid w:val="003A5476"/>
    <w:rsid w:val="003A6371"/>
    <w:rsid w:val="003A73CD"/>
    <w:rsid w:val="003B03F8"/>
    <w:rsid w:val="003B1FF2"/>
    <w:rsid w:val="003B2A5D"/>
    <w:rsid w:val="003B591C"/>
    <w:rsid w:val="003B762E"/>
    <w:rsid w:val="003B7C90"/>
    <w:rsid w:val="003C0DE9"/>
    <w:rsid w:val="003C233B"/>
    <w:rsid w:val="003C3FDF"/>
    <w:rsid w:val="003C6B7B"/>
    <w:rsid w:val="003D140B"/>
    <w:rsid w:val="003D2067"/>
    <w:rsid w:val="003D5127"/>
    <w:rsid w:val="003E0FA2"/>
    <w:rsid w:val="003E149A"/>
    <w:rsid w:val="003E1D5F"/>
    <w:rsid w:val="003E25DD"/>
    <w:rsid w:val="003E4261"/>
    <w:rsid w:val="003F28D5"/>
    <w:rsid w:val="003F4C92"/>
    <w:rsid w:val="003F7ADD"/>
    <w:rsid w:val="003F7CF0"/>
    <w:rsid w:val="004007CA"/>
    <w:rsid w:val="00401912"/>
    <w:rsid w:val="00401F9E"/>
    <w:rsid w:val="004027CF"/>
    <w:rsid w:val="00403FF5"/>
    <w:rsid w:val="0040614D"/>
    <w:rsid w:val="00407243"/>
    <w:rsid w:val="004108AD"/>
    <w:rsid w:val="004116DB"/>
    <w:rsid w:val="00411D88"/>
    <w:rsid w:val="00416A0F"/>
    <w:rsid w:val="00420D87"/>
    <w:rsid w:val="004217B8"/>
    <w:rsid w:val="00423AFA"/>
    <w:rsid w:val="00424C34"/>
    <w:rsid w:val="004262D7"/>
    <w:rsid w:val="00430148"/>
    <w:rsid w:val="004313A2"/>
    <w:rsid w:val="004317F0"/>
    <w:rsid w:val="00432AE6"/>
    <w:rsid w:val="004330B3"/>
    <w:rsid w:val="00435C31"/>
    <w:rsid w:val="0043618D"/>
    <w:rsid w:val="00436388"/>
    <w:rsid w:val="004409F5"/>
    <w:rsid w:val="00441D33"/>
    <w:rsid w:val="00442157"/>
    <w:rsid w:val="004430B4"/>
    <w:rsid w:val="00444033"/>
    <w:rsid w:val="00446423"/>
    <w:rsid w:val="0044737A"/>
    <w:rsid w:val="004508CD"/>
    <w:rsid w:val="00452C96"/>
    <w:rsid w:val="0045465E"/>
    <w:rsid w:val="0046024D"/>
    <w:rsid w:val="00460337"/>
    <w:rsid w:val="00460A08"/>
    <w:rsid w:val="0046138C"/>
    <w:rsid w:val="00461D2D"/>
    <w:rsid w:val="00477B62"/>
    <w:rsid w:val="00482064"/>
    <w:rsid w:val="00483A16"/>
    <w:rsid w:val="00484C12"/>
    <w:rsid w:val="00490ED4"/>
    <w:rsid w:val="00491AF0"/>
    <w:rsid w:val="00491C69"/>
    <w:rsid w:val="00494B7D"/>
    <w:rsid w:val="00496A4E"/>
    <w:rsid w:val="00497423"/>
    <w:rsid w:val="004A045E"/>
    <w:rsid w:val="004A085B"/>
    <w:rsid w:val="004A4D80"/>
    <w:rsid w:val="004A591E"/>
    <w:rsid w:val="004A64A5"/>
    <w:rsid w:val="004A6C40"/>
    <w:rsid w:val="004B0930"/>
    <w:rsid w:val="004B0F19"/>
    <w:rsid w:val="004B1B38"/>
    <w:rsid w:val="004B2651"/>
    <w:rsid w:val="004B3FDA"/>
    <w:rsid w:val="004B4940"/>
    <w:rsid w:val="004B599A"/>
    <w:rsid w:val="004B69E1"/>
    <w:rsid w:val="004C0B85"/>
    <w:rsid w:val="004C0D06"/>
    <w:rsid w:val="004C154B"/>
    <w:rsid w:val="004C1C27"/>
    <w:rsid w:val="004C540D"/>
    <w:rsid w:val="004C587E"/>
    <w:rsid w:val="004D1815"/>
    <w:rsid w:val="004D25F3"/>
    <w:rsid w:val="004D3B14"/>
    <w:rsid w:val="004D3B4A"/>
    <w:rsid w:val="004D5DDF"/>
    <w:rsid w:val="004E0168"/>
    <w:rsid w:val="004E0BAA"/>
    <w:rsid w:val="004E0C8C"/>
    <w:rsid w:val="004E78D9"/>
    <w:rsid w:val="004E7FC9"/>
    <w:rsid w:val="004F1F45"/>
    <w:rsid w:val="004F3DD3"/>
    <w:rsid w:val="004F4888"/>
    <w:rsid w:val="00500B7D"/>
    <w:rsid w:val="005025D0"/>
    <w:rsid w:val="00503C90"/>
    <w:rsid w:val="0050604B"/>
    <w:rsid w:val="00506495"/>
    <w:rsid w:val="00506E0F"/>
    <w:rsid w:val="00507B8B"/>
    <w:rsid w:val="00507CB4"/>
    <w:rsid w:val="005131C0"/>
    <w:rsid w:val="005138B1"/>
    <w:rsid w:val="00515879"/>
    <w:rsid w:val="0052163F"/>
    <w:rsid w:val="00522617"/>
    <w:rsid w:val="00524A7B"/>
    <w:rsid w:val="00530F38"/>
    <w:rsid w:val="00532C90"/>
    <w:rsid w:val="00540718"/>
    <w:rsid w:val="00541789"/>
    <w:rsid w:val="005418B8"/>
    <w:rsid w:val="00542006"/>
    <w:rsid w:val="005422A4"/>
    <w:rsid w:val="0054259E"/>
    <w:rsid w:val="005450B9"/>
    <w:rsid w:val="00545B77"/>
    <w:rsid w:val="00546BD3"/>
    <w:rsid w:val="0054744A"/>
    <w:rsid w:val="0054786F"/>
    <w:rsid w:val="005518DD"/>
    <w:rsid w:val="00551DB6"/>
    <w:rsid w:val="00553AFB"/>
    <w:rsid w:val="00564B72"/>
    <w:rsid w:val="00565ABC"/>
    <w:rsid w:val="00566389"/>
    <w:rsid w:val="00567765"/>
    <w:rsid w:val="00572F37"/>
    <w:rsid w:val="0057382A"/>
    <w:rsid w:val="00574527"/>
    <w:rsid w:val="0057480F"/>
    <w:rsid w:val="0058479C"/>
    <w:rsid w:val="00586CC4"/>
    <w:rsid w:val="00592616"/>
    <w:rsid w:val="00592B74"/>
    <w:rsid w:val="00594529"/>
    <w:rsid w:val="005A19FF"/>
    <w:rsid w:val="005A2556"/>
    <w:rsid w:val="005A25EA"/>
    <w:rsid w:val="005A38F9"/>
    <w:rsid w:val="005A5552"/>
    <w:rsid w:val="005A76F0"/>
    <w:rsid w:val="005A7FDD"/>
    <w:rsid w:val="005B316E"/>
    <w:rsid w:val="005B4970"/>
    <w:rsid w:val="005B508D"/>
    <w:rsid w:val="005C36BA"/>
    <w:rsid w:val="005C50FC"/>
    <w:rsid w:val="005C6657"/>
    <w:rsid w:val="005D25E4"/>
    <w:rsid w:val="005D2724"/>
    <w:rsid w:val="005D2A89"/>
    <w:rsid w:val="005D330E"/>
    <w:rsid w:val="005D4842"/>
    <w:rsid w:val="005D614C"/>
    <w:rsid w:val="005E020D"/>
    <w:rsid w:val="005E09B4"/>
    <w:rsid w:val="005E0DD6"/>
    <w:rsid w:val="005E3ACC"/>
    <w:rsid w:val="005E4178"/>
    <w:rsid w:val="005E7AC3"/>
    <w:rsid w:val="005F2BC8"/>
    <w:rsid w:val="005F33C6"/>
    <w:rsid w:val="005F3E00"/>
    <w:rsid w:val="005F54A3"/>
    <w:rsid w:val="005F5D4F"/>
    <w:rsid w:val="005F6E8B"/>
    <w:rsid w:val="005F7FDE"/>
    <w:rsid w:val="00600330"/>
    <w:rsid w:val="00600F2D"/>
    <w:rsid w:val="00601475"/>
    <w:rsid w:val="0060236A"/>
    <w:rsid w:val="00603EFB"/>
    <w:rsid w:val="00605372"/>
    <w:rsid w:val="006063E8"/>
    <w:rsid w:val="006069D3"/>
    <w:rsid w:val="0060790D"/>
    <w:rsid w:val="00611027"/>
    <w:rsid w:val="00614BE8"/>
    <w:rsid w:val="006201DD"/>
    <w:rsid w:val="00620E09"/>
    <w:rsid w:val="006261D1"/>
    <w:rsid w:val="00627A69"/>
    <w:rsid w:val="00627B6C"/>
    <w:rsid w:val="00630386"/>
    <w:rsid w:val="0063280C"/>
    <w:rsid w:val="00632FB0"/>
    <w:rsid w:val="006339DC"/>
    <w:rsid w:val="00641554"/>
    <w:rsid w:val="0064204F"/>
    <w:rsid w:val="00642387"/>
    <w:rsid w:val="00644449"/>
    <w:rsid w:val="00644D8E"/>
    <w:rsid w:val="0064520D"/>
    <w:rsid w:val="006470D0"/>
    <w:rsid w:val="006472FC"/>
    <w:rsid w:val="00647862"/>
    <w:rsid w:val="006510AA"/>
    <w:rsid w:val="00651689"/>
    <w:rsid w:val="006575EA"/>
    <w:rsid w:val="0066152D"/>
    <w:rsid w:val="00662BF4"/>
    <w:rsid w:val="00662C25"/>
    <w:rsid w:val="0066346C"/>
    <w:rsid w:val="0066618F"/>
    <w:rsid w:val="00670163"/>
    <w:rsid w:val="00671BB4"/>
    <w:rsid w:val="00674FDB"/>
    <w:rsid w:val="006750FE"/>
    <w:rsid w:val="00676CB7"/>
    <w:rsid w:val="00676D74"/>
    <w:rsid w:val="0068537D"/>
    <w:rsid w:val="00694931"/>
    <w:rsid w:val="006957CC"/>
    <w:rsid w:val="00697F7C"/>
    <w:rsid w:val="006A3C75"/>
    <w:rsid w:val="006A737C"/>
    <w:rsid w:val="006B2D3C"/>
    <w:rsid w:val="006B3E8C"/>
    <w:rsid w:val="006B4F3F"/>
    <w:rsid w:val="006B74EA"/>
    <w:rsid w:val="006C0296"/>
    <w:rsid w:val="006C0F4D"/>
    <w:rsid w:val="006C27AA"/>
    <w:rsid w:val="006C3FDF"/>
    <w:rsid w:val="006C7E90"/>
    <w:rsid w:val="006D36EA"/>
    <w:rsid w:val="006D3989"/>
    <w:rsid w:val="006D3C83"/>
    <w:rsid w:val="006D3D0B"/>
    <w:rsid w:val="006D4AE5"/>
    <w:rsid w:val="006D614E"/>
    <w:rsid w:val="006D7585"/>
    <w:rsid w:val="006E26E5"/>
    <w:rsid w:val="006E36A2"/>
    <w:rsid w:val="006E47C3"/>
    <w:rsid w:val="006E4804"/>
    <w:rsid w:val="006E554A"/>
    <w:rsid w:val="006E6B24"/>
    <w:rsid w:val="006E7A01"/>
    <w:rsid w:val="006F056A"/>
    <w:rsid w:val="006F28DA"/>
    <w:rsid w:val="006F5D26"/>
    <w:rsid w:val="007019A7"/>
    <w:rsid w:val="00701F03"/>
    <w:rsid w:val="00702F0E"/>
    <w:rsid w:val="00703344"/>
    <w:rsid w:val="00703A86"/>
    <w:rsid w:val="00703D6F"/>
    <w:rsid w:val="00705108"/>
    <w:rsid w:val="00714597"/>
    <w:rsid w:val="00717960"/>
    <w:rsid w:val="0072695D"/>
    <w:rsid w:val="00726991"/>
    <w:rsid w:val="00726DDA"/>
    <w:rsid w:val="0073065F"/>
    <w:rsid w:val="007336EE"/>
    <w:rsid w:val="00741092"/>
    <w:rsid w:val="00742680"/>
    <w:rsid w:val="007432E7"/>
    <w:rsid w:val="007434A2"/>
    <w:rsid w:val="00744DA2"/>
    <w:rsid w:val="00746C9E"/>
    <w:rsid w:val="00746F6B"/>
    <w:rsid w:val="0074700A"/>
    <w:rsid w:val="00750259"/>
    <w:rsid w:val="00750629"/>
    <w:rsid w:val="007508D8"/>
    <w:rsid w:val="0075139D"/>
    <w:rsid w:val="00756D0D"/>
    <w:rsid w:val="0075768F"/>
    <w:rsid w:val="0076129D"/>
    <w:rsid w:val="007616D8"/>
    <w:rsid w:val="00761D76"/>
    <w:rsid w:val="00761E3B"/>
    <w:rsid w:val="007658EA"/>
    <w:rsid w:val="00765D27"/>
    <w:rsid w:val="00770628"/>
    <w:rsid w:val="0077399F"/>
    <w:rsid w:val="00775D22"/>
    <w:rsid w:val="007760BC"/>
    <w:rsid w:val="00777324"/>
    <w:rsid w:val="00781875"/>
    <w:rsid w:val="00783CA6"/>
    <w:rsid w:val="00784C2B"/>
    <w:rsid w:val="007859A6"/>
    <w:rsid w:val="0078754C"/>
    <w:rsid w:val="007902B7"/>
    <w:rsid w:val="007903B8"/>
    <w:rsid w:val="00791685"/>
    <w:rsid w:val="0079191F"/>
    <w:rsid w:val="00793FFB"/>
    <w:rsid w:val="007A005F"/>
    <w:rsid w:val="007A1781"/>
    <w:rsid w:val="007A1E20"/>
    <w:rsid w:val="007A491D"/>
    <w:rsid w:val="007A65CE"/>
    <w:rsid w:val="007B2031"/>
    <w:rsid w:val="007B2E7A"/>
    <w:rsid w:val="007B314C"/>
    <w:rsid w:val="007B3A69"/>
    <w:rsid w:val="007C00E6"/>
    <w:rsid w:val="007C00FF"/>
    <w:rsid w:val="007C3B50"/>
    <w:rsid w:val="007C622B"/>
    <w:rsid w:val="007D1DA9"/>
    <w:rsid w:val="007D3E38"/>
    <w:rsid w:val="007D6502"/>
    <w:rsid w:val="007D7B37"/>
    <w:rsid w:val="007E04F1"/>
    <w:rsid w:val="007E47FA"/>
    <w:rsid w:val="007E4E9F"/>
    <w:rsid w:val="007E594B"/>
    <w:rsid w:val="007F0C3F"/>
    <w:rsid w:val="007F232A"/>
    <w:rsid w:val="007F4606"/>
    <w:rsid w:val="007F6CF4"/>
    <w:rsid w:val="0080190B"/>
    <w:rsid w:val="00803D2C"/>
    <w:rsid w:val="00804AFA"/>
    <w:rsid w:val="00805075"/>
    <w:rsid w:val="0080548E"/>
    <w:rsid w:val="00805AB5"/>
    <w:rsid w:val="00806CE9"/>
    <w:rsid w:val="00806EE2"/>
    <w:rsid w:val="00814DEC"/>
    <w:rsid w:val="00815894"/>
    <w:rsid w:val="00815A32"/>
    <w:rsid w:val="00816C5F"/>
    <w:rsid w:val="00820E5F"/>
    <w:rsid w:val="008217D9"/>
    <w:rsid w:val="00823710"/>
    <w:rsid w:val="00825B18"/>
    <w:rsid w:val="0082704D"/>
    <w:rsid w:val="0083201C"/>
    <w:rsid w:val="008323FB"/>
    <w:rsid w:val="00833D0C"/>
    <w:rsid w:val="0083467A"/>
    <w:rsid w:val="00835222"/>
    <w:rsid w:val="0083770B"/>
    <w:rsid w:val="00837B46"/>
    <w:rsid w:val="00844CD6"/>
    <w:rsid w:val="00847A29"/>
    <w:rsid w:val="0085196C"/>
    <w:rsid w:val="008530DC"/>
    <w:rsid w:val="008543BA"/>
    <w:rsid w:val="00854DEA"/>
    <w:rsid w:val="0085539F"/>
    <w:rsid w:val="00857145"/>
    <w:rsid w:val="00857559"/>
    <w:rsid w:val="008614CA"/>
    <w:rsid w:val="00861749"/>
    <w:rsid w:val="008648B4"/>
    <w:rsid w:val="00864CBA"/>
    <w:rsid w:val="008669C1"/>
    <w:rsid w:val="00866C3B"/>
    <w:rsid w:val="00870FD1"/>
    <w:rsid w:val="00871463"/>
    <w:rsid w:val="00871D6F"/>
    <w:rsid w:val="00874443"/>
    <w:rsid w:val="0087477C"/>
    <w:rsid w:val="00875528"/>
    <w:rsid w:val="008776CF"/>
    <w:rsid w:val="00887301"/>
    <w:rsid w:val="00887683"/>
    <w:rsid w:val="00887C84"/>
    <w:rsid w:val="008925D9"/>
    <w:rsid w:val="00893756"/>
    <w:rsid w:val="0089652C"/>
    <w:rsid w:val="00896DD3"/>
    <w:rsid w:val="008A0EA1"/>
    <w:rsid w:val="008A15AB"/>
    <w:rsid w:val="008A22AF"/>
    <w:rsid w:val="008A2D79"/>
    <w:rsid w:val="008A4A75"/>
    <w:rsid w:val="008A4F86"/>
    <w:rsid w:val="008A5C84"/>
    <w:rsid w:val="008A6D28"/>
    <w:rsid w:val="008A7135"/>
    <w:rsid w:val="008A724F"/>
    <w:rsid w:val="008B1245"/>
    <w:rsid w:val="008B1B50"/>
    <w:rsid w:val="008B206F"/>
    <w:rsid w:val="008B439F"/>
    <w:rsid w:val="008B6694"/>
    <w:rsid w:val="008C7812"/>
    <w:rsid w:val="008D0944"/>
    <w:rsid w:val="008D210B"/>
    <w:rsid w:val="008D2F11"/>
    <w:rsid w:val="008D347E"/>
    <w:rsid w:val="008D48E9"/>
    <w:rsid w:val="008D4A2B"/>
    <w:rsid w:val="008D4EAD"/>
    <w:rsid w:val="008D5C0A"/>
    <w:rsid w:val="008D6361"/>
    <w:rsid w:val="008D7145"/>
    <w:rsid w:val="008D763E"/>
    <w:rsid w:val="008E04AE"/>
    <w:rsid w:val="008E0CC3"/>
    <w:rsid w:val="008E11DA"/>
    <w:rsid w:val="008E3DB7"/>
    <w:rsid w:val="008E68A4"/>
    <w:rsid w:val="008E7463"/>
    <w:rsid w:val="008F0030"/>
    <w:rsid w:val="008F49A3"/>
    <w:rsid w:val="00900696"/>
    <w:rsid w:val="0090078A"/>
    <w:rsid w:val="009068AD"/>
    <w:rsid w:val="009104EE"/>
    <w:rsid w:val="00913B04"/>
    <w:rsid w:val="009145D4"/>
    <w:rsid w:val="00915C15"/>
    <w:rsid w:val="00916A1E"/>
    <w:rsid w:val="009226CD"/>
    <w:rsid w:val="00923139"/>
    <w:rsid w:val="00923813"/>
    <w:rsid w:val="00924C6B"/>
    <w:rsid w:val="00931E37"/>
    <w:rsid w:val="00932CFB"/>
    <w:rsid w:val="00940D06"/>
    <w:rsid w:val="009441EB"/>
    <w:rsid w:val="00944984"/>
    <w:rsid w:val="009458E0"/>
    <w:rsid w:val="0095003F"/>
    <w:rsid w:val="00951A64"/>
    <w:rsid w:val="00953F9F"/>
    <w:rsid w:val="00954399"/>
    <w:rsid w:val="00966BB7"/>
    <w:rsid w:val="00972988"/>
    <w:rsid w:val="00973324"/>
    <w:rsid w:val="009738C3"/>
    <w:rsid w:val="00973EF0"/>
    <w:rsid w:val="009743BF"/>
    <w:rsid w:val="009748D7"/>
    <w:rsid w:val="00977B3B"/>
    <w:rsid w:val="0098136C"/>
    <w:rsid w:val="00981A10"/>
    <w:rsid w:val="00983902"/>
    <w:rsid w:val="0098537D"/>
    <w:rsid w:val="00985D23"/>
    <w:rsid w:val="00985E69"/>
    <w:rsid w:val="0098647C"/>
    <w:rsid w:val="009904D9"/>
    <w:rsid w:val="00990957"/>
    <w:rsid w:val="00991C72"/>
    <w:rsid w:val="00994D41"/>
    <w:rsid w:val="00996285"/>
    <w:rsid w:val="009A024D"/>
    <w:rsid w:val="009A1CEB"/>
    <w:rsid w:val="009A57FC"/>
    <w:rsid w:val="009A7168"/>
    <w:rsid w:val="009B46BC"/>
    <w:rsid w:val="009B56FC"/>
    <w:rsid w:val="009B60B7"/>
    <w:rsid w:val="009B7215"/>
    <w:rsid w:val="009B7785"/>
    <w:rsid w:val="009C33CC"/>
    <w:rsid w:val="009C58B3"/>
    <w:rsid w:val="009D02E9"/>
    <w:rsid w:val="009D0700"/>
    <w:rsid w:val="009D2ECF"/>
    <w:rsid w:val="009D4A64"/>
    <w:rsid w:val="009D4B49"/>
    <w:rsid w:val="009D56BB"/>
    <w:rsid w:val="009E1555"/>
    <w:rsid w:val="009E16EA"/>
    <w:rsid w:val="009E1AB6"/>
    <w:rsid w:val="009E5E66"/>
    <w:rsid w:val="009E661D"/>
    <w:rsid w:val="009E669F"/>
    <w:rsid w:val="009E736D"/>
    <w:rsid w:val="009F075D"/>
    <w:rsid w:val="009F1BBA"/>
    <w:rsid w:val="009F2D9A"/>
    <w:rsid w:val="009F614A"/>
    <w:rsid w:val="009F6927"/>
    <w:rsid w:val="00A0137D"/>
    <w:rsid w:val="00A02942"/>
    <w:rsid w:val="00A0389B"/>
    <w:rsid w:val="00A04D47"/>
    <w:rsid w:val="00A05FBA"/>
    <w:rsid w:val="00A07873"/>
    <w:rsid w:val="00A13E99"/>
    <w:rsid w:val="00A2012A"/>
    <w:rsid w:val="00A20D49"/>
    <w:rsid w:val="00A20DD0"/>
    <w:rsid w:val="00A21B29"/>
    <w:rsid w:val="00A2269B"/>
    <w:rsid w:val="00A25722"/>
    <w:rsid w:val="00A26359"/>
    <w:rsid w:val="00A26C17"/>
    <w:rsid w:val="00A26F9A"/>
    <w:rsid w:val="00A31DFF"/>
    <w:rsid w:val="00A33B73"/>
    <w:rsid w:val="00A355CC"/>
    <w:rsid w:val="00A41EC6"/>
    <w:rsid w:val="00A443B1"/>
    <w:rsid w:val="00A52311"/>
    <w:rsid w:val="00A5391E"/>
    <w:rsid w:val="00A53C72"/>
    <w:rsid w:val="00A542A8"/>
    <w:rsid w:val="00A55570"/>
    <w:rsid w:val="00A5618F"/>
    <w:rsid w:val="00A57744"/>
    <w:rsid w:val="00A61A00"/>
    <w:rsid w:val="00A61B19"/>
    <w:rsid w:val="00A61FB3"/>
    <w:rsid w:val="00A639F4"/>
    <w:rsid w:val="00A6527B"/>
    <w:rsid w:val="00A70B8E"/>
    <w:rsid w:val="00A7144F"/>
    <w:rsid w:val="00A72805"/>
    <w:rsid w:val="00A73577"/>
    <w:rsid w:val="00A7672A"/>
    <w:rsid w:val="00A76984"/>
    <w:rsid w:val="00A77411"/>
    <w:rsid w:val="00A777E1"/>
    <w:rsid w:val="00A8108C"/>
    <w:rsid w:val="00A8551E"/>
    <w:rsid w:val="00A86EC1"/>
    <w:rsid w:val="00A9048F"/>
    <w:rsid w:val="00A91E48"/>
    <w:rsid w:val="00A94356"/>
    <w:rsid w:val="00A947C7"/>
    <w:rsid w:val="00A94FFF"/>
    <w:rsid w:val="00A95312"/>
    <w:rsid w:val="00AA0675"/>
    <w:rsid w:val="00AA2AAB"/>
    <w:rsid w:val="00AA51D1"/>
    <w:rsid w:val="00AA5D23"/>
    <w:rsid w:val="00AB1998"/>
    <w:rsid w:val="00AB3FDB"/>
    <w:rsid w:val="00AB572C"/>
    <w:rsid w:val="00AB58B6"/>
    <w:rsid w:val="00AB59E8"/>
    <w:rsid w:val="00AB6B04"/>
    <w:rsid w:val="00AC12B2"/>
    <w:rsid w:val="00AC63EC"/>
    <w:rsid w:val="00AD26D8"/>
    <w:rsid w:val="00AD43BD"/>
    <w:rsid w:val="00AD4FCA"/>
    <w:rsid w:val="00AD6758"/>
    <w:rsid w:val="00AD7880"/>
    <w:rsid w:val="00AE0C13"/>
    <w:rsid w:val="00AE1AED"/>
    <w:rsid w:val="00AE2161"/>
    <w:rsid w:val="00AE4AC7"/>
    <w:rsid w:val="00AE5250"/>
    <w:rsid w:val="00AF2328"/>
    <w:rsid w:val="00AF29D2"/>
    <w:rsid w:val="00AF3764"/>
    <w:rsid w:val="00B03577"/>
    <w:rsid w:val="00B0368E"/>
    <w:rsid w:val="00B107AB"/>
    <w:rsid w:val="00B12204"/>
    <w:rsid w:val="00B12629"/>
    <w:rsid w:val="00B12719"/>
    <w:rsid w:val="00B12F56"/>
    <w:rsid w:val="00B146E6"/>
    <w:rsid w:val="00B23688"/>
    <w:rsid w:val="00B24BBD"/>
    <w:rsid w:val="00B31FC9"/>
    <w:rsid w:val="00B32B73"/>
    <w:rsid w:val="00B331B6"/>
    <w:rsid w:val="00B336C8"/>
    <w:rsid w:val="00B345EE"/>
    <w:rsid w:val="00B36A47"/>
    <w:rsid w:val="00B37382"/>
    <w:rsid w:val="00B4042E"/>
    <w:rsid w:val="00B41461"/>
    <w:rsid w:val="00B417AF"/>
    <w:rsid w:val="00B433AF"/>
    <w:rsid w:val="00B50225"/>
    <w:rsid w:val="00B55A09"/>
    <w:rsid w:val="00B55B0A"/>
    <w:rsid w:val="00B564FF"/>
    <w:rsid w:val="00B56595"/>
    <w:rsid w:val="00B56CBE"/>
    <w:rsid w:val="00B6076C"/>
    <w:rsid w:val="00B62963"/>
    <w:rsid w:val="00B67573"/>
    <w:rsid w:val="00B71C86"/>
    <w:rsid w:val="00B720C9"/>
    <w:rsid w:val="00B723D4"/>
    <w:rsid w:val="00B72DCB"/>
    <w:rsid w:val="00B765D9"/>
    <w:rsid w:val="00B77494"/>
    <w:rsid w:val="00B80383"/>
    <w:rsid w:val="00B825EB"/>
    <w:rsid w:val="00B84860"/>
    <w:rsid w:val="00B848A8"/>
    <w:rsid w:val="00B84C60"/>
    <w:rsid w:val="00B866AF"/>
    <w:rsid w:val="00B914CA"/>
    <w:rsid w:val="00B92588"/>
    <w:rsid w:val="00B92CE0"/>
    <w:rsid w:val="00B938DE"/>
    <w:rsid w:val="00B93AAD"/>
    <w:rsid w:val="00B94837"/>
    <w:rsid w:val="00B965BE"/>
    <w:rsid w:val="00B96BFB"/>
    <w:rsid w:val="00BA11AF"/>
    <w:rsid w:val="00BA195F"/>
    <w:rsid w:val="00BA2537"/>
    <w:rsid w:val="00BA3FB7"/>
    <w:rsid w:val="00BA4957"/>
    <w:rsid w:val="00BB0327"/>
    <w:rsid w:val="00BB218F"/>
    <w:rsid w:val="00BB2336"/>
    <w:rsid w:val="00BC09C5"/>
    <w:rsid w:val="00BC0C8D"/>
    <w:rsid w:val="00BC6157"/>
    <w:rsid w:val="00BC631F"/>
    <w:rsid w:val="00BD04D9"/>
    <w:rsid w:val="00BD5EE7"/>
    <w:rsid w:val="00BD7181"/>
    <w:rsid w:val="00BE075E"/>
    <w:rsid w:val="00BE0A27"/>
    <w:rsid w:val="00BE5FAF"/>
    <w:rsid w:val="00BF1727"/>
    <w:rsid w:val="00BF255E"/>
    <w:rsid w:val="00BF425D"/>
    <w:rsid w:val="00BF4BD8"/>
    <w:rsid w:val="00BF54D0"/>
    <w:rsid w:val="00BF5CA9"/>
    <w:rsid w:val="00C0257D"/>
    <w:rsid w:val="00C0287E"/>
    <w:rsid w:val="00C02C96"/>
    <w:rsid w:val="00C03840"/>
    <w:rsid w:val="00C03B46"/>
    <w:rsid w:val="00C0443B"/>
    <w:rsid w:val="00C12F2A"/>
    <w:rsid w:val="00C13216"/>
    <w:rsid w:val="00C14925"/>
    <w:rsid w:val="00C22B63"/>
    <w:rsid w:val="00C22C68"/>
    <w:rsid w:val="00C235CB"/>
    <w:rsid w:val="00C2402A"/>
    <w:rsid w:val="00C24338"/>
    <w:rsid w:val="00C24B6B"/>
    <w:rsid w:val="00C262B3"/>
    <w:rsid w:val="00C32E9B"/>
    <w:rsid w:val="00C3571D"/>
    <w:rsid w:val="00C42031"/>
    <w:rsid w:val="00C43092"/>
    <w:rsid w:val="00C430B3"/>
    <w:rsid w:val="00C43A59"/>
    <w:rsid w:val="00C43B83"/>
    <w:rsid w:val="00C44120"/>
    <w:rsid w:val="00C4486C"/>
    <w:rsid w:val="00C459DC"/>
    <w:rsid w:val="00C460D7"/>
    <w:rsid w:val="00C462F1"/>
    <w:rsid w:val="00C46DA9"/>
    <w:rsid w:val="00C47E49"/>
    <w:rsid w:val="00C520AC"/>
    <w:rsid w:val="00C55C56"/>
    <w:rsid w:val="00C56D14"/>
    <w:rsid w:val="00C57290"/>
    <w:rsid w:val="00C575CA"/>
    <w:rsid w:val="00C60BFD"/>
    <w:rsid w:val="00C672BA"/>
    <w:rsid w:val="00C712A3"/>
    <w:rsid w:val="00C7293F"/>
    <w:rsid w:val="00C72986"/>
    <w:rsid w:val="00C730D3"/>
    <w:rsid w:val="00C74505"/>
    <w:rsid w:val="00C74D09"/>
    <w:rsid w:val="00C76D6A"/>
    <w:rsid w:val="00C83FF3"/>
    <w:rsid w:val="00C854EE"/>
    <w:rsid w:val="00C854FD"/>
    <w:rsid w:val="00C862E6"/>
    <w:rsid w:val="00C8696B"/>
    <w:rsid w:val="00C9243F"/>
    <w:rsid w:val="00C93259"/>
    <w:rsid w:val="00C94614"/>
    <w:rsid w:val="00C94FB8"/>
    <w:rsid w:val="00CA0147"/>
    <w:rsid w:val="00CA1CFF"/>
    <w:rsid w:val="00CA277B"/>
    <w:rsid w:val="00CA3116"/>
    <w:rsid w:val="00CA441D"/>
    <w:rsid w:val="00CA79CF"/>
    <w:rsid w:val="00CB000E"/>
    <w:rsid w:val="00CB0226"/>
    <w:rsid w:val="00CB0CD3"/>
    <w:rsid w:val="00CB18D7"/>
    <w:rsid w:val="00CB3140"/>
    <w:rsid w:val="00CB6A54"/>
    <w:rsid w:val="00CC153E"/>
    <w:rsid w:val="00CC3798"/>
    <w:rsid w:val="00CC3F89"/>
    <w:rsid w:val="00CC5CD1"/>
    <w:rsid w:val="00CD0B6A"/>
    <w:rsid w:val="00CD1F43"/>
    <w:rsid w:val="00CD2EFC"/>
    <w:rsid w:val="00CD302E"/>
    <w:rsid w:val="00CD3873"/>
    <w:rsid w:val="00CD3A8A"/>
    <w:rsid w:val="00CD4F6B"/>
    <w:rsid w:val="00CD6833"/>
    <w:rsid w:val="00CD6CD2"/>
    <w:rsid w:val="00CD7358"/>
    <w:rsid w:val="00CE44AF"/>
    <w:rsid w:val="00CE612B"/>
    <w:rsid w:val="00CF02A0"/>
    <w:rsid w:val="00CF02B5"/>
    <w:rsid w:val="00CF2329"/>
    <w:rsid w:val="00CF2FC7"/>
    <w:rsid w:val="00CF414F"/>
    <w:rsid w:val="00CF755C"/>
    <w:rsid w:val="00CF7C4C"/>
    <w:rsid w:val="00D00810"/>
    <w:rsid w:val="00D02B99"/>
    <w:rsid w:val="00D04670"/>
    <w:rsid w:val="00D04D91"/>
    <w:rsid w:val="00D1180C"/>
    <w:rsid w:val="00D13BF7"/>
    <w:rsid w:val="00D1786B"/>
    <w:rsid w:val="00D21626"/>
    <w:rsid w:val="00D228BA"/>
    <w:rsid w:val="00D22D0F"/>
    <w:rsid w:val="00D247C0"/>
    <w:rsid w:val="00D24870"/>
    <w:rsid w:val="00D2523F"/>
    <w:rsid w:val="00D279E6"/>
    <w:rsid w:val="00D31DEF"/>
    <w:rsid w:val="00D3260D"/>
    <w:rsid w:val="00D34932"/>
    <w:rsid w:val="00D34B3E"/>
    <w:rsid w:val="00D37FCF"/>
    <w:rsid w:val="00D422DB"/>
    <w:rsid w:val="00D4302D"/>
    <w:rsid w:val="00D4557E"/>
    <w:rsid w:val="00D4583E"/>
    <w:rsid w:val="00D4614E"/>
    <w:rsid w:val="00D51F9E"/>
    <w:rsid w:val="00D529F9"/>
    <w:rsid w:val="00D54563"/>
    <w:rsid w:val="00D551EB"/>
    <w:rsid w:val="00D566E2"/>
    <w:rsid w:val="00D56B52"/>
    <w:rsid w:val="00D57044"/>
    <w:rsid w:val="00D572A9"/>
    <w:rsid w:val="00D60439"/>
    <w:rsid w:val="00D66184"/>
    <w:rsid w:val="00D70736"/>
    <w:rsid w:val="00D70C7D"/>
    <w:rsid w:val="00D72087"/>
    <w:rsid w:val="00D74289"/>
    <w:rsid w:val="00D75116"/>
    <w:rsid w:val="00D75C9B"/>
    <w:rsid w:val="00D81072"/>
    <w:rsid w:val="00D85454"/>
    <w:rsid w:val="00D85970"/>
    <w:rsid w:val="00D8645F"/>
    <w:rsid w:val="00D8731B"/>
    <w:rsid w:val="00D90AF1"/>
    <w:rsid w:val="00D91A08"/>
    <w:rsid w:val="00D91BEC"/>
    <w:rsid w:val="00D922AE"/>
    <w:rsid w:val="00D93025"/>
    <w:rsid w:val="00D933FB"/>
    <w:rsid w:val="00D9677E"/>
    <w:rsid w:val="00DA0D3E"/>
    <w:rsid w:val="00DA1B0B"/>
    <w:rsid w:val="00DA2806"/>
    <w:rsid w:val="00DA69AE"/>
    <w:rsid w:val="00DA6F92"/>
    <w:rsid w:val="00DB1FDB"/>
    <w:rsid w:val="00DB2B7B"/>
    <w:rsid w:val="00DB4BB7"/>
    <w:rsid w:val="00DB582F"/>
    <w:rsid w:val="00DC03DD"/>
    <w:rsid w:val="00DC2A64"/>
    <w:rsid w:val="00DC321C"/>
    <w:rsid w:val="00DC68C3"/>
    <w:rsid w:val="00DD18B4"/>
    <w:rsid w:val="00DD1CC9"/>
    <w:rsid w:val="00DD23C0"/>
    <w:rsid w:val="00DD5774"/>
    <w:rsid w:val="00DE16DE"/>
    <w:rsid w:val="00DE1D1A"/>
    <w:rsid w:val="00DE328B"/>
    <w:rsid w:val="00DE358C"/>
    <w:rsid w:val="00DE5898"/>
    <w:rsid w:val="00DE6C42"/>
    <w:rsid w:val="00DF04B4"/>
    <w:rsid w:val="00E02FF0"/>
    <w:rsid w:val="00E03B57"/>
    <w:rsid w:val="00E05F83"/>
    <w:rsid w:val="00E10B8A"/>
    <w:rsid w:val="00E1390D"/>
    <w:rsid w:val="00E1728C"/>
    <w:rsid w:val="00E22AD2"/>
    <w:rsid w:val="00E231BA"/>
    <w:rsid w:val="00E23359"/>
    <w:rsid w:val="00E26CB0"/>
    <w:rsid w:val="00E2794A"/>
    <w:rsid w:val="00E33387"/>
    <w:rsid w:val="00E34872"/>
    <w:rsid w:val="00E34DCA"/>
    <w:rsid w:val="00E34E5E"/>
    <w:rsid w:val="00E3652A"/>
    <w:rsid w:val="00E37312"/>
    <w:rsid w:val="00E37C2C"/>
    <w:rsid w:val="00E41FA2"/>
    <w:rsid w:val="00E44B03"/>
    <w:rsid w:val="00E45084"/>
    <w:rsid w:val="00E45765"/>
    <w:rsid w:val="00E45B32"/>
    <w:rsid w:val="00E45D99"/>
    <w:rsid w:val="00E4668F"/>
    <w:rsid w:val="00E46C27"/>
    <w:rsid w:val="00E46CF1"/>
    <w:rsid w:val="00E5113F"/>
    <w:rsid w:val="00E52FC0"/>
    <w:rsid w:val="00E5385A"/>
    <w:rsid w:val="00E56466"/>
    <w:rsid w:val="00E5726F"/>
    <w:rsid w:val="00E608DB"/>
    <w:rsid w:val="00E6166E"/>
    <w:rsid w:val="00E62183"/>
    <w:rsid w:val="00E626B1"/>
    <w:rsid w:val="00E627BF"/>
    <w:rsid w:val="00E641A8"/>
    <w:rsid w:val="00E64317"/>
    <w:rsid w:val="00E64E45"/>
    <w:rsid w:val="00E677EF"/>
    <w:rsid w:val="00E7104D"/>
    <w:rsid w:val="00E718F5"/>
    <w:rsid w:val="00E72295"/>
    <w:rsid w:val="00E72C65"/>
    <w:rsid w:val="00E77BCF"/>
    <w:rsid w:val="00E80605"/>
    <w:rsid w:val="00E830DA"/>
    <w:rsid w:val="00E84C69"/>
    <w:rsid w:val="00E854B4"/>
    <w:rsid w:val="00E8786C"/>
    <w:rsid w:val="00E95128"/>
    <w:rsid w:val="00E97810"/>
    <w:rsid w:val="00EA0B3F"/>
    <w:rsid w:val="00EA71F4"/>
    <w:rsid w:val="00EA7B8D"/>
    <w:rsid w:val="00EB0931"/>
    <w:rsid w:val="00EB0A6B"/>
    <w:rsid w:val="00EB2931"/>
    <w:rsid w:val="00EB2A8B"/>
    <w:rsid w:val="00EC0820"/>
    <w:rsid w:val="00EC24D3"/>
    <w:rsid w:val="00EC47B3"/>
    <w:rsid w:val="00EC5C0B"/>
    <w:rsid w:val="00EC73DC"/>
    <w:rsid w:val="00ED1E98"/>
    <w:rsid w:val="00ED3AA1"/>
    <w:rsid w:val="00ED51F0"/>
    <w:rsid w:val="00ED5F95"/>
    <w:rsid w:val="00ED67D4"/>
    <w:rsid w:val="00ED715D"/>
    <w:rsid w:val="00ED7A56"/>
    <w:rsid w:val="00EE0E21"/>
    <w:rsid w:val="00EE21A1"/>
    <w:rsid w:val="00EE2336"/>
    <w:rsid w:val="00EE2450"/>
    <w:rsid w:val="00EE7047"/>
    <w:rsid w:val="00EF0B01"/>
    <w:rsid w:val="00EF0F13"/>
    <w:rsid w:val="00EF2F77"/>
    <w:rsid w:val="00EF34AE"/>
    <w:rsid w:val="00EF495B"/>
    <w:rsid w:val="00EF4E72"/>
    <w:rsid w:val="00EF4FC7"/>
    <w:rsid w:val="00EF578D"/>
    <w:rsid w:val="00EF5A22"/>
    <w:rsid w:val="00EF688C"/>
    <w:rsid w:val="00EF79CB"/>
    <w:rsid w:val="00F00603"/>
    <w:rsid w:val="00F07829"/>
    <w:rsid w:val="00F10E0E"/>
    <w:rsid w:val="00F11B5D"/>
    <w:rsid w:val="00F12594"/>
    <w:rsid w:val="00F12BF1"/>
    <w:rsid w:val="00F12EFB"/>
    <w:rsid w:val="00F150F1"/>
    <w:rsid w:val="00F16237"/>
    <w:rsid w:val="00F16F26"/>
    <w:rsid w:val="00F17012"/>
    <w:rsid w:val="00F20205"/>
    <w:rsid w:val="00F26B99"/>
    <w:rsid w:val="00F27004"/>
    <w:rsid w:val="00F33E02"/>
    <w:rsid w:val="00F3650E"/>
    <w:rsid w:val="00F40350"/>
    <w:rsid w:val="00F4385F"/>
    <w:rsid w:val="00F4619A"/>
    <w:rsid w:val="00F47B44"/>
    <w:rsid w:val="00F501FB"/>
    <w:rsid w:val="00F51DF6"/>
    <w:rsid w:val="00F54864"/>
    <w:rsid w:val="00F6035B"/>
    <w:rsid w:val="00F60C73"/>
    <w:rsid w:val="00F60D47"/>
    <w:rsid w:val="00F612DD"/>
    <w:rsid w:val="00F620AA"/>
    <w:rsid w:val="00F709E2"/>
    <w:rsid w:val="00F70C00"/>
    <w:rsid w:val="00F70E82"/>
    <w:rsid w:val="00F71552"/>
    <w:rsid w:val="00F75DF5"/>
    <w:rsid w:val="00F7710B"/>
    <w:rsid w:val="00F77ADF"/>
    <w:rsid w:val="00F802C8"/>
    <w:rsid w:val="00F81AE5"/>
    <w:rsid w:val="00F82153"/>
    <w:rsid w:val="00F838BE"/>
    <w:rsid w:val="00F83A95"/>
    <w:rsid w:val="00F8448C"/>
    <w:rsid w:val="00F85872"/>
    <w:rsid w:val="00F859F1"/>
    <w:rsid w:val="00F865E8"/>
    <w:rsid w:val="00F86BD9"/>
    <w:rsid w:val="00F901E7"/>
    <w:rsid w:val="00F91913"/>
    <w:rsid w:val="00F9359C"/>
    <w:rsid w:val="00F9506A"/>
    <w:rsid w:val="00F9650B"/>
    <w:rsid w:val="00F97856"/>
    <w:rsid w:val="00FA01BC"/>
    <w:rsid w:val="00FA1EF8"/>
    <w:rsid w:val="00FA2A9D"/>
    <w:rsid w:val="00FA44BB"/>
    <w:rsid w:val="00FA6ADD"/>
    <w:rsid w:val="00FA6C5D"/>
    <w:rsid w:val="00FA6D0F"/>
    <w:rsid w:val="00FA704F"/>
    <w:rsid w:val="00FB0C8B"/>
    <w:rsid w:val="00FB1326"/>
    <w:rsid w:val="00FB2525"/>
    <w:rsid w:val="00FB5521"/>
    <w:rsid w:val="00FC156B"/>
    <w:rsid w:val="00FC1D72"/>
    <w:rsid w:val="00FC4E3E"/>
    <w:rsid w:val="00FD04E4"/>
    <w:rsid w:val="00FD085E"/>
    <w:rsid w:val="00FD0E89"/>
    <w:rsid w:val="00FD44E7"/>
    <w:rsid w:val="00FD4736"/>
    <w:rsid w:val="00FE0172"/>
    <w:rsid w:val="00FE057E"/>
    <w:rsid w:val="00FE2CC6"/>
    <w:rsid w:val="00FE2D07"/>
    <w:rsid w:val="00FE3AB4"/>
    <w:rsid w:val="00FF0E24"/>
    <w:rsid w:val="00FF13E4"/>
    <w:rsid w:val="00FF1B74"/>
    <w:rsid w:val="00FF3376"/>
    <w:rsid w:val="00FF46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358"/>
    <w:rPr>
      <w:rFonts w:ascii="Times New Roman" w:eastAsia="Times New Roman" w:hAnsi="Times New Roman"/>
      <w:sz w:val="18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95128"/>
    <w:pPr>
      <w:keepNext/>
      <w:numPr>
        <w:numId w:val="1"/>
      </w:numPr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uiPriority w:val="99"/>
    <w:qFormat/>
    <w:rsid w:val="00E95128"/>
    <w:pPr>
      <w:keepNext/>
      <w:numPr>
        <w:numId w:val="4"/>
      </w:numPr>
      <w:outlineLvl w:val="1"/>
    </w:pPr>
    <w:rPr>
      <w:b/>
    </w:rPr>
  </w:style>
  <w:style w:type="paragraph" w:styleId="Heading6">
    <w:name w:val="heading 6"/>
    <w:basedOn w:val="Normal"/>
    <w:next w:val="Normal"/>
    <w:link w:val="Heading6Char"/>
    <w:uiPriority w:val="99"/>
    <w:qFormat/>
    <w:rsid w:val="00E95128"/>
    <w:pPr>
      <w:keepNext/>
      <w:outlineLvl w:val="5"/>
    </w:pPr>
    <w:rPr>
      <w:b/>
      <w:caps/>
      <w:sz w:val="3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E0FA2"/>
    <w:pPr>
      <w:keepNext/>
      <w:keepLines/>
      <w:spacing w:before="200"/>
      <w:outlineLvl w:val="8"/>
    </w:pPr>
    <w:rPr>
      <w:rFonts w:ascii="Cambria" w:eastAsia="MS Gothic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5128"/>
    <w:rPr>
      <w:rFonts w:ascii="Times New Roman" w:hAnsi="Times New Roman" w:cs="Times New Roman"/>
      <w:b/>
      <w:cap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95128"/>
    <w:rPr>
      <w:rFonts w:ascii="Times New Roman" w:hAnsi="Times New Roman" w:cs="Times New Roman"/>
      <w:b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E95128"/>
    <w:rPr>
      <w:rFonts w:ascii="Times New Roman" w:hAnsi="Times New Roman" w:cs="Times New Roman"/>
      <w:b/>
      <w:caps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3E0FA2"/>
    <w:rPr>
      <w:rFonts w:ascii="Cambria" w:eastAsia="MS Gothic" w:hAnsi="Cambria" w:cs="Times New Roman"/>
      <w:i/>
      <w:iCs/>
      <w:color w:val="404040"/>
      <w:sz w:val="20"/>
      <w:szCs w:val="20"/>
    </w:rPr>
  </w:style>
  <w:style w:type="paragraph" w:styleId="Header">
    <w:name w:val="header"/>
    <w:basedOn w:val="Normal"/>
    <w:link w:val="Header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9512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95128"/>
    <w:rPr>
      <w:rFonts w:cs="Times New Roman"/>
    </w:rPr>
  </w:style>
  <w:style w:type="character" w:styleId="PageNumber">
    <w:name w:val="page number"/>
    <w:basedOn w:val="DefaultParagraphFont"/>
    <w:uiPriority w:val="99"/>
    <w:rsid w:val="00E95128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E95128"/>
    <w:pPr>
      <w:ind w:left="426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E95128"/>
    <w:rPr>
      <w:rFonts w:ascii="Times New Roman" w:hAnsi="Times New Roman" w:cs="Times New Roman"/>
      <w:sz w:val="20"/>
      <w:szCs w:val="20"/>
    </w:rPr>
  </w:style>
  <w:style w:type="paragraph" w:customStyle="1" w:styleId="Uvod">
    <w:name w:val="Uvod"/>
    <w:basedOn w:val="Normal"/>
    <w:uiPriority w:val="99"/>
    <w:rsid w:val="00E95128"/>
    <w:pPr>
      <w:ind w:left="284" w:hanging="284"/>
      <w:jc w:val="both"/>
    </w:pPr>
    <w:rPr>
      <w:sz w:val="22"/>
    </w:rPr>
  </w:style>
  <w:style w:type="character" w:styleId="FootnoteReference">
    <w:name w:val="footnote reference"/>
    <w:basedOn w:val="DefaultParagraphFont"/>
    <w:uiPriority w:val="99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al"/>
    <w:uiPriority w:val="99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al"/>
    <w:link w:val="zifChar"/>
    <w:uiPriority w:val="99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DefaultParagraphFont"/>
    <w:link w:val="zif"/>
    <w:uiPriority w:val="99"/>
    <w:locked/>
    <w:rsid w:val="00E95128"/>
    <w:rPr>
      <w:rFonts w:ascii="Times" w:hAnsi="Times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99"/>
    <w:qFormat/>
    <w:rsid w:val="00E95128"/>
    <w:pPr>
      <w:ind w:left="708"/>
    </w:pPr>
  </w:style>
  <w:style w:type="paragraph" w:customStyle="1" w:styleId="Tabulka">
    <w:name w:val="Tabulka"/>
    <w:basedOn w:val="Normal"/>
    <w:uiPriority w:val="99"/>
    <w:rsid w:val="00160AAA"/>
    <w:rPr>
      <w:color w:val="000000"/>
    </w:rPr>
  </w:style>
  <w:style w:type="paragraph" w:customStyle="1" w:styleId="Pismenka">
    <w:name w:val="Pismenka"/>
    <w:basedOn w:val="BodyText"/>
    <w:uiPriority w:val="99"/>
    <w:rsid w:val="00160AAA"/>
    <w:pPr>
      <w:numPr>
        <w:numId w:val="2"/>
      </w:numPr>
      <w:tabs>
        <w:tab w:val="clear" w:pos="360"/>
        <w:tab w:val="num" w:pos="426"/>
      </w:tabs>
      <w:ind w:hanging="426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rsid w:val="004B69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B69E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57452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74527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7452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745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74527"/>
    <w:rPr>
      <w:b/>
      <w:bCs/>
    </w:rPr>
  </w:style>
  <w:style w:type="paragraph" w:styleId="Revision">
    <w:name w:val="Revision"/>
    <w:hidden/>
    <w:uiPriority w:val="99"/>
    <w:semiHidden/>
    <w:rsid w:val="00574527"/>
    <w:rPr>
      <w:rFonts w:ascii="Times New Roman" w:eastAsia="Times New Roman" w:hAnsi="Times New Roman"/>
      <w:sz w:val="20"/>
      <w:szCs w:val="20"/>
      <w:lang w:eastAsia="en-US"/>
    </w:rPr>
  </w:style>
  <w:style w:type="paragraph" w:customStyle="1" w:styleId="Subhead2">
    <w:name w:val="Subhead 2"/>
    <w:basedOn w:val="Normal"/>
    <w:uiPriority w:val="99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al"/>
    <w:uiPriority w:val="99"/>
    <w:rsid w:val="00EA71F4"/>
    <w:pPr>
      <w:spacing w:line="260" w:lineRule="exact"/>
    </w:pPr>
    <w:rPr>
      <w:rFonts w:ascii="Times" w:hAnsi="Times"/>
      <w:lang w:val="en-GB"/>
    </w:rPr>
  </w:style>
  <w:style w:type="paragraph" w:styleId="BodyText3">
    <w:name w:val="Body Text 3"/>
    <w:basedOn w:val="Normal"/>
    <w:link w:val="BodyText3Char"/>
    <w:uiPriority w:val="99"/>
    <w:rsid w:val="00BA253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BA2537"/>
    <w:rPr>
      <w:rFonts w:ascii="Times New Roman" w:hAnsi="Times New Roman" w:cs="Times New Roman"/>
      <w:sz w:val="16"/>
      <w:szCs w:val="16"/>
    </w:rPr>
  </w:style>
  <w:style w:type="paragraph" w:customStyle="1" w:styleId="PoznmkyUcPOD">
    <w:name w:val="Poznámky (Uc POD)"/>
    <w:basedOn w:val="Normal"/>
    <w:link w:val="PoznmkyUcPODChar"/>
    <w:uiPriority w:val="99"/>
    <w:rsid w:val="00213707"/>
    <w:pPr>
      <w:tabs>
        <w:tab w:val="left" w:pos="1947"/>
      </w:tabs>
      <w:jc w:val="center"/>
    </w:pPr>
    <w:rPr>
      <w:b/>
      <w:i/>
      <w:sz w:val="24"/>
    </w:rPr>
  </w:style>
  <w:style w:type="paragraph" w:customStyle="1" w:styleId="Default">
    <w:name w:val="Default"/>
    <w:uiPriority w:val="99"/>
    <w:rsid w:val="00765D2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PoznmkyUcPODChar">
    <w:name w:val="Poznámky (Uc POD) Char"/>
    <w:basedOn w:val="DefaultParagraphFont"/>
    <w:link w:val="PoznmkyUcPOD"/>
    <w:uiPriority w:val="99"/>
    <w:locked/>
    <w:rsid w:val="00213707"/>
    <w:rPr>
      <w:rFonts w:ascii="Times New Roman" w:hAnsi="Times New Roman" w:cs="Times New Roman"/>
      <w:b/>
      <w:i/>
      <w:sz w:val="20"/>
      <w:szCs w:val="20"/>
    </w:rPr>
  </w:style>
  <w:style w:type="character" w:styleId="Strong">
    <w:name w:val="Strong"/>
    <w:basedOn w:val="DefaultParagraphFont"/>
    <w:uiPriority w:val="99"/>
    <w:qFormat/>
    <w:rsid w:val="00B938DE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semiHidden/>
    <w:rsid w:val="00B938DE"/>
    <w:rPr>
      <w:rFonts w:cs="Times New Roman"/>
      <w:color w:val="0000FF"/>
      <w:u w:val="single"/>
    </w:rPr>
  </w:style>
  <w:style w:type="character" w:customStyle="1" w:styleId="ra">
    <w:name w:val="ra"/>
    <w:basedOn w:val="DefaultParagraphFont"/>
    <w:uiPriority w:val="99"/>
    <w:rsid w:val="008217D9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8217D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050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5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050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2111.xlsx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package" Target="embeddings/Microsoft_Excel_Worksheet4333.xlsx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package" Target="embeddings/Microsoft_Excel_Worksheet3222.xlsx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11</Pages>
  <Words>3987</Words>
  <Characters>22728</Characters>
  <Application>Microsoft Office Outlook</Application>
  <DocSecurity>0</DocSecurity>
  <Lines>0</Lines>
  <Paragraphs>0</Paragraphs>
  <ScaleCrop>false</ScaleCrop>
  <Company>KPMG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Článok I</dc:title>
  <dc:subject/>
  <dc:creator>Sikulova, Andrea</dc:creator>
  <cp:keywords/>
  <dc:description/>
  <cp:lastModifiedBy>User</cp:lastModifiedBy>
  <cp:revision>3</cp:revision>
  <cp:lastPrinted>2015-03-26T10:59:00Z</cp:lastPrinted>
  <dcterms:created xsi:type="dcterms:W3CDTF">2017-06-30T21:38:00Z</dcterms:created>
  <dcterms:modified xsi:type="dcterms:W3CDTF">2017-06-30T21:43:00Z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0x01010D00FE7E355AA6FBC74B9F426ADBE00604EE</vt:lpwstr>
  </property>
  <property fmtid="{D5CDD505-2E9C-101B-9397-08002B2CF9AE}" pid="3" name="Client Issue">
    <vt:lpwstr/>
  </property>
  <property fmtid="{D5CDD505-2E9C-101B-9397-08002B2CF9AE}" pid="4" name="KPMGMW3Language">
    <vt:lpwstr>Slovak</vt:lpwstr>
  </property>
  <property fmtid="{D5CDD505-2E9C-101B-9397-08002B2CF9AE}" pid="5" name="KPMGMW3IndustrySectorSubSectorSelection">
    <vt:lpwstr/>
  </property>
  <property fmtid="{D5CDD505-2E9C-101B-9397-08002B2CF9AE}" pid="6" name="KPMGMW3FunctionSelection">
    <vt:lpwstr>;#Advisory;;;#Accounting Advisory Services;#;#</vt:lpwstr>
  </property>
  <property fmtid="{D5CDD505-2E9C-101B-9397-08002B2CF9AE}" pid="7" name="KPMGMW3DocumentType">
    <vt:lpwstr>None Selected</vt:lpwstr>
  </property>
  <property fmtid="{D5CDD505-2E9C-101B-9397-08002B2CF9AE}" pid="8" name="CEE AAS Category">
    <vt:lpwstr/>
  </property>
  <property fmtid="{D5CDD505-2E9C-101B-9397-08002B2CF9AE}" pid="9" name="KPMGMW3Geography">
    <vt:lpwstr>;#Global;#</vt:lpwstr>
  </property>
  <property fmtid="{D5CDD505-2E9C-101B-9397-08002B2CF9AE}" pid="10" name="KPMGMW3SubService">
    <vt:lpwstr/>
  </property>
  <property fmtid="{D5CDD505-2E9C-101B-9397-08002B2CF9AE}" pid="11" name="KPMGMW3Service">
    <vt:lpwstr>Accounting Advisory Services</vt:lpwstr>
  </property>
  <property fmtid="{D5CDD505-2E9C-101B-9397-08002B2CF9AE}" pid="12" name="KPMGMW3Sector">
    <vt:lpwstr/>
  </property>
  <property fmtid="{D5CDD505-2E9C-101B-9397-08002B2CF9AE}" pid="13" name="KPMGMW3Function">
    <vt:lpwstr>Advisory;</vt:lpwstr>
  </property>
  <property fmtid="{D5CDD505-2E9C-101B-9397-08002B2CF9AE}" pid="14" name="KPMGMW3SubSector">
    <vt:lpwstr/>
  </property>
</Properties>
</file>