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36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Výro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čná správa neziskovej organizácie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FFCC99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FFCC99" w:val="clear"/>
        </w:rPr>
        <w:t xml:space="preserve">Rodinné centrum SLNIE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FFCC99" w:val="clear"/>
        </w:rPr>
        <w:t xml:space="preserve">ČKO n.o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,  za rok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FFCC99" w:val="clear"/>
        </w:rPr>
        <w:t xml:space="preserve">2016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  <w:t xml:space="preserve">V </w:t>
      </w:r>
      <w:r>
        <w:rPr>
          <w:rFonts w:ascii="Calibri" w:hAnsi="Calibri" w:cs="Calibri" w:eastAsia="Calibri"/>
          <w:color w:val="auto"/>
          <w:spacing w:val="0"/>
          <w:position w:val="0"/>
          <w:sz w:val="32"/>
          <w:shd w:fill="FFCC99" w:val="clear"/>
        </w:rPr>
        <w:t xml:space="preserve">Komárne</w:t>
      </w:r>
      <w:r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  <w:t xml:space="preserve">, 1.5.2017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u w:val="single"/>
          <w:shd w:fill="auto" w:val="clear"/>
        </w:rPr>
        <w:t xml:space="preserve">OBSAH: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tabs>
          <w:tab w:val="right" w:pos="9072" w:leader="dot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Rodinné centrum SLNIE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ČKO , n. o., so sídlom: Vážského brehu 152/17 Komárno, IČO: 50229664</w:t>
        <w:tab/>
        <w:t xml:space="preserve">1</w:t>
      </w:r>
    </w:p>
    <w:p>
      <w:pPr>
        <w:tabs>
          <w:tab w:val="right" w:pos="9072" w:leader="dot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 ÚVOD</w:t>
        <w:tab/>
        <w:t xml:space="preserve">4</w:t>
      </w:r>
    </w:p>
    <w:p>
      <w:pPr>
        <w:tabs>
          <w:tab w:val="right" w:pos="9072" w:leader="dot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 Preh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 činností uskutočnených organizáciou za rok 2015</w:t>
        <w:tab/>
        <w:t xml:space="preserve">5</w:t>
      </w:r>
    </w:p>
    <w:p>
      <w:pPr>
        <w:tabs>
          <w:tab w:val="right" w:pos="9072" w:leader="dot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3. 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čná účtovná závierka a zhodnotenie základných údajov v nej obsiahnutých</w:t>
        <w:tab/>
        <w:t xml:space="preserve">6</w:t>
      </w:r>
    </w:p>
    <w:p>
      <w:pPr>
        <w:tabs>
          <w:tab w:val="right" w:pos="9072" w:leader="dot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4. Výrok audítora k 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čnej účtovnej závierke</w:t>
        <w:tab/>
        <w:t xml:space="preserve">6</w:t>
      </w:r>
    </w:p>
    <w:p>
      <w:pPr>
        <w:tabs>
          <w:tab w:val="right" w:pos="9072" w:leader="dot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5. Preh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 o peňažných príjmoch a výdavkov</w:t>
        <w:tab/>
        <w:t xml:space="preserve">7</w:t>
      </w:r>
    </w:p>
    <w:p>
      <w:pPr>
        <w:tabs>
          <w:tab w:val="right" w:pos="9072" w:leader="dot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6. Stav a pohyb majetku a záväzkov organizácie</w:t>
        <w:tab/>
        <w:t xml:space="preserve">7</w:t>
      </w:r>
    </w:p>
    <w:p>
      <w:pPr>
        <w:tabs>
          <w:tab w:val="right" w:pos="9072" w:leader="dot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7. Zmeny a nové zloženie organizácie</w:t>
        <w:tab/>
        <w:t xml:space="preserve">8</w:t>
      </w:r>
    </w:p>
    <w:p>
      <w:pPr>
        <w:tabs>
          <w:tab w:val="right" w:pos="9072" w:leader="dot"/>
        </w:tabs>
        <w:suppressAutoHyphens w:val="true"/>
        <w:spacing w:before="0" w:after="0" w:line="240"/>
        <w:ind w:right="0" w:left="24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Szabó Ladislav</w:t>
        <w:tab/>
        <w:t xml:space="preserve">8</w:t>
      </w:r>
    </w:p>
    <w:p>
      <w:pPr>
        <w:tabs>
          <w:tab w:val="right" w:pos="9072" w:leader="dot"/>
        </w:tabs>
        <w:suppressAutoHyphens w:val="true"/>
        <w:spacing w:before="0" w:after="0" w:line="240"/>
        <w:ind w:right="0" w:left="24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Riadite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 n.o.</w:t>
        <w:tab/>
        <w:t xml:space="preserve">8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7"/>
        </w:numPr>
        <w:suppressAutoHyphens w:val="true"/>
        <w:spacing w:before="0" w:after="0" w:line="240"/>
        <w:ind w:right="0" w:left="432" w:hanging="432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  <w:t xml:space="preserve">1.  ÚVOD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Nezisková organizácia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Rodinné centrum SLNIE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ČKO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n.o. so sídlom: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Vážského brehu 152/17 Komárno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IČO:50229664 vznikla dňa 02.03.2016 na základe rozhodnutia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Obvodného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úradu v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Nitre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podľa ustanovenia § 9 ods. 1 zákona č. 213/1997 Z . z. o neziskových organizáciách poskytujúcich všeobecne prospešné služby v platnom znení (ďalej len „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Zákon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“).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..Rodinné centrum SLNIE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ČKO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n. o poskytuje nasledovné všeobecne prospešné služby:</w:t>
      </w:r>
    </w:p>
    <w:p>
      <w:pPr>
        <w:numPr>
          <w:ilvl w:val="0"/>
          <w:numId w:val="9"/>
        </w:numPr>
        <w:spacing w:before="0" w:after="0" w:line="312"/>
        <w:ind w:right="0" w:left="644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chráni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ť a presadzovať záujmy obyvateľov  pri príprave a realizácii takých aktivít v regióne, ktoré majú vplyv na životné prostredie a kvalitu života</w:t>
      </w:r>
    </w:p>
    <w:p>
      <w:pPr>
        <w:numPr>
          <w:ilvl w:val="0"/>
          <w:numId w:val="9"/>
        </w:numPr>
        <w:spacing w:before="0" w:after="0" w:line="312"/>
        <w:ind w:right="0" w:left="644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poskytovanie socialnej a humanitarnej pomoci</w:t>
      </w:r>
    </w:p>
    <w:p>
      <w:pPr>
        <w:numPr>
          <w:ilvl w:val="0"/>
          <w:numId w:val="9"/>
        </w:numPr>
        <w:spacing w:before="0" w:after="0" w:line="312"/>
        <w:ind w:right="0" w:left="644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vedenie mládeže k pôlnohospodárskej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činnosti</w:t>
      </w:r>
    </w:p>
    <w:p>
      <w:pPr>
        <w:numPr>
          <w:ilvl w:val="0"/>
          <w:numId w:val="9"/>
        </w:numPr>
        <w:spacing w:before="0" w:after="0" w:line="312"/>
        <w:ind w:right="0" w:left="644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organizova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ť akcie a aktivity pre rozvoj a ochranu kultúrnych hodnôt regiónu</w:t>
      </w:r>
    </w:p>
    <w:p>
      <w:pPr>
        <w:numPr>
          <w:ilvl w:val="0"/>
          <w:numId w:val="9"/>
        </w:numPr>
        <w:spacing w:before="0" w:after="0" w:line="312"/>
        <w:ind w:right="0" w:left="644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tvorba, ochrana a skvalit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ňovanie životného prostredia</w:t>
      </w:r>
    </w:p>
    <w:p>
      <w:pPr>
        <w:numPr>
          <w:ilvl w:val="0"/>
          <w:numId w:val="9"/>
        </w:numPr>
        <w:spacing w:before="0" w:after="0" w:line="312"/>
        <w:ind w:right="0" w:left="644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spolupracova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ť s ďalšími, záujmovo príbuznými organizáciami a združeniami</w:t>
      </w:r>
    </w:p>
    <w:p>
      <w:pPr>
        <w:numPr>
          <w:ilvl w:val="0"/>
          <w:numId w:val="9"/>
        </w:numPr>
        <w:spacing w:before="0" w:after="0" w:line="312"/>
        <w:ind w:right="0" w:left="644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spolupracova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ť so zahraničnými subjektami v záujme vytvorenia lepších podmienok pre dosahovanie svojich zámerov</w:t>
      </w:r>
    </w:p>
    <w:p>
      <w:pPr>
        <w:numPr>
          <w:ilvl w:val="0"/>
          <w:numId w:val="9"/>
        </w:numPr>
        <w:spacing w:before="0" w:after="0" w:line="312"/>
        <w:ind w:right="0" w:left="644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organizova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ť vzdelávacie podujatia ( semináre, prednášky, konferencie ) v oblasti svojho záujmu</w:t>
      </w:r>
    </w:p>
    <w:p>
      <w:pPr>
        <w:numPr>
          <w:ilvl w:val="0"/>
          <w:numId w:val="9"/>
        </w:numPr>
        <w:spacing w:before="0" w:after="0" w:line="312"/>
        <w:ind w:right="0" w:left="644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ochrana a tvorba životného prostredia</w:t>
      </w:r>
    </w:p>
    <w:p>
      <w:pPr>
        <w:numPr>
          <w:ilvl w:val="0"/>
          <w:numId w:val="9"/>
        </w:numPr>
        <w:spacing w:before="0" w:after="0" w:line="312"/>
        <w:ind w:right="0" w:left="644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využívanie, rozvoj a prezentácia obnovite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FFFFFF" w:val="clear"/>
        </w:rPr>
        <w:t xml:space="preserve">ľných zdrojov energie</w:t>
      </w:r>
    </w:p>
    <w:p>
      <w:pPr>
        <w:numPr>
          <w:ilvl w:val="0"/>
          <w:numId w:val="9"/>
        </w:numPr>
        <w:spacing w:before="0" w:after="120" w:line="240"/>
        <w:ind w:right="71" w:left="644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výroba výrobkov v chránených dielnach</w:t>
      </w:r>
    </w:p>
    <w:p>
      <w:pPr>
        <w:numPr>
          <w:ilvl w:val="0"/>
          <w:numId w:val="9"/>
        </w:numPr>
        <w:spacing w:before="0" w:after="0" w:line="240"/>
        <w:ind w:right="0" w:left="644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ochrana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ľudských práv a základných slobôd.</w:t>
      </w:r>
    </w:p>
    <w:p>
      <w:pPr>
        <w:numPr>
          <w:ilvl w:val="0"/>
          <w:numId w:val="9"/>
        </w:numPr>
        <w:spacing w:before="0" w:after="0" w:line="240"/>
        <w:ind w:right="0" w:left="644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tvorba, rozvoj, ochrana, obnova a prezentácia duchovných a kultúrnych hodnôt,</w:t>
      </w:r>
    </w:p>
    <w:p>
      <w:pPr>
        <w:numPr>
          <w:ilvl w:val="0"/>
          <w:numId w:val="9"/>
        </w:numPr>
        <w:spacing w:before="0" w:after="0" w:line="240"/>
        <w:ind w:right="0" w:left="644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služby na podporu regionálneho rozvoja a zamestnanosti</w:t>
      </w:r>
    </w:p>
    <w:p>
      <w:pPr>
        <w:numPr>
          <w:ilvl w:val="0"/>
          <w:numId w:val="9"/>
        </w:numPr>
        <w:spacing w:before="0" w:after="0" w:line="240"/>
        <w:ind w:right="0" w:left="644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prevadzkovanie komunitného centra a práca z klientami  marketizovaných komunit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</w:pPr>
    </w:p>
    <w:p>
      <w:pPr>
        <w:suppressAutoHyphens w:val="true"/>
        <w:spacing w:before="0" w:after="0" w:line="240"/>
        <w:ind w:right="0" w:left="7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Hlavným cie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Rodinného centra SLNIEČKO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n.o. je najmä: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pomoc ZŤP a sociálne slabým rodinám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Orgánmi neziskovej organizácie sú:</w:t>
      </w:r>
    </w:p>
    <w:p>
      <w:pPr>
        <w:numPr>
          <w:ilvl w:val="0"/>
          <w:numId w:val="15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Riaditel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;  Ladislav Szabó</w:t>
      </w:r>
    </w:p>
    <w:p>
      <w:pPr>
        <w:numPr>
          <w:ilvl w:val="0"/>
          <w:numId w:val="15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FFCC99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správná rada</w:t>
      </w:r>
      <w:r>
        <w:rPr>
          <w:rFonts w:ascii="Calibri" w:hAnsi="Calibri" w:cs="Calibri" w:eastAsia="Calibri"/>
          <w:color w:val="auto"/>
          <w:spacing w:val="0"/>
          <w:position w:val="0"/>
          <w:sz w:val="32"/>
          <w:shd w:fill="FFCC99" w:val="clear"/>
        </w:rPr>
        <w:t xml:space="preserve"> 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17"/>
        </w:numPr>
        <w:suppressAutoHyphens w:val="true"/>
        <w:spacing w:before="0" w:after="0" w:line="240"/>
        <w:ind w:right="0" w:left="432" w:hanging="432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  <w:t xml:space="preserve">2. Preh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  <w:t xml:space="preserve">ľad činností uskutočnených organizáciou za rok 2015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aps w:val="true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roka 2016 Rodinné centrum SLNIEČKO n.o. realizovala 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</w:pPr>
    </w:p>
    <w:p>
      <w:pPr>
        <w:numPr>
          <w:ilvl w:val="0"/>
          <w:numId w:val="19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otvorenie  chranenej dielne;</w:t>
      </w:r>
    </w:p>
    <w:p>
      <w:pPr>
        <w:numPr>
          <w:ilvl w:val="0"/>
          <w:numId w:val="19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pomoc rozným socialne slabým rodinnám ,právná pomoc a zastupovanie na úradoch, organizovanie rôznych akcií.</w:t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1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budovanie deckého parku v objektu centra</w:t>
      </w:r>
    </w:p>
    <w:p>
      <w:pPr>
        <w:numPr>
          <w:ilvl w:val="0"/>
          <w:numId w:val="21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rozdavnie potravinovej pomoci potrebným</w:t>
      </w:r>
    </w:p>
    <w:p>
      <w:pPr>
        <w:numPr>
          <w:ilvl w:val="0"/>
          <w:numId w:val="21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budovanie hospodárského dvora pre deti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3"/>
        </w:numPr>
        <w:suppressAutoHyphens w:val="true"/>
        <w:spacing w:before="0" w:after="0" w:line="240"/>
        <w:ind w:right="0" w:left="432" w:hanging="432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  <w:t xml:space="preserve">3. Ro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  <w:t xml:space="preserve">čná účtovná závierka a zhodnotenie základných údajov v nej obsiahnutých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aps w:val="true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súlade s § 4 ods. 2 zákona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431/2002 Z. z. o účtovníctve v platnom znení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Rodinné centrum SLNIEČKO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n.o. účtuje v sústave podvojného účtovníctva . 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je výsledným produktom účtovnej uzávierky. Príprava a zostavenie účtovnej závierky sa skladá z 3 etáp :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1etapa: prípravné práce – sem patrí  zú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všetkých účtovných prípadov za daný rok do peňažného denníka, vykonanie inventarizácie majetku a záväzkov a zaúčtovanie uzávierkových účtovných operácií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 etapa: uzatvorenie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čtovných kníh t.j. účtovná uzávierka 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 etapa: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čtovných výkazov t.j. účtovná závierka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uzávierka predstavuje sústavu  výstupných informácií z bežného účtovníctva. Na základe účtovnej závierky Rodinné centrum SLNIEČKO, n. o. zostavuje Výkaz o majetku a záväzkoch a Výkaz o príjmoch a výdavkoch. Tieto výkazy tvoria účtovnú závierku v podvojnom účtovníctve a sú súčasťou daňového priznania dani z príjmov.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6"/>
        </w:numPr>
        <w:suppressAutoHyphens w:val="true"/>
        <w:spacing w:before="0" w:after="0" w:line="240"/>
        <w:ind w:right="0" w:left="432" w:hanging="432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  <w:t xml:space="preserve">4. Výrok audítora k ro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  <w:t xml:space="preserve">čnej účtovnej závierke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aps w:val="true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ľadom na skutočnosť, že dotácie zo štátneho rozpočtu, z rozpočtu štátneho fondu a z rozpočtu obce neprekročili v roku 2016 sumu 33 193 eur a príjmy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Rodinné centrum SLNIEČKO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n.o. za rok 2016 neboli vyššie ako 165 969 eur, audit v súlade s § 33 ods. 3 Zákona vykonaný nebol.-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8"/>
        </w:numPr>
        <w:suppressAutoHyphens w:val="true"/>
        <w:spacing w:before="0" w:after="0" w:line="240"/>
        <w:ind w:right="0" w:left="432" w:hanging="432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  <w:t xml:space="preserve">5. Preh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  <w:t xml:space="preserve">ľad o peňažných príjmoch a výdavkov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caps w:val="true"/>
          <w:color w:val="auto"/>
          <w:spacing w:val="0"/>
          <w:position w:val="0"/>
          <w:sz w:val="32"/>
          <w:shd w:fill="auto" w:val="clear"/>
        </w:rPr>
      </w:pPr>
    </w:p>
    <w:tbl>
      <w:tblPr>
        <w:tblInd w:w="428" w:type="dxa"/>
      </w:tblPr>
      <w:tblGrid>
        <w:gridCol w:w="1834"/>
        <w:gridCol w:w="2302"/>
        <w:gridCol w:w="2302"/>
        <w:gridCol w:w="2385"/>
      </w:tblGrid>
      <w:tr>
        <w:trPr>
          <w:trHeight w:val="450" w:hRule="auto"/>
          <w:jc w:val="left"/>
        </w:trPr>
        <w:tc>
          <w:tcPr>
            <w:tcW w:w="1834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0" w:sz="0"/>
            </w:tcBorders>
            <w:shd w:color="000000" w:fill="ffffff" w:val="clear"/>
            <w:tcMar>
              <w:left w:w="50" w:type="dxa"/>
              <w:right w:w="5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0" w:sz="0"/>
            </w:tcBorders>
            <w:shd w:color="000000" w:fill="ffffff" w:val="clear"/>
            <w:tcMar>
              <w:left w:w="50" w:type="dxa"/>
              <w:right w:w="5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(v EUR)</w:t>
            </w:r>
          </w:p>
        </w:tc>
        <w:tc>
          <w:tcPr>
            <w:tcW w:w="23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0" w:sz="0"/>
            </w:tcBorders>
            <w:shd w:color="000000" w:fill="ffffff" w:val="clear"/>
            <w:tcMar>
              <w:left w:w="50" w:type="dxa"/>
              <w:right w:w="5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(v EUR)</w:t>
            </w:r>
          </w:p>
        </w:tc>
        <w:tc>
          <w:tcPr>
            <w:tcW w:w="238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0" w:type="dxa"/>
              <w:right w:w="5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k 31.12.2016</w:t>
            </w:r>
          </w:p>
        </w:tc>
      </w:tr>
      <w:tr>
        <w:trPr>
          <w:trHeight w:val="350" w:hRule="auto"/>
          <w:jc w:val="left"/>
        </w:trPr>
        <w:tc>
          <w:tcPr>
            <w:tcW w:w="1834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0" w:sz="0"/>
            </w:tcBorders>
            <w:shd w:color="000000" w:fill="ffffff" w:val="clear"/>
            <w:tcMar>
              <w:left w:w="50" w:type="dxa"/>
              <w:right w:w="5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Celkom</w:t>
            </w:r>
          </w:p>
        </w:tc>
        <w:tc>
          <w:tcPr>
            <w:tcW w:w="23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0" w:sz="0"/>
            </w:tcBorders>
            <w:shd w:color="000000" w:fill="ffffff" w:val="clear"/>
            <w:tcMar>
              <w:left w:w="50" w:type="dxa"/>
              <w:right w:w="5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57034,35</w:t>
            </w:r>
          </w:p>
        </w:tc>
        <w:tc>
          <w:tcPr>
            <w:tcW w:w="2302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0" w:sz="0"/>
            </w:tcBorders>
            <w:shd w:color="000000" w:fill="ffffff" w:val="clear"/>
            <w:tcMar>
              <w:left w:w="50" w:type="dxa"/>
              <w:right w:w="5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58252,28</w:t>
            </w:r>
          </w:p>
        </w:tc>
        <w:tc>
          <w:tcPr>
            <w:tcW w:w="2385" w:type="dxa"/>
            <w:tcBorders>
              <w:top w:val="single" w:color="000001" w:sz="4"/>
              <w:left w:val="single" w:color="000001" w:sz="4"/>
              <w:bottom w:val="single" w:color="000001" w:sz="4"/>
              <w:right w:val="single" w:color="000001" w:sz="4"/>
            </w:tcBorders>
            <w:shd w:color="000000" w:fill="ffffff" w:val="clear"/>
            <w:tcMar>
              <w:left w:w="50" w:type="dxa"/>
              <w:right w:w="5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-1217,93</w:t>
            </w:r>
          </w:p>
        </w:tc>
      </w:tr>
    </w:tbl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aps w:val="true"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37"/>
        </w:numPr>
        <w:suppressAutoHyphens w:val="true"/>
        <w:spacing w:before="0" w:after="0" w:line="240"/>
        <w:ind w:right="0" w:left="432" w:hanging="432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  <w:t xml:space="preserve">6. Stav a pohyb majetku a záväzkov organizácie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aps w:val="true"/>
          <w:color w:val="auto"/>
          <w:spacing w:val="0"/>
          <w:position w:val="0"/>
          <w:sz w:val="3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Stav aktív a pasív k 31.12.2016 predstavuje sumu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.31844..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EUR. Z toho majetok vo výške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..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EUR pozostáva z:</w:t>
      </w:r>
    </w:p>
    <w:p>
      <w:pPr>
        <w:numPr>
          <w:ilvl w:val="0"/>
          <w:numId w:val="39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dlhodobého majetku: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.......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EUR</w:t>
      </w:r>
    </w:p>
    <w:p>
      <w:pPr>
        <w:numPr>
          <w:ilvl w:val="0"/>
          <w:numId w:val="39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krátkodobého majetku: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.........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EUR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 31.12.2016 predstavoval (i):</w:t>
      </w:r>
    </w:p>
    <w:p>
      <w:pPr>
        <w:numPr>
          <w:ilvl w:val="0"/>
          <w:numId w:val="41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čný majetok čiastku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..6058.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EUR;</w:t>
      </w:r>
    </w:p>
    <w:p>
      <w:pPr>
        <w:numPr>
          <w:ilvl w:val="0"/>
          <w:numId w:val="41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obežný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: 31844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.-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EUR;</w:t>
      </w:r>
    </w:p>
    <w:p>
      <w:pPr>
        <w:numPr>
          <w:ilvl w:val="0"/>
          <w:numId w:val="41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vlastné zdroje krytia majetku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-1218,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-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EUR;</w:t>
      </w:r>
    </w:p>
    <w:p>
      <w:pPr>
        <w:numPr>
          <w:ilvl w:val="0"/>
          <w:numId w:val="41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cudzie zdroje krytia majetku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33062,-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EUR;</w:t>
      </w:r>
    </w:p>
    <w:p>
      <w:pPr>
        <w:numPr>
          <w:ilvl w:val="0"/>
          <w:numId w:val="41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oprávky k dlhodobému hmotnému majetku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.....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EUR;</w:t>
      </w:r>
    </w:p>
    <w:p>
      <w:pPr>
        <w:numPr>
          <w:ilvl w:val="0"/>
          <w:numId w:val="41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oprávky k dlhodobému nehmotnému majetku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.....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EUR</w:t>
      </w:r>
    </w:p>
    <w:p>
      <w:pPr>
        <w:numPr>
          <w:ilvl w:val="0"/>
          <w:numId w:val="41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dlhodobé záväzky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.....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EUR;</w:t>
      </w:r>
    </w:p>
    <w:p>
      <w:pPr>
        <w:numPr>
          <w:ilvl w:val="0"/>
          <w:numId w:val="41"/>
        </w:numPr>
        <w:tabs>
          <w:tab w:val="left" w:pos="720" w:leader="none"/>
        </w:tabs>
        <w:suppressAutoHyphens w:val="true"/>
        <w:spacing w:before="0" w:after="0" w:line="240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krátkodobé záväzky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.4315,-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EUR.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aps w:val="true"/>
          <w:color w:val="auto"/>
          <w:spacing w:val="0"/>
          <w:position w:val="0"/>
          <w:sz w:val="32"/>
          <w:shd w:fill="auto" w:val="clear"/>
        </w:rPr>
      </w:pPr>
    </w:p>
    <w:p>
      <w:pPr>
        <w:keepNext w:val="true"/>
        <w:numPr>
          <w:ilvl w:val="0"/>
          <w:numId w:val="43"/>
        </w:numPr>
        <w:suppressAutoHyphens w:val="true"/>
        <w:spacing w:before="0" w:after="0" w:line="240"/>
        <w:ind w:right="0" w:left="432" w:hanging="432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  <w:t xml:space="preserve">7. Zmeny a nové zloženie organizácie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32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Správna rada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.Rodinné centrum SLNIE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FFCC99" w:val="clear"/>
        </w:rPr>
        <w:t xml:space="preserve">ČKO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n.o. sa neuzniesla na žiadnych zmenách v štatúte ani zložení orgánov neziskovej organizácie.</w:t>
      </w: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</w:t>
      </w:r>
    </w:p>
    <w:tbl>
      <w:tblPr>
        <w:tblInd w:w="6870" w:type="dxa"/>
      </w:tblPr>
      <w:tblGrid>
        <w:gridCol w:w="2353"/>
      </w:tblGrid>
      <w:tr>
        <w:trPr>
          <w:trHeight w:val="1" w:hRule="atLeast"/>
          <w:jc w:val="left"/>
        </w:trPr>
        <w:tc>
          <w:tcPr>
            <w:tcW w:w="2353" w:type="dxa"/>
            <w:tcBorders>
              <w:top w:val="single" w:color="000000" w:sz="0"/>
              <w:left w:val="single" w:color="000000" w:sz="0"/>
              <w:bottom w:val="single" w:color="000001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numPr>
                <w:ilvl w:val="0"/>
                <w:numId w:val="47"/>
              </w:numPr>
              <w:suppressAutoHyphens w:val="true"/>
              <w:spacing w:before="240" w:after="60" w:line="240"/>
              <w:ind w:right="0" w:left="576" w:hanging="576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53" w:type="dxa"/>
            <w:tcBorders>
              <w:top w:val="single" w:color="000001" w:sz="4"/>
              <w:left w:val="single" w:color="000000" w:sz="0"/>
              <w:bottom w:val="single" w:color="000001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numPr>
                <w:ilvl w:val="0"/>
                <w:numId w:val="47"/>
              </w:numPr>
              <w:suppressAutoHyphens w:val="true"/>
              <w:spacing w:before="0" w:after="0" w:line="240"/>
              <w:ind w:right="0" w:left="576" w:hanging="576"/>
              <w:jc w:val="center"/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Szabó Ladislav</w:t>
            </w:r>
          </w:p>
          <w:p>
            <w:pPr>
              <w:keepNext w:val="true"/>
              <w:numPr>
                <w:ilvl w:val="0"/>
                <w:numId w:val="47"/>
              </w:numPr>
              <w:suppressAutoHyphens w:val="true"/>
              <w:spacing w:before="0" w:after="0" w:line="240"/>
              <w:ind w:right="0" w:left="576" w:hanging="57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Riadite</w:t>
            </w: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ľ n.o. </w:t>
            </w:r>
          </w:p>
        </w:tc>
      </w:tr>
    </w:tbl>
    <w:p>
      <w:pPr>
        <w:suppressAutoHyphens w:val="true"/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num w:numId="7">
    <w:abstractNumId w:val="84"/>
  </w:num>
  <w:num w:numId="9">
    <w:abstractNumId w:val="78"/>
  </w:num>
  <w:num w:numId="15">
    <w:abstractNumId w:val="72"/>
  </w:num>
  <w:num w:numId="17">
    <w:abstractNumId w:val="66"/>
  </w:num>
  <w:num w:numId="19">
    <w:abstractNumId w:val="60"/>
  </w:num>
  <w:num w:numId="21">
    <w:abstractNumId w:val="54"/>
  </w:num>
  <w:num w:numId="23">
    <w:abstractNumId w:val="48"/>
  </w:num>
  <w:num w:numId="26">
    <w:abstractNumId w:val="42"/>
  </w:num>
  <w:num w:numId="28">
    <w:abstractNumId w:val="36"/>
  </w:num>
  <w:num w:numId="37">
    <w:abstractNumId w:val="30"/>
  </w:num>
  <w:num w:numId="39">
    <w:abstractNumId w:val="24"/>
  </w:num>
  <w:num w:numId="41">
    <w:abstractNumId w:val="18"/>
  </w:num>
  <w:num w:numId="43">
    <w:abstractNumId w:val="12"/>
  </w:num>
  <w:num w:numId="47">
    <w:abstractNumId w:val="6"/>
  </w:num>
  <w:num w:numId="5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