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uppressAutoHyphens w:val="tru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6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center"/>
        <w:rPr>
          <w:rFonts w:ascii="Calibri" w:hAnsi="Calibri" w:cs="Calibri" w:eastAsia="Calibri"/>
          <w:b/>
          <w:color w:val="auto"/>
          <w:spacing w:val="0"/>
          <w:position w:val="0"/>
          <w:sz w:val="36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36"/>
          <w:shd w:fill="auto" w:val="clear"/>
        </w:rPr>
        <w:t xml:space="preserve">Výro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36"/>
          <w:shd w:fill="auto" w:val="clear"/>
        </w:rPr>
        <w:t xml:space="preserve">čná správa neziskovej organizácie</w:t>
      </w:r>
    </w:p>
    <w:p>
      <w:pPr>
        <w:suppressAutoHyphens w:val="true"/>
        <w:spacing w:before="0" w:after="0" w:line="240"/>
        <w:ind w:right="0" w:left="0" w:firstLine="0"/>
        <w:jc w:val="center"/>
        <w:rPr>
          <w:rFonts w:ascii="Calibri" w:hAnsi="Calibri" w:cs="Calibri" w:eastAsia="Calibri"/>
          <w:b/>
          <w:color w:val="auto"/>
          <w:spacing w:val="0"/>
          <w:position w:val="0"/>
          <w:sz w:val="36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center"/>
        <w:rPr>
          <w:rFonts w:ascii="Calibri" w:hAnsi="Calibri" w:cs="Calibri" w:eastAsia="Calibri"/>
          <w:b/>
          <w:color w:val="auto"/>
          <w:spacing w:val="0"/>
          <w:position w:val="0"/>
          <w:sz w:val="36"/>
          <w:shd w:fill="FFCC99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36"/>
          <w:shd w:fill="auto" w:val="clear"/>
        </w:rPr>
        <w:t xml:space="preserve">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36"/>
          <w:shd w:fill="FFCC99" w:val="clear"/>
        </w:rPr>
        <w:t xml:space="preserve">Rodinné centrum SLNIE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36"/>
          <w:shd w:fill="FFCC99" w:val="clear"/>
        </w:rPr>
        <w:t xml:space="preserve">ČKO n.o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36"/>
          <w:shd w:fill="auto" w:val="clear"/>
        </w:rPr>
        <w:t xml:space="preserve">,  za rok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36"/>
          <w:shd w:fill="FFCC99" w:val="clear"/>
        </w:rPr>
        <w:t xml:space="preserve">2016</w:t>
      </w:r>
    </w:p>
    <w:p>
      <w:pPr>
        <w:suppressAutoHyphens w:val="true"/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  <w:t xml:space="preserve">V </w:t>
      </w:r>
      <w:r>
        <w:rPr>
          <w:rFonts w:ascii="Calibri" w:hAnsi="Calibri" w:cs="Calibri" w:eastAsia="Calibri"/>
          <w:color w:val="auto"/>
          <w:spacing w:val="0"/>
          <w:position w:val="0"/>
          <w:sz w:val="32"/>
          <w:shd w:fill="FFCC99" w:val="clear"/>
        </w:rPr>
        <w:t xml:space="preserve">Komárne</w:t>
      </w:r>
      <w:r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  <w:t xml:space="preserve">, 1.5.2017</w:t>
      </w:r>
    </w:p>
    <w:p>
      <w:pPr>
        <w:suppressAutoHyphens w:val="true"/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32"/>
          <w:u w:val="single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u w:val="single"/>
          <w:shd w:fill="auto" w:val="clear"/>
        </w:rPr>
        <w:t xml:space="preserve">OBSAH:</w:t>
      </w:r>
    </w:p>
    <w:p>
      <w:pPr>
        <w:suppressAutoHyphens w:val="true"/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</w:p>
    <w:p>
      <w:pPr>
        <w:tabs>
          <w:tab w:val="right" w:pos="9072" w:leader="dot"/>
        </w:tabs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Rodinné centrum SLNIE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ČKO , n. o., so sídlom: Vážského brehu 152/17 Komárno, IČO: 50229664</w:t>
        <w:tab/>
        <w:t xml:space="preserve">1</w:t>
      </w:r>
    </w:p>
    <w:p>
      <w:pPr>
        <w:tabs>
          <w:tab w:val="right" w:pos="9072" w:leader="dot"/>
        </w:tabs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1. ÚVOD</w:t>
        <w:tab/>
        <w:t xml:space="preserve">4</w:t>
      </w:r>
    </w:p>
    <w:p>
      <w:pPr>
        <w:tabs>
          <w:tab w:val="right" w:pos="9072" w:leader="dot"/>
        </w:tabs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2. Preh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ľad činností uskutočnených organizáciou za rok 2015</w:t>
        <w:tab/>
        <w:t xml:space="preserve">5</w:t>
      </w:r>
    </w:p>
    <w:p>
      <w:pPr>
        <w:tabs>
          <w:tab w:val="right" w:pos="9072" w:leader="dot"/>
        </w:tabs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3. Ro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čná účtovná závierka a zhodnotenie základných údajov v nej obsiahnutých</w:t>
        <w:tab/>
        <w:t xml:space="preserve">6</w:t>
      </w:r>
    </w:p>
    <w:p>
      <w:pPr>
        <w:tabs>
          <w:tab w:val="right" w:pos="9072" w:leader="dot"/>
        </w:tabs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4. Výrok audítora k ro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čnej účtovnej závierke</w:t>
        <w:tab/>
        <w:t xml:space="preserve">6</w:t>
      </w:r>
    </w:p>
    <w:p>
      <w:pPr>
        <w:tabs>
          <w:tab w:val="right" w:pos="9072" w:leader="dot"/>
        </w:tabs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5. Preh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ľad o peňažných príjmoch a výdavkov</w:t>
        <w:tab/>
        <w:t xml:space="preserve">7</w:t>
      </w:r>
    </w:p>
    <w:p>
      <w:pPr>
        <w:tabs>
          <w:tab w:val="right" w:pos="9072" w:leader="dot"/>
        </w:tabs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6. Stav a pohyb majetku a záväzkov organizácie</w:t>
        <w:tab/>
        <w:t xml:space="preserve">7</w:t>
      </w:r>
    </w:p>
    <w:p>
      <w:pPr>
        <w:tabs>
          <w:tab w:val="right" w:pos="9072" w:leader="dot"/>
        </w:tabs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7. Zmeny a nové zloženie organizácie</w:t>
        <w:tab/>
        <w:t xml:space="preserve">8</w:t>
      </w:r>
    </w:p>
    <w:p>
      <w:pPr>
        <w:tabs>
          <w:tab w:val="right" w:pos="9072" w:leader="dot"/>
        </w:tabs>
        <w:suppressAutoHyphens w:val="true"/>
        <w:spacing w:before="0" w:after="0" w:line="240"/>
        <w:ind w:right="0" w:left="24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Szabó Ladislav</w:t>
        <w:tab/>
        <w:t xml:space="preserve">8</w:t>
      </w:r>
    </w:p>
    <w:p>
      <w:pPr>
        <w:tabs>
          <w:tab w:val="right" w:pos="9072" w:leader="dot"/>
        </w:tabs>
        <w:suppressAutoHyphens w:val="true"/>
        <w:spacing w:before="0" w:after="0" w:line="240"/>
        <w:ind w:right="0" w:left="24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Riadite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ľ n.o.</w:t>
        <w:tab/>
        <w:t xml:space="preserve">8</w:t>
      </w:r>
    </w:p>
    <w:p>
      <w:pPr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</w:pPr>
    </w:p>
    <w:p>
      <w:pPr>
        <w:keepNext w:val="true"/>
        <w:numPr>
          <w:ilvl w:val="0"/>
          <w:numId w:val="7"/>
        </w:numPr>
        <w:suppressAutoHyphens w:val="true"/>
        <w:spacing w:before="0" w:after="0" w:line="240"/>
        <w:ind w:right="0" w:left="432" w:hanging="432"/>
        <w:jc w:val="both"/>
        <w:rPr>
          <w:rFonts w:ascii="Calibri" w:hAnsi="Calibri" w:cs="Calibri" w:eastAsia="Calibri"/>
          <w:b/>
          <w:caps w:val="true"/>
          <w:color w:val="auto"/>
          <w:spacing w:val="0"/>
          <w:position w:val="0"/>
          <w:sz w:val="32"/>
          <w:u w:val="single"/>
          <w:shd w:fill="auto" w:val="clear"/>
        </w:rPr>
      </w:pPr>
      <w:r>
        <w:rPr>
          <w:rFonts w:ascii="Calibri" w:hAnsi="Calibri" w:cs="Calibri" w:eastAsia="Calibri"/>
          <w:b/>
          <w:caps w:val="true"/>
          <w:color w:val="auto"/>
          <w:spacing w:val="0"/>
          <w:position w:val="0"/>
          <w:sz w:val="32"/>
          <w:u w:val="single"/>
          <w:shd w:fill="auto" w:val="clear"/>
        </w:rPr>
        <w:t xml:space="preserve">1.  ÚVOD</w:t>
      </w:r>
    </w:p>
    <w:p>
      <w:pPr>
        <w:suppressAutoHyphens w:val="true"/>
        <w:spacing w:before="0" w:after="0" w:line="240"/>
        <w:ind w:right="0" w:left="36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</w:pPr>
    </w:p>
    <w:p>
      <w:pPr>
        <w:suppressAutoHyphens w:val="true"/>
        <w:spacing w:before="0" w:after="0" w:line="240"/>
        <w:ind w:right="0" w:left="36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Nezisková organizácia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FFCC99" w:val="clear"/>
        </w:rPr>
        <w:t xml:space="preserve">Rodinné centrum SLNIE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FFCC99" w:val="clear"/>
        </w:rPr>
        <w:t xml:space="preserve">ČKO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, n.o. so sídlom: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FFCC99" w:val="clear"/>
        </w:rPr>
        <w:t xml:space="preserve">Vážského brehu 152/17 Komárno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, IČO:50229664 vznikla dňa 02.03.2016 na základe rozhodnutia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FFCC99" w:val="clear"/>
        </w:rPr>
        <w:t xml:space="preserve">Obvodného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úradu v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FFCC99" w:val="clear"/>
        </w:rPr>
        <w:t xml:space="preserve">Nitre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podľa ustanovenia § 9 ods. 1 zákona č. 213/1997 Z . z. o neziskových organizáciách poskytujúcich všeobecne prospešné služby v platnom znení (ďalej len „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Zákon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“).</w:t>
      </w:r>
    </w:p>
    <w:p>
      <w:pPr>
        <w:suppressAutoHyphens w:val="true"/>
        <w:spacing w:before="0" w:after="0" w:line="240"/>
        <w:ind w:right="0" w:left="36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uppressAutoHyphens w:val="true"/>
        <w:spacing w:before="0" w:after="0" w:line="240"/>
        <w:ind w:right="0" w:left="36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FFCC99" w:val="clear"/>
        </w:rPr>
        <w:t xml:space="preserve">..Rodinné centrum SLNIE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FFCC99" w:val="clear"/>
        </w:rPr>
        <w:t xml:space="preserve">ČKO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, n. o poskytuje nasledovné všeobecne prospešné služby:</w:t>
      </w:r>
    </w:p>
    <w:p>
      <w:pPr>
        <w:numPr>
          <w:ilvl w:val="0"/>
          <w:numId w:val="9"/>
        </w:numPr>
        <w:spacing w:before="0" w:after="0" w:line="312"/>
        <w:ind w:right="0" w:left="644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 xml:space="preserve">chráni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 xml:space="preserve">ť a presadzovať záujmy obyvateľov  pri príprave a realizácii takých aktivít v regióne, ktoré majú vplyv na životné prostredie a kvalitu života</w:t>
      </w:r>
    </w:p>
    <w:p>
      <w:pPr>
        <w:numPr>
          <w:ilvl w:val="0"/>
          <w:numId w:val="9"/>
        </w:numPr>
        <w:spacing w:before="0" w:after="0" w:line="312"/>
        <w:ind w:right="0" w:left="644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 xml:space="preserve">poskytovanie socialnej a humanitarnej pomoci</w:t>
      </w:r>
    </w:p>
    <w:p>
      <w:pPr>
        <w:numPr>
          <w:ilvl w:val="0"/>
          <w:numId w:val="9"/>
        </w:numPr>
        <w:spacing w:before="0" w:after="0" w:line="312"/>
        <w:ind w:right="0" w:left="644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 xml:space="preserve">vedenie mládeže k pôlnohospodárskej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 xml:space="preserve">činnosti</w:t>
      </w:r>
    </w:p>
    <w:p>
      <w:pPr>
        <w:numPr>
          <w:ilvl w:val="0"/>
          <w:numId w:val="9"/>
        </w:numPr>
        <w:spacing w:before="0" w:after="0" w:line="312"/>
        <w:ind w:right="0" w:left="644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 xml:space="preserve">organizova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 xml:space="preserve">ť akcie a aktivity pre rozvoj a ochranu kultúrnych hodnôt regiónu</w:t>
      </w:r>
    </w:p>
    <w:p>
      <w:pPr>
        <w:numPr>
          <w:ilvl w:val="0"/>
          <w:numId w:val="9"/>
        </w:numPr>
        <w:spacing w:before="0" w:after="0" w:line="312"/>
        <w:ind w:right="0" w:left="644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 xml:space="preserve">tvorba, ochrana a skvalit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 xml:space="preserve">ňovanie životného prostredia</w:t>
      </w:r>
    </w:p>
    <w:p>
      <w:pPr>
        <w:numPr>
          <w:ilvl w:val="0"/>
          <w:numId w:val="9"/>
        </w:numPr>
        <w:spacing w:before="0" w:after="0" w:line="312"/>
        <w:ind w:right="0" w:left="644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 xml:space="preserve">spolupracova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 xml:space="preserve">ť s ďalšími, záujmovo príbuznými organizáciami a združeniami</w:t>
      </w:r>
    </w:p>
    <w:p>
      <w:pPr>
        <w:numPr>
          <w:ilvl w:val="0"/>
          <w:numId w:val="9"/>
        </w:numPr>
        <w:spacing w:before="0" w:after="0" w:line="312"/>
        <w:ind w:right="0" w:left="644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 xml:space="preserve">spolupracova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 xml:space="preserve">ť so zahraničnými subjektami v záujme vytvorenia lepších podmienok pre dosahovanie svojich zámerov</w:t>
      </w:r>
    </w:p>
    <w:p>
      <w:pPr>
        <w:numPr>
          <w:ilvl w:val="0"/>
          <w:numId w:val="9"/>
        </w:numPr>
        <w:spacing w:before="0" w:after="0" w:line="312"/>
        <w:ind w:right="0" w:left="644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 xml:space="preserve">organizova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 xml:space="preserve">ť vzdelávacie podujatia ( semináre, prednášky, konferencie ) v oblasti svojho záujmu</w:t>
      </w:r>
    </w:p>
    <w:p>
      <w:pPr>
        <w:numPr>
          <w:ilvl w:val="0"/>
          <w:numId w:val="9"/>
        </w:numPr>
        <w:spacing w:before="0" w:after="0" w:line="312"/>
        <w:ind w:right="0" w:left="644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 xml:space="preserve">ochrana a tvorba životného prostredia</w:t>
      </w:r>
    </w:p>
    <w:p>
      <w:pPr>
        <w:numPr>
          <w:ilvl w:val="0"/>
          <w:numId w:val="9"/>
        </w:numPr>
        <w:spacing w:before="0" w:after="0" w:line="312"/>
        <w:ind w:right="0" w:left="644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 xml:space="preserve">využívanie, rozvoj a prezentácia obnovite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 xml:space="preserve">ľných zdrojov energie</w:t>
      </w:r>
    </w:p>
    <w:p>
      <w:pPr>
        <w:numPr>
          <w:ilvl w:val="0"/>
          <w:numId w:val="9"/>
        </w:numPr>
        <w:spacing w:before="0" w:after="120" w:line="240"/>
        <w:ind w:right="71" w:left="644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výroba výrobkov v chránených dielnach</w:t>
      </w:r>
    </w:p>
    <w:p>
      <w:pPr>
        <w:numPr>
          <w:ilvl w:val="0"/>
          <w:numId w:val="9"/>
        </w:numPr>
        <w:spacing w:before="0" w:after="0" w:line="240"/>
        <w:ind w:right="0" w:left="644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ochrana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ľudských práv a základných slobôd.</w:t>
      </w:r>
    </w:p>
    <w:p>
      <w:pPr>
        <w:numPr>
          <w:ilvl w:val="0"/>
          <w:numId w:val="9"/>
        </w:numPr>
        <w:spacing w:before="0" w:after="0" w:line="240"/>
        <w:ind w:right="0" w:left="644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tvorba, rozvoj, ochrana, obnova a prezentácia duchovných a kultúrnych hodnôt,</w:t>
      </w:r>
    </w:p>
    <w:p>
      <w:pPr>
        <w:numPr>
          <w:ilvl w:val="0"/>
          <w:numId w:val="9"/>
        </w:numPr>
        <w:spacing w:before="0" w:after="0" w:line="240"/>
        <w:ind w:right="0" w:left="644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služby na podporu regionálneho rozvoja a zamestnanosti</w:t>
      </w:r>
    </w:p>
    <w:p>
      <w:pPr>
        <w:numPr>
          <w:ilvl w:val="0"/>
          <w:numId w:val="9"/>
        </w:numPr>
        <w:spacing w:before="0" w:after="0" w:line="240"/>
        <w:ind w:right="0" w:left="644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prevadzkovanie komunitného centra a práca z klientami  marketizovaných komunit</w:t>
      </w:r>
    </w:p>
    <w:p>
      <w:pPr>
        <w:suppressAutoHyphens w:val="true"/>
        <w:spacing w:before="0" w:after="0" w:line="240"/>
        <w:ind w:right="0" w:left="36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uppressAutoHyphens w:val="true"/>
        <w:spacing w:before="0" w:after="0" w:line="240"/>
        <w:ind w:right="0" w:left="36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FFCC99" w:val="clear"/>
        </w:rPr>
      </w:pPr>
    </w:p>
    <w:p>
      <w:pPr>
        <w:suppressAutoHyphens w:val="true"/>
        <w:spacing w:before="0" w:after="0" w:line="240"/>
        <w:ind w:right="0" w:left="72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uppressAutoHyphens w:val="true"/>
        <w:spacing w:before="0" w:after="0" w:line="240"/>
        <w:ind w:right="0" w:left="36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uppressAutoHyphens w:val="true"/>
        <w:spacing w:before="0" w:after="0" w:line="240"/>
        <w:ind w:right="0" w:left="36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FFCC99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Hlavným cie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ľom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FFCC99" w:val="clear"/>
        </w:rPr>
        <w:t xml:space="preserve">Rodinného centra SLNIEČKO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, n.o. je najmä: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FFCC99" w:val="clear"/>
        </w:rPr>
        <w:t xml:space="preserve">pomoc ZŤP a sociálne slabým rodinám</w:t>
      </w:r>
    </w:p>
    <w:p>
      <w:pPr>
        <w:suppressAutoHyphens w:val="true"/>
        <w:spacing w:before="0" w:after="0" w:line="240"/>
        <w:ind w:right="0" w:left="36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uppressAutoHyphens w:val="true"/>
        <w:spacing w:before="0" w:after="0" w:line="240"/>
        <w:ind w:right="0" w:left="36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Orgánmi neziskovej organizácie sú:</w:t>
      </w:r>
    </w:p>
    <w:p>
      <w:pPr>
        <w:numPr>
          <w:ilvl w:val="0"/>
          <w:numId w:val="15"/>
        </w:numPr>
        <w:tabs>
          <w:tab w:val="left" w:pos="720" w:leader="none"/>
        </w:tabs>
        <w:suppressAutoHyphens w:val="true"/>
        <w:spacing w:before="0" w:after="0" w:line="240"/>
        <w:ind w:right="0" w:left="720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FFCC99" w:val="clear"/>
        </w:rPr>
        <w:t xml:space="preserve">Riaditel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;  Ladislav Szabó</w:t>
      </w:r>
    </w:p>
    <w:p>
      <w:pPr>
        <w:numPr>
          <w:ilvl w:val="0"/>
          <w:numId w:val="15"/>
        </w:numPr>
        <w:tabs>
          <w:tab w:val="left" w:pos="720" w:leader="none"/>
        </w:tabs>
        <w:suppressAutoHyphens w:val="true"/>
        <w:spacing w:before="0" w:after="0" w:line="240"/>
        <w:ind w:right="0" w:left="720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32"/>
          <w:shd w:fill="FFCC99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FFCC99" w:val="clear"/>
        </w:rPr>
        <w:t xml:space="preserve">správná rada</w:t>
      </w:r>
      <w:r>
        <w:rPr>
          <w:rFonts w:ascii="Calibri" w:hAnsi="Calibri" w:cs="Calibri" w:eastAsia="Calibri"/>
          <w:color w:val="auto"/>
          <w:spacing w:val="0"/>
          <w:position w:val="0"/>
          <w:sz w:val="32"/>
          <w:shd w:fill="FFCC99" w:val="clear"/>
        </w:rPr>
        <w:t xml:space="preserve"> </w:t>
      </w:r>
    </w:p>
    <w:p>
      <w:pPr>
        <w:suppressAutoHyphens w:val="true"/>
        <w:spacing w:before="0" w:after="0" w:line="240"/>
        <w:ind w:right="0" w:left="36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</w:pPr>
    </w:p>
    <w:p>
      <w:pPr>
        <w:keepNext w:val="true"/>
        <w:numPr>
          <w:ilvl w:val="0"/>
          <w:numId w:val="17"/>
        </w:numPr>
        <w:suppressAutoHyphens w:val="true"/>
        <w:spacing w:before="0" w:after="0" w:line="240"/>
        <w:ind w:right="0" w:left="432" w:hanging="432"/>
        <w:jc w:val="both"/>
        <w:rPr>
          <w:rFonts w:ascii="Calibri" w:hAnsi="Calibri" w:cs="Calibri" w:eastAsia="Calibri"/>
          <w:b/>
          <w:caps w:val="true"/>
          <w:color w:val="auto"/>
          <w:spacing w:val="0"/>
          <w:position w:val="0"/>
          <w:sz w:val="32"/>
          <w:u w:val="single"/>
          <w:shd w:fill="auto" w:val="clear"/>
        </w:rPr>
      </w:pPr>
      <w:r>
        <w:rPr>
          <w:rFonts w:ascii="Calibri" w:hAnsi="Calibri" w:cs="Calibri" w:eastAsia="Calibri"/>
          <w:b/>
          <w:caps w:val="true"/>
          <w:color w:val="auto"/>
          <w:spacing w:val="0"/>
          <w:position w:val="0"/>
          <w:sz w:val="32"/>
          <w:u w:val="single"/>
          <w:shd w:fill="auto" w:val="clear"/>
        </w:rPr>
        <w:t xml:space="preserve">2. Preh</w:t>
      </w:r>
      <w:r>
        <w:rPr>
          <w:rFonts w:ascii="Calibri" w:hAnsi="Calibri" w:cs="Calibri" w:eastAsia="Calibri"/>
          <w:b/>
          <w:caps w:val="true"/>
          <w:color w:val="auto"/>
          <w:spacing w:val="0"/>
          <w:position w:val="0"/>
          <w:sz w:val="32"/>
          <w:u w:val="single"/>
          <w:shd w:fill="auto" w:val="clear"/>
        </w:rPr>
        <w:t xml:space="preserve">ľad činností uskutočnených organizáciou za rok 2015</w:t>
      </w:r>
    </w:p>
    <w:p>
      <w:pPr>
        <w:suppressAutoHyphens w:val="true"/>
        <w:spacing w:before="0" w:after="0" w:line="240"/>
        <w:ind w:right="0" w:left="360" w:firstLine="0"/>
        <w:jc w:val="both"/>
        <w:rPr>
          <w:rFonts w:ascii="Calibri" w:hAnsi="Calibri" w:cs="Calibri" w:eastAsia="Calibri"/>
          <w:caps w:val="true"/>
          <w:color w:val="auto"/>
          <w:spacing w:val="0"/>
          <w:position w:val="0"/>
          <w:sz w:val="32"/>
          <w:shd w:fill="auto" w:val="clear"/>
        </w:rPr>
      </w:pPr>
    </w:p>
    <w:p>
      <w:pPr>
        <w:suppressAutoHyphens w:val="true"/>
        <w:spacing w:before="0" w:after="0" w:line="240"/>
        <w:ind w:right="0" w:left="36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čas roka 2016 Rodinné centrum SLNIEČKO n.o. realizovala </w:t>
      </w:r>
    </w:p>
    <w:p>
      <w:pPr>
        <w:suppressAutoHyphens w:val="true"/>
        <w:spacing w:before="0" w:after="0" w:line="240"/>
        <w:ind w:right="0" w:left="36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FFCC99" w:val="clear"/>
        </w:rPr>
      </w:pPr>
    </w:p>
    <w:p>
      <w:pPr>
        <w:numPr>
          <w:ilvl w:val="0"/>
          <w:numId w:val="19"/>
        </w:numPr>
        <w:tabs>
          <w:tab w:val="left" w:pos="720" w:leader="none"/>
        </w:tabs>
        <w:suppressAutoHyphens w:val="true"/>
        <w:spacing w:before="0" w:after="0" w:line="240"/>
        <w:ind w:right="0" w:left="720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FFCC99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FFCC99" w:val="clear"/>
        </w:rPr>
        <w:t xml:space="preserve">otvorenie  chranenej dielne;</w:t>
      </w:r>
    </w:p>
    <w:p>
      <w:pPr>
        <w:numPr>
          <w:ilvl w:val="0"/>
          <w:numId w:val="19"/>
        </w:numPr>
        <w:tabs>
          <w:tab w:val="left" w:pos="720" w:leader="none"/>
        </w:tabs>
        <w:suppressAutoHyphens w:val="true"/>
        <w:spacing w:before="0" w:after="0" w:line="240"/>
        <w:ind w:right="0" w:left="720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FFCC99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FFCC99" w:val="clear"/>
        </w:rPr>
        <w:t xml:space="preserve">pomoc rozným socialne slabým rodinnám ,právná pomoc a zastupovanie na úradoch, organizovanie rôznych akcií.</w:t>
      </w:r>
    </w:p>
    <w:p>
      <w:pPr>
        <w:suppressAutoHyphens w:val="true"/>
        <w:spacing w:before="0" w:after="0" w:line="240"/>
        <w:ind w:right="0" w:left="72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21"/>
        </w:numPr>
        <w:tabs>
          <w:tab w:val="left" w:pos="720" w:leader="none"/>
        </w:tabs>
        <w:suppressAutoHyphens w:val="true"/>
        <w:spacing w:before="0" w:after="0" w:line="240"/>
        <w:ind w:right="0" w:left="720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FFCC99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FFCC99" w:val="clear"/>
        </w:rPr>
        <w:t xml:space="preserve">budovanie deckého parku v objektu centra</w:t>
      </w:r>
    </w:p>
    <w:p>
      <w:pPr>
        <w:numPr>
          <w:ilvl w:val="0"/>
          <w:numId w:val="21"/>
        </w:numPr>
        <w:tabs>
          <w:tab w:val="left" w:pos="720" w:leader="none"/>
        </w:tabs>
        <w:suppressAutoHyphens w:val="true"/>
        <w:spacing w:before="0" w:after="0" w:line="240"/>
        <w:ind w:right="0" w:left="720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FFCC99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FFCC99" w:val="clear"/>
        </w:rPr>
        <w:t xml:space="preserve">rozdavnie potravinovej pomoci potrebným</w:t>
      </w:r>
    </w:p>
    <w:p>
      <w:pPr>
        <w:numPr>
          <w:ilvl w:val="0"/>
          <w:numId w:val="21"/>
        </w:numPr>
        <w:tabs>
          <w:tab w:val="left" w:pos="720" w:leader="none"/>
        </w:tabs>
        <w:suppressAutoHyphens w:val="true"/>
        <w:spacing w:before="0" w:after="0" w:line="240"/>
        <w:ind w:right="0" w:left="720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FFCC99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FFCC99" w:val="clear"/>
        </w:rPr>
        <w:t xml:space="preserve">budovanie hospodárského dvora pre deti</w:t>
      </w:r>
    </w:p>
    <w:p>
      <w:pPr>
        <w:suppressAutoHyphens w:val="true"/>
        <w:spacing w:before="0" w:after="0" w:line="240"/>
        <w:ind w:right="0" w:left="36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23"/>
        </w:numPr>
        <w:suppressAutoHyphens w:val="true"/>
        <w:spacing w:before="0" w:after="0" w:line="240"/>
        <w:ind w:right="0" w:left="432" w:hanging="432"/>
        <w:jc w:val="both"/>
        <w:rPr>
          <w:rFonts w:ascii="Calibri" w:hAnsi="Calibri" w:cs="Calibri" w:eastAsia="Calibri"/>
          <w:b/>
          <w:caps w:val="true"/>
          <w:color w:val="auto"/>
          <w:spacing w:val="0"/>
          <w:position w:val="0"/>
          <w:sz w:val="32"/>
          <w:u w:val="single"/>
          <w:shd w:fill="auto" w:val="clear"/>
        </w:rPr>
      </w:pPr>
      <w:r>
        <w:rPr>
          <w:rFonts w:ascii="Calibri" w:hAnsi="Calibri" w:cs="Calibri" w:eastAsia="Calibri"/>
          <w:b/>
          <w:caps w:val="true"/>
          <w:color w:val="auto"/>
          <w:spacing w:val="0"/>
          <w:position w:val="0"/>
          <w:sz w:val="32"/>
          <w:u w:val="single"/>
          <w:shd w:fill="auto" w:val="clear"/>
        </w:rPr>
        <w:t xml:space="preserve">3. Ro</w:t>
      </w:r>
      <w:r>
        <w:rPr>
          <w:rFonts w:ascii="Calibri" w:hAnsi="Calibri" w:cs="Calibri" w:eastAsia="Calibri"/>
          <w:b/>
          <w:caps w:val="true"/>
          <w:color w:val="auto"/>
          <w:spacing w:val="0"/>
          <w:position w:val="0"/>
          <w:sz w:val="32"/>
          <w:u w:val="single"/>
          <w:shd w:fill="auto" w:val="clear"/>
        </w:rPr>
        <w:t xml:space="preserve">čná účtovná závierka a zhodnotenie základných údajov v nej obsiahnutých</w:t>
      </w:r>
    </w:p>
    <w:p>
      <w:pPr>
        <w:suppressAutoHyphens w:val="true"/>
        <w:spacing w:before="0" w:after="0" w:line="240"/>
        <w:ind w:right="0" w:left="0" w:firstLine="0"/>
        <w:jc w:val="both"/>
        <w:rPr>
          <w:rFonts w:ascii="Calibri" w:hAnsi="Calibri" w:cs="Calibri" w:eastAsia="Calibri"/>
          <w:caps w:val="true"/>
          <w:color w:val="auto"/>
          <w:spacing w:val="0"/>
          <w:position w:val="0"/>
          <w:sz w:val="32"/>
          <w:shd w:fill="auto" w:val="clear"/>
        </w:rPr>
      </w:pPr>
    </w:p>
    <w:p>
      <w:pPr>
        <w:suppressAutoHyphens w:val="true"/>
        <w:spacing w:before="0" w:after="0" w:line="240"/>
        <w:ind w:right="0" w:left="36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V súlade s § 4 ods. 2 zákona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č. 431/2002 Z. z. o účtovníctve v platnom znení 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FFCC99" w:val="clear"/>
        </w:rPr>
        <w:t xml:space="preserve">Rodinné centrum SLNIEČKO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, n.o. účtuje v sústave podvojného účtovníctva . </w:t>
      </w:r>
    </w:p>
    <w:p>
      <w:pPr>
        <w:suppressAutoHyphens w:val="true"/>
        <w:spacing w:before="0" w:after="0" w:line="240"/>
        <w:ind w:right="0" w:left="36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uppressAutoHyphens w:val="true"/>
        <w:spacing w:before="0" w:after="0" w:line="240"/>
        <w:ind w:right="0" w:left="36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čtovná závierka je výsledným produktom účtovnej uzávierky. Príprava a zostavenie účtovnej závierky sa skladá z 3 etáp :</w:t>
      </w:r>
    </w:p>
    <w:p>
      <w:pPr>
        <w:suppressAutoHyphens w:val="true"/>
        <w:spacing w:before="0" w:after="0" w:line="240"/>
        <w:ind w:right="0" w:left="36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1etapa: prípravné práce – sem patrí  zú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čtovanie všetkých účtovných prípadov za daný rok do peňažného denníka, vykonanie inventarizácie majetku a záväzkov a zaúčtovanie uzávierkových účtovných operácií</w:t>
      </w:r>
    </w:p>
    <w:p>
      <w:pPr>
        <w:suppressAutoHyphens w:val="true"/>
        <w:spacing w:before="0" w:after="0" w:line="240"/>
        <w:ind w:right="0" w:left="36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2 etapa: uzatvorenie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čtovných kníh t.j. účtovná uzávierka </w:t>
      </w:r>
    </w:p>
    <w:p>
      <w:pPr>
        <w:suppressAutoHyphens w:val="true"/>
        <w:spacing w:before="0" w:after="0" w:line="240"/>
        <w:ind w:right="0" w:left="36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3 etapa: zostavenie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čtovných výkazov t.j. účtovná závierka</w:t>
      </w:r>
    </w:p>
    <w:p>
      <w:pPr>
        <w:suppressAutoHyphens w:val="true"/>
        <w:spacing w:before="0" w:after="0" w:line="240"/>
        <w:ind w:right="0" w:left="36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uppressAutoHyphens w:val="true"/>
        <w:spacing w:before="0" w:after="0" w:line="240"/>
        <w:ind w:right="0" w:left="36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čtovná uzávierka predstavuje sústavu  výstupných informácií z bežného účtovníctva. Na základe účtovnej závierky Rodinné centrum SLNIEČKO, n. o. zostavuje Výkaz o majetku a záväzkoch a Výkaz o príjmoch a výdavkoch. Tieto výkazy tvoria účtovnú závierku v podvojnom účtovníctve a sú súčasťou daňového priznania dani z príjmov.</w:t>
      </w:r>
    </w:p>
    <w:p>
      <w:pPr>
        <w:suppressAutoHyphens w:val="true"/>
        <w:spacing w:before="0" w:after="0" w:line="240"/>
        <w:ind w:right="0" w:left="36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uppressAutoHyphens w:val="true"/>
        <w:spacing w:before="0" w:after="0" w:line="240"/>
        <w:ind w:right="0" w:left="36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26"/>
        </w:numPr>
        <w:suppressAutoHyphens w:val="true"/>
        <w:spacing w:before="0" w:after="0" w:line="240"/>
        <w:ind w:right="0" w:left="432" w:hanging="432"/>
        <w:jc w:val="both"/>
        <w:rPr>
          <w:rFonts w:ascii="Calibri" w:hAnsi="Calibri" w:cs="Calibri" w:eastAsia="Calibri"/>
          <w:b/>
          <w:caps w:val="true"/>
          <w:color w:val="auto"/>
          <w:spacing w:val="0"/>
          <w:position w:val="0"/>
          <w:sz w:val="32"/>
          <w:u w:val="single"/>
          <w:shd w:fill="auto" w:val="clear"/>
        </w:rPr>
      </w:pPr>
      <w:r>
        <w:rPr>
          <w:rFonts w:ascii="Calibri" w:hAnsi="Calibri" w:cs="Calibri" w:eastAsia="Calibri"/>
          <w:b/>
          <w:caps w:val="true"/>
          <w:color w:val="auto"/>
          <w:spacing w:val="0"/>
          <w:position w:val="0"/>
          <w:sz w:val="32"/>
          <w:u w:val="single"/>
          <w:shd w:fill="auto" w:val="clear"/>
        </w:rPr>
        <w:t xml:space="preserve">4. Výrok audítora k ro</w:t>
      </w:r>
      <w:r>
        <w:rPr>
          <w:rFonts w:ascii="Calibri" w:hAnsi="Calibri" w:cs="Calibri" w:eastAsia="Calibri"/>
          <w:b/>
          <w:caps w:val="true"/>
          <w:color w:val="auto"/>
          <w:spacing w:val="0"/>
          <w:position w:val="0"/>
          <w:sz w:val="32"/>
          <w:u w:val="single"/>
          <w:shd w:fill="auto" w:val="clear"/>
        </w:rPr>
        <w:t xml:space="preserve">čnej účtovnej závierke</w:t>
      </w:r>
    </w:p>
    <w:p>
      <w:pPr>
        <w:suppressAutoHyphens w:val="true"/>
        <w:spacing w:before="0" w:after="0" w:line="240"/>
        <w:ind w:right="0" w:left="360" w:firstLine="0"/>
        <w:jc w:val="both"/>
        <w:rPr>
          <w:rFonts w:ascii="Calibri" w:hAnsi="Calibri" w:cs="Calibri" w:eastAsia="Calibri"/>
          <w:caps w:val="true"/>
          <w:color w:val="auto"/>
          <w:spacing w:val="0"/>
          <w:position w:val="0"/>
          <w:sz w:val="32"/>
          <w:shd w:fill="auto" w:val="clear"/>
        </w:rPr>
      </w:pPr>
    </w:p>
    <w:p>
      <w:pPr>
        <w:suppressAutoHyphens w:val="true"/>
        <w:spacing w:before="0" w:after="0" w:line="240"/>
        <w:ind w:right="0" w:left="36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Vzh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ľadom na skutočnosť, že dotácie zo štátneho rozpočtu, z rozpočtu štátneho fondu a z rozpočtu obce neprekročili v roku 2016 sumu 33 193 eur a príjmy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FFCC99" w:val="clear"/>
        </w:rPr>
        <w:t xml:space="preserve">Rodinné centrum SLNIEČKO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, n.o. za rok 2016 neboli vyššie ako 165 969 eur, audit v súlade s § 33 ods. 3 Zákona vykonaný nebol.-</w:t>
      </w:r>
    </w:p>
    <w:p>
      <w:pPr>
        <w:suppressAutoHyphens w:val="true"/>
        <w:spacing w:before="0" w:after="0" w:line="240"/>
        <w:ind w:right="0" w:left="36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uppressAutoHyphens w:val="true"/>
        <w:spacing w:before="0" w:after="0" w:line="240"/>
        <w:ind w:right="0" w:left="36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uppressAutoHyphens w:val="true"/>
        <w:spacing w:before="0" w:after="0" w:line="240"/>
        <w:ind w:right="0" w:left="36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28"/>
        </w:numPr>
        <w:suppressAutoHyphens w:val="true"/>
        <w:spacing w:before="0" w:after="0" w:line="240"/>
        <w:ind w:right="0" w:left="432" w:hanging="432"/>
        <w:jc w:val="both"/>
        <w:rPr>
          <w:rFonts w:ascii="Calibri" w:hAnsi="Calibri" w:cs="Calibri" w:eastAsia="Calibri"/>
          <w:b/>
          <w:caps w:val="true"/>
          <w:color w:val="auto"/>
          <w:spacing w:val="0"/>
          <w:position w:val="0"/>
          <w:sz w:val="32"/>
          <w:u w:val="single"/>
          <w:shd w:fill="auto" w:val="clear"/>
        </w:rPr>
      </w:pPr>
      <w:r>
        <w:rPr>
          <w:rFonts w:ascii="Calibri" w:hAnsi="Calibri" w:cs="Calibri" w:eastAsia="Calibri"/>
          <w:b/>
          <w:caps w:val="true"/>
          <w:color w:val="auto"/>
          <w:spacing w:val="0"/>
          <w:position w:val="0"/>
          <w:sz w:val="32"/>
          <w:u w:val="single"/>
          <w:shd w:fill="auto" w:val="clear"/>
        </w:rPr>
        <w:t xml:space="preserve">5. Preh</w:t>
      </w:r>
      <w:r>
        <w:rPr>
          <w:rFonts w:ascii="Calibri" w:hAnsi="Calibri" w:cs="Calibri" w:eastAsia="Calibri"/>
          <w:b/>
          <w:caps w:val="true"/>
          <w:color w:val="auto"/>
          <w:spacing w:val="0"/>
          <w:position w:val="0"/>
          <w:sz w:val="32"/>
          <w:u w:val="single"/>
          <w:shd w:fill="auto" w:val="clear"/>
        </w:rPr>
        <w:t xml:space="preserve">ľad o peňažných príjmoch a výdavkov</w:t>
      </w:r>
    </w:p>
    <w:p>
      <w:pPr>
        <w:suppressAutoHyphens w:val="true"/>
        <w:spacing w:before="0" w:after="0" w:line="240"/>
        <w:ind w:right="0" w:left="0" w:firstLine="0"/>
        <w:jc w:val="both"/>
        <w:rPr>
          <w:rFonts w:ascii="Calibri" w:hAnsi="Calibri" w:cs="Calibri" w:eastAsia="Calibri"/>
          <w:caps w:val="true"/>
          <w:color w:val="auto"/>
          <w:spacing w:val="0"/>
          <w:position w:val="0"/>
          <w:sz w:val="32"/>
          <w:shd w:fill="auto" w:val="clear"/>
        </w:rPr>
      </w:pPr>
    </w:p>
    <w:tbl>
      <w:tblPr>
        <w:tblInd w:w="428" w:type="dxa"/>
      </w:tblPr>
      <w:tblGrid>
        <w:gridCol w:w="1834"/>
        <w:gridCol w:w="2302"/>
        <w:gridCol w:w="2302"/>
        <w:gridCol w:w="2385"/>
      </w:tblGrid>
      <w:tr>
        <w:trPr>
          <w:trHeight w:val="450" w:hRule="auto"/>
          <w:jc w:val="left"/>
        </w:trPr>
        <w:tc>
          <w:tcPr>
            <w:tcW w:w="1834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02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Príjmy (v EUR)</w:t>
            </w:r>
          </w:p>
        </w:tc>
        <w:tc>
          <w:tcPr>
            <w:tcW w:w="2302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Výdavky (v EUR)</w:t>
            </w:r>
          </w:p>
        </w:tc>
        <w:tc>
          <w:tcPr>
            <w:tcW w:w="2385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50" w:type="dxa"/>
              <w:right w:w="5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Zostatok k 31.12.2016</w:t>
            </w:r>
          </w:p>
        </w:tc>
      </w:tr>
      <w:tr>
        <w:trPr>
          <w:trHeight w:val="350" w:hRule="auto"/>
          <w:jc w:val="left"/>
        </w:trPr>
        <w:tc>
          <w:tcPr>
            <w:tcW w:w="1834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Celkom</w:t>
            </w:r>
          </w:p>
        </w:tc>
        <w:tc>
          <w:tcPr>
            <w:tcW w:w="2302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57034,35</w:t>
            </w:r>
          </w:p>
        </w:tc>
        <w:tc>
          <w:tcPr>
            <w:tcW w:w="2302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58252,28</w:t>
            </w:r>
          </w:p>
        </w:tc>
        <w:tc>
          <w:tcPr>
            <w:tcW w:w="2385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50" w:type="dxa"/>
              <w:right w:w="5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-1217,93</w:t>
            </w:r>
          </w:p>
        </w:tc>
      </w:tr>
    </w:tbl>
    <w:p>
      <w:pPr>
        <w:suppressAutoHyphens w:val="true"/>
        <w:spacing w:before="0" w:after="0" w:line="240"/>
        <w:ind w:right="0" w:left="360" w:firstLine="0"/>
        <w:jc w:val="both"/>
        <w:rPr>
          <w:rFonts w:ascii="Calibri" w:hAnsi="Calibri" w:cs="Calibri" w:eastAsia="Calibri"/>
          <w:caps w:val="true"/>
          <w:color w:val="auto"/>
          <w:spacing w:val="0"/>
          <w:position w:val="0"/>
          <w:sz w:val="32"/>
          <w:shd w:fill="auto" w:val="clear"/>
        </w:rPr>
      </w:pPr>
    </w:p>
    <w:p>
      <w:pPr>
        <w:keepNext w:val="true"/>
        <w:numPr>
          <w:ilvl w:val="0"/>
          <w:numId w:val="37"/>
        </w:numPr>
        <w:suppressAutoHyphens w:val="true"/>
        <w:spacing w:before="0" w:after="0" w:line="240"/>
        <w:ind w:right="0" w:left="432" w:hanging="432"/>
        <w:jc w:val="both"/>
        <w:rPr>
          <w:rFonts w:ascii="Calibri" w:hAnsi="Calibri" w:cs="Calibri" w:eastAsia="Calibri"/>
          <w:b/>
          <w:caps w:val="true"/>
          <w:color w:val="auto"/>
          <w:spacing w:val="0"/>
          <w:position w:val="0"/>
          <w:sz w:val="32"/>
          <w:u w:val="single"/>
          <w:shd w:fill="auto" w:val="clear"/>
        </w:rPr>
      </w:pPr>
      <w:r>
        <w:rPr>
          <w:rFonts w:ascii="Calibri" w:hAnsi="Calibri" w:cs="Calibri" w:eastAsia="Calibri"/>
          <w:b/>
          <w:caps w:val="true"/>
          <w:color w:val="auto"/>
          <w:spacing w:val="0"/>
          <w:position w:val="0"/>
          <w:sz w:val="32"/>
          <w:u w:val="single"/>
          <w:shd w:fill="auto" w:val="clear"/>
        </w:rPr>
        <w:t xml:space="preserve">6. Stav a pohyb majetku a záväzkov organizácie</w:t>
      </w:r>
    </w:p>
    <w:p>
      <w:pPr>
        <w:suppressAutoHyphens w:val="true"/>
        <w:spacing w:before="0" w:after="0" w:line="240"/>
        <w:ind w:right="0" w:left="360" w:firstLine="0"/>
        <w:jc w:val="both"/>
        <w:rPr>
          <w:rFonts w:ascii="Calibri" w:hAnsi="Calibri" w:cs="Calibri" w:eastAsia="Calibri"/>
          <w:caps w:val="true"/>
          <w:color w:val="auto"/>
          <w:spacing w:val="0"/>
          <w:position w:val="0"/>
          <w:sz w:val="32"/>
          <w:shd w:fill="auto" w:val="clear"/>
        </w:rPr>
      </w:pPr>
    </w:p>
    <w:p>
      <w:pPr>
        <w:suppressAutoHyphens w:val="true"/>
        <w:spacing w:before="0" w:after="0" w:line="240"/>
        <w:ind w:right="0" w:left="36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Stav aktív a pasív k 31.12.2016 predstavuje sumu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FFCC99" w:val="clear"/>
        </w:rPr>
        <w:t xml:space="preserve">.31844..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EUR. Z toho majetok vo výške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FFCC99" w:val="clear"/>
        </w:rPr>
        <w:t xml:space="preserve">..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EUR pozostáva z:</w:t>
      </w:r>
    </w:p>
    <w:p>
      <w:pPr>
        <w:numPr>
          <w:ilvl w:val="0"/>
          <w:numId w:val="39"/>
        </w:numPr>
        <w:tabs>
          <w:tab w:val="left" w:pos="720" w:leader="none"/>
        </w:tabs>
        <w:suppressAutoHyphens w:val="true"/>
        <w:spacing w:before="0" w:after="0" w:line="240"/>
        <w:ind w:right="0" w:left="720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dlhodobého majetku: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FFCC99" w:val="clear"/>
        </w:rPr>
        <w:t xml:space="preserve">.......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EUR</w:t>
      </w:r>
    </w:p>
    <w:p>
      <w:pPr>
        <w:numPr>
          <w:ilvl w:val="0"/>
          <w:numId w:val="39"/>
        </w:numPr>
        <w:tabs>
          <w:tab w:val="left" w:pos="720" w:leader="none"/>
        </w:tabs>
        <w:suppressAutoHyphens w:val="true"/>
        <w:spacing w:before="0" w:after="0" w:line="240"/>
        <w:ind w:right="0" w:left="720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krátkodobého majetku: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FFCC99" w:val="clear"/>
        </w:rPr>
        <w:t xml:space="preserve">.........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EUR</w:t>
      </w:r>
    </w:p>
    <w:p>
      <w:pPr>
        <w:suppressAutoHyphens w:val="true"/>
        <w:spacing w:before="0" w:after="0" w:line="240"/>
        <w:ind w:right="0" w:left="36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uppressAutoHyphens w:val="true"/>
        <w:spacing w:before="0" w:after="0" w:line="240"/>
        <w:ind w:right="0" w:left="36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K 31.12.2016 predstavoval (i):</w:t>
      </w:r>
    </w:p>
    <w:p>
      <w:pPr>
        <w:numPr>
          <w:ilvl w:val="0"/>
          <w:numId w:val="41"/>
        </w:numPr>
        <w:tabs>
          <w:tab w:val="left" w:pos="720" w:leader="none"/>
        </w:tabs>
        <w:suppressAutoHyphens w:val="true"/>
        <w:spacing w:before="0" w:after="0" w:line="240"/>
        <w:ind w:right="0" w:left="720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finan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čný majetok čiastku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FFCC99" w:val="clear"/>
        </w:rPr>
        <w:t xml:space="preserve">..6058.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EUR;</w:t>
      </w:r>
    </w:p>
    <w:p>
      <w:pPr>
        <w:numPr>
          <w:ilvl w:val="0"/>
          <w:numId w:val="41"/>
        </w:numPr>
        <w:tabs>
          <w:tab w:val="left" w:pos="720" w:leader="none"/>
        </w:tabs>
        <w:suppressAutoHyphens w:val="true"/>
        <w:spacing w:before="0" w:after="0" w:line="240"/>
        <w:ind w:right="0" w:left="720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obežný majetok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čiastku : 31844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FFCC99" w:val="clear"/>
        </w:rPr>
        <w:t xml:space="preserve">.-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EUR;</w:t>
      </w:r>
    </w:p>
    <w:p>
      <w:pPr>
        <w:numPr>
          <w:ilvl w:val="0"/>
          <w:numId w:val="41"/>
        </w:numPr>
        <w:tabs>
          <w:tab w:val="left" w:pos="720" w:leader="none"/>
        </w:tabs>
        <w:suppressAutoHyphens w:val="true"/>
        <w:spacing w:before="0" w:after="0" w:line="240"/>
        <w:ind w:right="0" w:left="720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vlastné zdroje krytia majetku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čiastku -1218,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FFCC99" w:val="clear"/>
        </w:rPr>
        <w:t xml:space="preserve">-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EUR;</w:t>
      </w:r>
    </w:p>
    <w:p>
      <w:pPr>
        <w:numPr>
          <w:ilvl w:val="0"/>
          <w:numId w:val="41"/>
        </w:numPr>
        <w:tabs>
          <w:tab w:val="left" w:pos="720" w:leader="none"/>
        </w:tabs>
        <w:suppressAutoHyphens w:val="true"/>
        <w:spacing w:before="0" w:after="0" w:line="240"/>
        <w:ind w:right="0" w:left="720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cudzie zdroje krytia majetku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čiastku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FFCC99" w:val="clear"/>
        </w:rPr>
        <w:t xml:space="preserve">33062,-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EUR;</w:t>
      </w:r>
    </w:p>
    <w:p>
      <w:pPr>
        <w:numPr>
          <w:ilvl w:val="0"/>
          <w:numId w:val="41"/>
        </w:numPr>
        <w:tabs>
          <w:tab w:val="left" w:pos="720" w:leader="none"/>
        </w:tabs>
        <w:suppressAutoHyphens w:val="true"/>
        <w:spacing w:before="0" w:after="0" w:line="240"/>
        <w:ind w:right="0" w:left="720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oprávky k dlhodobému hmotnému majetku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čiastku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FFCC99" w:val="clear"/>
        </w:rPr>
        <w:t xml:space="preserve">.....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EUR;</w:t>
      </w:r>
    </w:p>
    <w:p>
      <w:pPr>
        <w:numPr>
          <w:ilvl w:val="0"/>
          <w:numId w:val="41"/>
        </w:numPr>
        <w:tabs>
          <w:tab w:val="left" w:pos="720" w:leader="none"/>
        </w:tabs>
        <w:suppressAutoHyphens w:val="true"/>
        <w:spacing w:before="0" w:after="0" w:line="240"/>
        <w:ind w:right="0" w:left="720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oprávky k dlhodobému nehmotnému majetku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čiastku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FFCC99" w:val="clear"/>
        </w:rPr>
        <w:t xml:space="preserve">.....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EUR</w:t>
      </w:r>
    </w:p>
    <w:p>
      <w:pPr>
        <w:numPr>
          <w:ilvl w:val="0"/>
          <w:numId w:val="41"/>
        </w:numPr>
        <w:tabs>
          <w:tab w:val="left" w:pos="720" w:leader="none"/>
        </w:tabs>
        <w:suppressAutoHyphens w:val="true"/>
        <w:spacing w:before="0" w:after="0" w:line="240"/>
        <w:ind w:right="0" w:left="720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dlhodobé záväzky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čiastku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FFCC99" w:val="clear"/>
        </w:rPr>
        <w:t xml:space="preserve">.....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EUR;</w:t>
      </w:r>
    </w:p>
    <w:p>
      <w:pPr>
        <w:numPr>
          <w:ilvl w:val="0"/>
          <w:numId w:val="41"/>
        </w:numPr>
        <w:tabs>
          <w:tab w:val="left" w:pos="720" w:leader="none"/>
        </w:tabs>
        <w:suppressAutoHyphens w:val="true"/>
        <w:spacing w:before="0" w:after="0" w:line="240"/>
        <w:ind w:right="0" w:left="720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krátkodobé záväzky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čiastku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FFCC99" w:val="clear"/>
        </w:rPr>
        <w:t xml:space="preserve">.4315,-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EUR.</w:t>
      </w:r>
    </w:p>
    <w:p>
      <w:pPr>
        <w:suppressAutoHyphens w:val="true"/>
        <w:spacing w:before="0" w:after="0" w:line="240"/>
        <w:ind w:right="0" w:left="360" w:firstLine="0"/>
        <w:jc w:val="both"/>
        <w:rPr>
          <w:rFonts w:ascii="Calibri" w:hAnsi="Calibri" w:cs="Calibri" w:eastAsia="Calibri"/>
          <w:caps w:val="true"/>
          <w:color w:val="auto"/>
          <w:spacing w:val="0"/>
          <w:position w:val="0"/>
          <w:sz w:val="32"/>
          <w:shd w:fill="auto" w:val="clear"/>
        </w:rPr>
      </w:pPr>
    </w:p>
    <w:p>
      <w:pPr>
        <w:keepNext w:val="true"/>
        <w:numPr>
          <w:ilvl w:val="0"/>
          <w:numId w:val="43"/>
        </w:numPr>
        <w:suppressAutoHyphens w:val="true"/>
        <w:spacing w:before="0" w:after="0" w:line="240"/>
        <w:ind w:right="0" w:left="432" w:hanging="432"/>
        <w:jc w:val="both"/>
        <w:rPr>
          <w:rFonts w:ascii="Calibri" w:hAnsi="Calibri" w:cs="Calibri" w:eastAsia="Calibri"/>
          <w:b/>
          <w:caps w:val="true"/>
          <w:color w:val="auto"/>
          <w:spacing w:val="0"/>
          <w:position w:val="0"/>
          <w:sz w:val="32"/>
          <w:u w:val="single"/>
          <w:shd w:fill="auto" w:val="clear"/>
        </w:rPr>
      </w:pPr>
      <w:r>
        <w:rPr>
          <w:rFonts w:ascii="Calibri" w:hAnsi="Calibri" w:cs="Calibri" w:eastAsia="Calibri"/>
          <w:b/>
          <w:caps w:val="true"/>
          <w:color w:val="auto"/>
          <w:spacing w:val="0"/>
          <w:position w:val="0"/>
          <w:sz w:val="32"/>
          <w:u w:val="single"/>
          <w:shd w:fill="auto" w:val="clear"/>
        </w:rPr>
        <w:t xml:space="preserve">7. Zmeny a nové zloženie organizácie</w:t>
      </w:r>
    </w:p>
    <w:p>
      <w:pPr>
        <w:suppressAutoHyphens w:val="true"/>
        <w:spacing w:before="0" w:after="0" w:line="240"/>
        <w:ind w:right="0" w:left="0" w:firstLine="0"/>
        <w:jc w:val="both"/>
        <w:rPr>
          <w:rFonts w:ascii="Calibri" w:hAnsi="Calibri" w:cs="Calibri" w:eastAsia="Calibri"/>
          <w:b/>
          <w:caps w:val="true"/>
          <w:color w:val="auto"/>
          <w:spacing w:val="0"/>
          <w:position w:val="0"/>
          <w:sz w:val="32"/>
          <w:u w:val="single"/>
          <w:shd w:fill="auto" w:val="clear"/>
        </w:rPr>
      </w:pPr>
    </w:p>
    <w:p>
      <w:pPr>
        <w:suppressAutoHyphens w:val="true"/>
        <w:spacing w:before="0" w:after="0" w:line="240"/>
        <w:ind w:right="0" w:left="36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Správna rada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FFCC99" w:val="clear"/>
        </w:rPr>
        <w:t xml:space="preserve">.Rodinné centrum SLNIE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FFCC99" w:val="clear"/>
        </w:rPr>
        <w:t xml:space="preserve">ČKO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, n.o. sa neuzniesla na žiadnych zmenách v štatúte ani zložení orgánov neziskovej organizácie.</w:t>
      </w:r>
    </w:p>
    <w:p>
      <w:pPr>
        <w:suppressAutoHyphens w:val="true"/>
        <w:spacing w:before="0" w:after="0" w:line="240"/>
        <w:ind w:right="0" w:left="36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uppressAutoHyphens w:val="true"/>
        <w:spacing w:before="0" w:after="0" w:line="240"/>
        <w:ind w:right="0" w:left="36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uppressAutoHyphens w:val="true"/>
        <w:spacing w:before="0" w:after="0" w:line="240"/>
        <w:ind w:right="0" w:left="36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uppressAutoHyphens w:val="true"/>
        <w:spacing w:before="0" w:after="0" w:line="240"/>
        <w:ind w:right="0" w:left="36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uppressAutoHyphens w:val="true"/>
        <w:spacing w:before="0" w:after="0" w:line="240"/>
        <w:ind w:right="0" w:left="36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uppressAutoHyphens w:val="true"/>
        <w:spacing w:before="0" w:after="0" w:line="240"/>
        <w:ind w:right="0" w:left="36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uppressAutoHyphens w:val="true"/>
        <w:spacing w:before="0" w:after="0" w:line="240"/>
        <w:ind w:right="0" w:left="36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uppressAutoHyphens w:val="true"/>
        <w:spacing w:before="0" w:after="0" w:line="240"/>
        <w:ind w:right="0" w:left="36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uppressAutoHyphens w:val="true"/>
        <w:spacing w:before="0" w:after="0" w:line="240"/>
        <w:ind w:right="0" w:left="36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uppressAutoHyphens w:val="true"/>
        <w:spacing w:before="0" w:after="0" w:line="240"/>
        <w:ind w:right="0" w:left="36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                                                                                               </w:t>
      </w:r>
    </w:p>
    <w:tbl>
      <w:tblPr>
        <w:tblInd w:w="6870" w:type="dxa"/>
      </w:tblPr>
      <w:tblGrid>
        <w:gridCol w:w="2353"/>
      </w:tblGrid>
      <w:tr>
        <w:trPr>
          <w:trHeight w:val="1" w:hRule="atLeast"/>
          <w:jc w:val="left"/>
        </w:trPr>
        <w:tc>
          <w:tcPr>
            <w:tcW w:w="2353" w:type="dxa"/>
            <w:tcBorders>
              <w:top w:val="single" w:color="000000" w:sz="0"/>
              <w:left w:val="single" w:color="000000" w:sz="0"/>
              <w:bottom w:val="single" w:color="000001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keepNext w:val="true"/>
              <w:numPr>
                <w:ilvl w:val="0"/>
                <w:numId w:val="47"/>
              </w:numPr>
              <w:suppressAutoHyphens w:val="true"/>
              <w:spacing w:before="240" w:after="60" w:line="240"/>
              <w:ind w:right="0" w:left="576" w:hanging="576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2353" w:type="dxa"/>
            <w:tcBorders>
              <w:top w:val="single" w:color="000001" w:sz="4"/>
              <w:left w:val="single" w:color="000000" w:sz="0"/>
              <w:bottom w:val="single" w:color="000001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keepNext w:val="true"/>
              <w:numPr>
                <w:ilvl w:val="0"/>
                <w:numId w:val="47"/>
              </w:numPr>
              <w:suppressAutoHyphens w:val="true"/>
              <w:spacing w:before="0" w:after="0" w:line="240"/>
              <w:ind w:right="0" w:left="576" w:hanging="576"/>
              <w:jc w:val="center"/>
              <w:rPr>
                <w:rFonts w:ascii="Calibri" w:hAnsi="Calibri" w:cs="Calibri" w:eastAsia="Calibri"/>
                <w:b/>
                <w:i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Szabó Ladislav</w:t>
            </w:r>
          </w:p>
          <w:p>
            <w:pPr>
              <w:keepNext w:val="true"/>
              <w:numPr>
                <w:ilvl w:val="0"/>
                <w:numId w:val="47"/>
              </w:numPr>
              <w:suppressAutoHyphens w:val="true"/>
              <w:spacing w:before="0" w:after="0" w:line="240"/>
              <w:ind w:right="0" w:left="576" w:hanging="576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b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Riadite</w:t>
            </w:r>
            <w:r>
              <w:rPr>
                <w:rFonts w:ascii="Calibri" w:hAnsi="Calibri" w:cs="Calibri" w:eastAsia="Calibri"/>
                <w:b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ľ n.o. </w:t>
            </w:r>
          </w:p>
        </w:tc>
      </w:tr>
    </w:tbl>
    <w:p>
      <w:pPr>
        <w:suppressAutoHyphens w:val="true"/>
        <w:spacing w:before="0" w:after="0" w:line="240"/>
        <w:ind w:right="0" w:left="36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abstractNum w:abstractNumId="12">
    <w:lvl w:ilvl="0">
      <w:start w:val="1"/>
      <w:numFmt w:val="bullet"/>
      <w:lvlText w:val="•"/>
    </w:lvl>
  </w:abstractNum>
  <w:abstractNum w:abstractNumId="18">
    <w:lvl w:ilvl="0">
      <w:start w:val="1"/>
      <w:numFmt w:val="bullet"/>
      <w:lvlText w:val="•"/>
    </w:lvl>
  </w:abstractNum>
  <w:abstractNum w:abstractNumId="24">
    <w:lvl w:ilvl="0">
      <w:start w:val="1"/>
      <w:numFmt w:val="bullet"/>
      <w:lvlText w:val="•"/>
    </w:lvl>
  </w:abstractNum>
  <w:abstractNum w:abstractNumId="30">
    <w:lvl w:ilvl="0">
      <w:start w:val="1"/>
      <w:numFmt w:val="bullet"/>
      <w:lvlText w:val="•"/>
    </w:lvl>
  </w:abstractNum>
  <w:abstractNum w:abstractNumId="36">
    <w:lvl w:ilvl="0">
      <w:start w:val="1"/>
      <w:numFmt w:val="bullet"/>
      <w:lvlText w:val="•"/>
    </w:lvl>
  </w:abstractNum>
  <w:abstractNum w:abstractNumId="42">
    <w:lvl w:ilvl="0">
      <w:start w:val="1"/>
      <w:numFmt w:val="bullet"/>
      <w:lvlText w:val="•"/>
    </w:lvl>
  </w:abstractNum>
  <w:abstractNum w:abstractNumId="48">
    <w:lvl w:ilvl="0">
      <w:start w:val="1"/>
      <w:numFmt w:val="bullet"/>
      <w:lvlText w:val="•"/>
    </w:lvl>
  </w:abstractNum>
  <w:abstractNum w:abstractNumId="54">
    <w:lvl w:ilvl="0">
      <w:start w:val="1"/>
      <w:numFmt w:val="bullet"/>
      <w:lvlText w:val="•"/>
    </w:lvl>
  </w:abstractNum>
  <w:abstractNum w:abstractNumId="60">
    <w:lvl w:ilvl="0">
      <w:start w:val="1"/>
      <w:numFmt w:val="bullet"/>
      <w:lvlText w:val="•"/>
    </w:lvl>
  </w:abstractNum>
  <w:abstractNum w:abstractNumId="66">
    <w:lvl w:ilvl="0">
      <w:start w:val="1"/>
      <w:numFmt w:val="bullet"/>
      <w:lvlText w:val="•"/>
    </w:lvl>
  </w:abstractNum>
  <w:abstractNum w:abstractNumId="72">
    <w:lvl w:ilvl="0">
      <w:start w:val="1"/>
      <w:numFmt w:val="bullet"/>
      <w:lvlText w:val="•"/>
    </w:lvl>
  </w:abstractNum>
  <w:abstractNum w:abstractNumId="78">
    <w:lvl w:ilvl="0">
      <w:start w:val="1"/>
      <w:numFmt w:val="bullet"/>
      <w:lvlText w:val="•"/>
    </w:lvl>
  </w:abstractNum>
  <w:abstractNum w:abstractNumId="84">
    <w:lvl w:ilvl="0">
      <w:start w:val="1"/>
      <w:numFmt w:val="bullet"/>
      <w:lvlText w:val="•"/>
    </w:lvl>
  </w:abstractNum>
  <w:num w:numId="7">
    <w:abstractNumId w:val="84"/>
  </w:num>
  <w:num w:numId="9">
    <w:abstractNumId w:val="78"/>
  </w:num>
  <w:num w:numId="15">
    <w:abstractNumId w:val="72"/>
  </w:num>
  <w:num w:numId="17">
    <w:abstractNumId w:val="66"/>
  </w:num>
  <w:num w:numId="19">
    <w:abstractNumId w:val="60"/>
  </w:num>
  <w:num w:numId="21">
    <w:abstractNumId w:val="54"/>
  </w:num>
  <w:num w:numId="23">
    <w:abstractNumId w:val="48"/>
  </w:num>
  <w:num w:numId="26">
    <w:abstractNumId w:val="42"/>
  </w:num>
  <w:num w:numId="28">
    <w:abstractNumId w:val="36"/>
  </w:num>
  <w:num w:numId="37">
    <w:abstractNumId w:val="30"/>
  </w:num>
  <w:num w:numId="39">
    <w:abstractNumId w:val="24"/>
  </w:num>
  <w:num w:numId="41">
    <w:abstractNumId w:val="18"/>
  </w:num>
  <w:num w:numId="43">
    <w:abstractNumId w:val="12"/>
  </w:num>
  <w:num w:numId="47">
    <w:abstractNumId w:val="6"/>
  </w:num>
  <w:num w:numId="50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numbering.xml" Id="docRId0" Type="http://schemas.openxmlformats.org/officeDocument/2006/relationships/numbering"/><Relationship Target="styles.xml" Id="docRId1" Type="http://schemas.openxmlformats.org/officeDocument/2006/relationships/styles"/></Relationships>
</file>