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2047"/>
        <w:gridCol w:w="1032"/>
        <w:gridCol w:w="1032"/>
        <w:gridCol w:w="1032"/>
        <w:gridCol w:w="1032"/>
        <w:gridCol w:w="1032"/>
        <w:gridCol w:w="1032"/>
        <w:gridCol w:w="1032"/>
        <w:gridCol w:w="1032"/>
      </w:tblGrid>
      <w:tr w:rsidR="00D63065" w:rsidTr="00D63065">
        <w:trPr>
          <w:trHeight w:val="290"/>
        </w:trPr>
        <w:tc>
          <w:tcPr>
            <w:tcW w:w="2047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B. Informácie o členoch štatutárnych orgánov, dozorných orgánov a iných orgánov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účtovnej jednotky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Yeon Kok Kuag  - konateľ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 informácie k časti B písm. b) príloh č. 3 o štruktúre spoločníkov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Spoločník, akcionár</w:t>
            </w:r>
          </w:p>
        </w:tc>
        <w:tc>
          <w:tcPr>
            <w:tcW w:w="10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Triplus Industry SDN BHD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Výška podielu na ZI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418907,3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100%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  <w:p w:rsidR="00837747" w:rsidRDefault="0083774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  <w:p w:rsidR="00837747" w:rsidRDefault="0083774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E. Informácie o použitých účtovných zásadách a účtovných metódach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>
        <w:trPr>
          <w:trHeight w:val="290"/>
        </w:trPr>
        <w:tc>
          <w:tcPr>
            <w:tcW w:w="2047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Účtovná jednotka bude nepretržite pokračovať vo svojej činnosti.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Finančné výkazy boli zostavené na základe slovenských účtovných predpisov. Pre účtovnú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jednotku začal  počnúc dňom 1.júna 2005 účtovným obdobím hospodársky rok, od 1 júna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bežného roka do 31. mája nasledujúceho roka.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Účtovná závierka bola vykonaná s rešpektovaním zásady "nepretržitého trvania" účtovnej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jednotky. Účtovné zápisy boli vykonané s rešpektovaním zásady časového rozlíšenia.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Aktíva a pasíva boli oceňované historickými cenami. Hospodárske operácie v cudzej mene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boli zaúčtované kurzom cudzej meny ku dňu uskutočnenia transakcie.  Aktíva a pasíva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 cudzej mene ku dňu účtovnej závierky boli prepočítané kurzom cudzej meny ku dňu zostavenia</w:t>
            </w:r>
          </w:p>
        </w:tc>
      </w:tr>
      <w:tr w:rsidR="00D63065" w:rsidTr="00D63065">
        <w:trPr>
          <w:trHeight w:val="290"/>
        </w:trPr>
        <w:tc>
          <w:tcPr>
            <w:tcW w:w="2047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účtovnej závierky. Rozdiely z prepočtu kurzu sú zúčtované vo výkaze ziskov a strát.</w:t>
            </w:r>
          </w:p>
          <w:p w:rsidR="00837747" w:rsidRDefault="00837747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Metódy oceňovania aktív a pasív: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Dlhodobý majetok: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Nakúpený                          obstarávacia cena a súvisiace náklady (preprava, clo a iné)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Vyrobený vlastnou činnosťou     vlastné náklady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Zásoby.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Nakúpené                          obstarávacia cena a súvisiace náklady (preprava, clo a iné)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Cenové odchýlky medzi skladovou cenou a cenou obstarania sú účtované do nákladov v pomere k spotrebe materiálu.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Postup pre zúčtovanie spotreby materiálu, nedokončenej výroby, polotovarov a hotových výrobkov: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Spotreba materiálu                  metóda FIFO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Nedokončená výroba              vlastné náklady</w:t>
            </w:r>
          </w:p>
          <w:p w:rsidR="00D63065" w:rsidRDefault="00D63065" w:rsidP="00D63065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Hotové výrobky                        vlastné náklady</w:t>
            </w:r>
          </w:p>
          <w:p w:rsidR="00D63065" w:rsidRDefault="00D63065" w:rsidP="00D63065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Pohľadávky                         nominálna hodnota</w:t>
            </w:r>
          </w:p>
          <w:p w:rsidR="00D63065" w:rsidRDefault="00D63065" w:rsidP="00837747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Peňažné prostriedky        nominálna hodnota</w:t>
            </w:r>
          </w:p>
          <w:p w:rsidR="00837747" w:rsidRDefault="00837747" w:rsidP="00837747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Rezervy                               nominálna hodnota</w:t>
            </w:r>
          </w:p>
          <w:p w:rsidR="00837747" w:rsidRDefault="00837747" w:rsidP="00837747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Záväzky                                nominálna hodnota</w:t>
            </w:r>
          </w:p>
          <w:p w:rsidR="00837747" w:rsidRDefault="00837747" w:rsidP="00837747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Časové rozlíšenie na strane aktív a pasív                 nominálna hodnota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Metódy odpisovania: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Majetok:                                   Doba odpisovania v rokoch                  Metóda odpisovania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                                                 Účtovné/daňové  odpisy 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Software                                           5                                                    Lineárna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Budovy                                           20                                                     Lineárna, pdľa daň.odpisov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Stroje a zariadenia                       6 ,  4                                                 Lineárna, pdľa daň.odpisov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Technická linka                             8                                                       Lineárna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Dopravné prostriedky                 4 ,  6                                                 Lineárna, pdľa daň.odpisov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Inventár                                          12                                                    Lineárna, pdľa daň.odpisov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Dlhod.hmotný majetok do 1700 EUR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Doba použitia viac ako 1 rok určený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 zariadenie bytov                     10                                                    Lineárna</w:t>
            </w: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Default="00837747" w:rsidP="0083774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</w:p>
          <w:p w:rsidR="00837747" w:rsidRPr="00837747" w:rsidRDefault="00837747" w:rsidP="0045212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Doba odpisovania pre daňové odpisovani</w:t>
            </w:r>
            <w:r w:rsidR="0045212E">
              <w:rPr>
                <w:rFonts w:ascii="Calibri" w:hAnsi="Calibri" w:cs="Calibri"/>
                <w:color w:val="000000"/>
              </w:rPr>
              <w:t>a</w:t>
            </w:r>
            <w:r>
              <w:rPr>
                <w:rFonts w:ascii="Calibri" w:hAnsi="Calibri" w:cs="Calibri"/>
                <w:color w:val="000000"/>
              </w:rPr>
              <w:t xml:space="preserve"> závisí od zariadenia m</w:t>
            </w:r>
            <w:r w:rsidR="0045212E">
              <w:rPr>
                <w:rFonts w:ascii="Calibri" w:hAnsi="Calibri" w:cs="Calibri"/>
                <w:color w:val="000000"/>
              </w:rPr>
              <w:t>a</w:t>
            </w:r>
            <w:r>
              <w:rPr>
                <w:rFonts w:ascii="Calibri" w:hAnsi="Calibri" w:cs="Calibri"/>
                <w:color w:val="000000"/>
              </w:rPr>
              <w:t>jetku</w:t>
            </w:r>
            <w:r w:rsidR="0045212E">
              <w:rPr>
                <w:rFonts w:ascii="Calibri" w:hAnsi="Calibri" w:cs="Calibri"/>
                <w:color w:val="000000"/>
              </w:rPr>
              <w:t xml:space="preserve"> do odpisových skupín podľa zákon o daniach z príjmov. Hmotné majetok do 1700 EUR a nehmotný majetok do 2400 EUR môže byť pre daňové účely odpisovaný v roku nadobudnutia v plnej výške.</w:t>
            </w:r>
            <w:r>
              <w:rPr>
                <w:rFonts w:ascii="Calibri" w:hAnsi="Calibri" w:cs="Calibri"/>
                <w:color w:val="000000"/>
              </w:rPr>
              <w:t xml:space="preserve">                 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</w:tbl>
    <w:p w:rsidR="00D63065" w:rsidRDefault="00837747">
      <w:r>
        <w:lastRenderedPageBreak/>
        <w:t xml:space="preserve"> </w:t>
      </w:r>
    </w:p>
    <w:sectPr w:rsidR="00D63065" w:rsidSect="006711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46DDA"/>
    <w:multiLevelType w:val="hybridMultilevel"/>
    <w:tmpl w:val="5122FB78"/>
    <w:lvl w:ilvl="0" w:tplc="CCFEB4A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B30D88"/>
    <w:multiLevelType w:val="hybridMultilevel"/>
    <w:tmpl w:val="BC78F0BC"/>
    <w:lvl w:ilvl="0" w:tplc="7E609C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63065"/>
    <w:rsid w:val="00115B63"/>
    <w:rsid w:val="002406AE"/>
    <w:rsid w:val="0045212E"/>
    <w:rsid w:val="006711B9"/>
    <w:rsid w:val="00837747"/>
    <w:rsid w:val="008D0C59"/>
    <w:rsid w:val="00BD5FF2"/>
    <w:rsid w:val="00D63065"/>
    <w:rsid w:val="00FD3B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11B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6306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535</Words>
  <Characters>3054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economy</dc:creator>
  <cp:lastModifiedBy>economy</cp:lastModifiedBy>
  <cp:revision>2</cp:revision>
  <dcterms:created xsi:type="dcterms:W3CDTF">2017-07-25T08:05:00Z</dcterms:created>
  <dcterms:modified xsi:type="dcterms:W3CDTF">2017-07-25T08:05:00Z</dcterms:modified>
</cp:coreProperties>
</file>