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color w:val="1F4E79" w:themeColor="accent1" w:themeShade="80"/>
          <w:sz w:val="24"/>
          <w:szCs w:val="24"/>
        </w:rPr>
        <w:t>CREZAR, s. r. o.</w:t>
      </w:r>
    </w:p>
    <w:p>
      <w:pPr>
        <w:pStyle w:val="Normal"/>
        <w:spacing w:lineRule="auto" w:line="240" w:before="60" w:after="160"/>
        <w:ind w:firstLine="708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color w:val="1F4E79" w:themeColor="accent1" w:themeShade="80"/>
          <w:sz w:val="24"/>
          <w:szCs w:val="24"/>
        </w:rPr>
        <w:t>Ulica 29. augusta 28/D, 811 09 Bratislava – Staré Mesto</w:t>
      </w:r>
    </w:p>
    <w:p>
      <w:pPr>
        <w:pStyle w:val="Normal"/>
        <w:spacing w:lineRule="auto" w:line="240" w:before="60" w:after="160"/>
        <w:ind w:firstLine="708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Registrácia:</w:t>
      </w:r>
    </w:p>
    <w:p>
      <w:pPr>
        <w:pStyle w:val="Normal"/>
        <w:spacing w:lineRule="auto" w:line="240" w:before="60" w:after="160"/>
        <w:ind w:firstLine="708"/>
        <w:jc w:val="both"/>
        <w:rPr/>
      </w:pPr>
      <w:r>
        <w:rPr>
          <w:rFonts w:cs="Times New Roman" w:ascii="Times New Roman" w:hAnsi="Times New Roman"/>
          <w:color w:val="1F4E79" w:themeColor="accent1" w:themeShade="80"/>
          <w:sz w:val="24"/>
          <w:szCs w:val="24"/>
        </w:rPr>
        <w:t>OS Bratislava I, oddiel: Sro, vl. č. 53425/B</w:t>
      </w:r>
    </w:p>
    <w:p>
      <w:pPr>
        <w:pStyle w:val="Normal"/>
        <w:spacing w:lineRule="auto" w:line="240" w:before="60" w:after="160"/>
        <w:ind w:firstLine="708"/>
        <w:jc w:val="both"/>
        <w:rPr>
          <w:rFonts w:ascii="Times New Roman" w:hAnsi="Times New Roman" w:cs="Times New Roman"/>
          <w:b/>
          <w:b/>
          <w:color w:val="1F4E79" w:themeColor="accent1" w:themeShade="80"/>
          <w:sz w:val="24"/>
          <w:szCs w:val="24"/>
        </w:rPr>
      </w:pPr>
      <w:r>
        <w:rPr>
          <w:rFonts w:cs="Times New Roman" w:ascii="Times New Roman" w:hAnsi="Times New Roman"/>
          <w:b/>
          <w:color w:val="1F4E79" w:themeColor="accent1" w:themeShade="80"/>
          <w:sz w:val="24"/>
          <w:szCs w:val="24"/>
        </w:rPr>
        <mc:AlternateContent>
          <mc:Choice Requires="wps">
            <w:drawing>
              <wp:anchor behindDoc="1" distT="0" distB="0" distL="114300" distR="114300" simplePos="0" locked="0" layoutInCell="1" allowOverlap="1" relativeHeight="130">
                <wp:simplePos x="0" y="0"/>
                <wp:positionH relativeFrom="column">
                  <wp:posOffset>4939030</wp:posOffset>
                </wp:positionH>
                <wp:positionV relativeFrom="paragraph">
                  <wp:posOffset>116840</wp:posOffset>
                </wp:positionV>
                <wp:extent cx="6985" cy="3492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80" cy="34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" h="46">
                              <a:moveTo>
                                <a:pt x="0" y="0"/>
                              </a:moveTo>
                              <a:cubicBezTo>
                                <a:pt x="0" y="7"/>
                                <a:pt x="0" y="36"/>
                                <a:pt x="0" y="45"/>
                              </a:cubicBezTo>
                            </a:path>
                          </a:pathLst>
                        </a:custGeom>
                        <a:noFill/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right" w:pos="9072" w:leader="none"/>
        </w:tabs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color w:val="1F4E79" w:themeColor="accent1" w:themeShade="80"/>
          <w:sz w:val="24"/>
          <w:szCs w:val="24"/>
        </w:rPr>
        <w:t>Spoločnosť CREZAR, s. r. o. nie je v konsolidovanom celku.</w:t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50060253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31">
                <wp:simplePos x="0" y="0"/>
                <wp:positionH relativeFrom="column">
                  <wp:posOffset>438150</wp:posOffset>
                </wp:positionH>
                <wp:positionV relativeFrom="paragraph">
                  <wp:posOffset>240030</wp:posOffset>
                </wp:positionV>
                <wp:extent cx="3756025" cy="20320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5520" cy="6840"/>
                        </a:xfrm>
                        <a:prstGeom prst="line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8.6pt" to="330.15pt,19.1pt" ID="Rovná spojnica 5" stroked="f" style="position:absolute">
                <v:stroke color="#3465a4" joinstyle="round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</w: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97872501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606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5103"/>
        <w:gridCol w:w="4502"/>
      </w:tblGrid>
      <w:tr>
        <w:trPr/>
        <w:tc>
          <w:tcPr>
            <w:tcW w:w="5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45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3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02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3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02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3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02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3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02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606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4120"/>
        <w:gridCol w:w="2414"/>
        <w:gridCol w:w="3072"/>
      </w:tblGrid>
      <w:tr>
        <w:trPr/>
        <w:tc>
          <w:tcPr>
            <w:tcW w:w="41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0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2068462006"/>
        </w:sdtPr>
        <w:sdtContent>
          <w:r>
            <w:rPr>
              <w:rFonts w:eastAsia="MS Gothic" w:cs="Times New Roman" w:ascii="Times New Roman" w:hAnsi="Times New Roman"/>
              <w:b/>
              <w:color w:val="1F4E79" w:themeColor="accent1" w:themeShade="80"/>
              <w:sz w:val="24"/>
              <w:szCs w:val="24"/>
              <w:bdr w:val="single" w:sz="4" w:space="0" w:color="1F4E79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959260152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</w:p>
    <w:tbl>
      <w:tblPr>
        <w:tblStyle w:val="Mriekatabuky"/>
        <w:tblW w:w="9621" w:type="dxa"/>
        <w:jc w:val="left"/>
        <w:tblInd w:w="-92" w:type="dxa"/>
        <w:tblCellMar>
          <w:top w:w="0" w:type="dxa"/>
          <w:left w:w="-12" w:type="dxa"/>
          <w:bottom w:w="0" w:type="dxa"/>
          <w:right w:w="0" w:type="dxa"/>
        </w:tblCellMar>
        <w:tblLook w:val="04a0"/>
      </w:tblPr>
      <w:tblGrid>
        <w:gridCol w:w="3828"/>
        <w:gridCol w:w="2958"/>
        <w:gridCol w:w="2835"/>
      </w:tblGrid>
      <w:tr>
        <w:trPr/>
        <w:tc>
          <w:tcPr>
            <w:tcW w:w="3828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958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835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958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single" w:sz="10" w:space="0" w:color="000001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Vlastnými nákladmi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Vlastné pohľadávky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Kúpené pohľadávky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bookmarkStart w:id="1" w:name="__DdeLink__1076_2060131029"/>
            <w:bookmarkEnd w:id="1"/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Derivátové operácie</w:t>
            </w:r>
          </w:p>
        </w:tc>
        <w:tc>
          <w:tcPr>
            <w:tcW w:w="2958" w:type="dxa"/>
            <w:tcBorders>
              <w:top w:val="nil"/>
              <w:left w:val="single" w:sz="10" w:space="0" w:color="000001"/>
              <w:bottom w:val="single" w:sz="10" w:space="0" w:color="000001"/>
              <w:right w:val="nil"/>
              <w:insideH w:val="single" w:sz="10" w:space="0" w:color="000001"/>
              <w:insideV w:val="nil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  <w:tcBorders>
              <w:top w:val="nil"/>
              <w:left w:val="single" w:sz="10" w:space="0" w:color="000001"/>
              <w:bottom w:val="single" w:sz="10" w:space="0" w:color="000001"/>
              <w:right w:val="single" w:sz="10" w:space="0" w:color="000001"/>
              <w:insideH w:val="single" w:sz="10" w:space="0" w:color="000001"/>
              <w:insideV w:val="single" w:sz="10" w:space="0" w:color="000001"/>
            </w:tcBorders>
            <w:shd w:fill="auto" w:val="clear"/>
            <w:tcMar>
              <w:top w:w="28" w:type="dxa"/>
              <w:left w:w="-12" w:type="dxa"/>
              <w:bottom w:w="28" w:type="dxa"/>
              <w:righ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  <w:bdr w:val="single" w:sz="2" w:space="1" w:color="000001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  <w:bdr w:val="single" w:sz="2" w:space="1" w:color="000001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621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096"/>
        <w:gridCol w:w="2130"/>
        <w:gridCol w:w="1983"/>
        <w:gridCol w:w="2411"/>
      </w:tblGrid>
      <w:tr>
        <w:trPr/>
        <w:tc>
          <w:tcPr>
            <w:tcW w:w="30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4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Dopravné prostriedky</w:t>
            </w:r>
          </w:p>
        </w:tc>
        <w:tc>
          <w:tcPr>
            <w:tcW w:w="2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12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nil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Inventár</w:t>
            </w:r>
          </w:p>
        </w:tc>
        <w:tc>
          <w:tcPr>
            <w:tcW w:w="213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6</w:t>
            </w:r>
          </w:p>
        </w:tc>
        <w:tc>
          <w:tcPr>
            <w:tcW w:w="1983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nil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Softvér</w:t>
            </w:r>
          </w:p>
        </w:tc>
        <w:tc>
          <w:tcPr>
            <w:tcW w:w="2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Aktivované náklady na vývoj</w:t>
            </w:r>
          </w:p>
        </w:tc>
        <w:tc>
          <w:tcPr>
            <w:tcW w:w="2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5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20</w:t>
            </w:r>
          </w:p>
        </w:tc>
      </w:tr>
      <w:tr>
        <w:trPr>
          <w:trHeight w:val="340" w:hRule="atLeast"/>
        </w:trPr>
        <w:tc>
          <w:tcPr>
            <w:tcW w:w="309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Stavby – budovy pre administratívu</w:t>
            </w:r>
          </w:p>
        </w:tc>
        <w:tc>
          <w:tcPr>
            <w:tcW w:w="2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40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color w:val="1F4E79" w:themeColor="accent1" w:themeShade="80"/>
                <w:sz w:val="24"/>
                <w:szCs w:val="24"/>
              </w:rPr>
              <w:t>2,50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sdt>
        <w:sdtPr>
          <w:id w:val="2047138072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  <w:tab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32">
                <wp:simplePos x="0" y="0"/>
                <wp:positionH relativeFrom="column">
                  <wp:posOffset>428625</wp:posOffset>
                </wp:positionH>
                <wp:positionV relativeFrom="paragraph">
                  <wp:posOffset>630555</wp:posOffset>
                </wp:positionV>
                <wp:extent cx="3756025" cy="20320"/>
                <wp:effectExtent l="0" t="0" r="0" b="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5520" cy="6840"/>
                        </a:xfrm>
                        <a:prstGeom prst="line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9.35pt" to="329.4pt,49.85pt" ID="Rovná spojnica 10" stroked="f" style="position:absolute">
                <v:stroke color="#3465a4" joinstyle="round" endcap="flat"/>
                <v:fill o:detectmouseclick="t" on="false"/>
              </v:line>
            </w:pict>
          </mc:Fallback>
        </mc:AlternateContent>
      </w:r>
      <w:r>
        <w:rPr>
          <w:rFonts w:eastAsia="MS Gothic" w:cs="Segoe UI Symbol" w:ascii="Segoe UI Symbol" w:hAnsi="Segoe UI Symbol"/>
          <w:b/>
          <w:sz w:val="32"/>
          <w:szCs w:val="24"/>
        </w:rPr>
        <w:t>☐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Times New Roman" w:ascii="Times New Roman" w:hAnsi="Times New Roman"/>
          <w:sz w:val="24"/>
          <w:szCs w:val="24"/>
        </w:rPr>
        <w:tab/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 xml:space="preserve">Spoločnosť CREZAR, s. r. o. neobstarala a ani neeviduje dlhodobý nehmotný majetok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33">
                <wp:simplePos x="0" y="0"/>
                <wp:positionH relativeFrom="column">
                  <wp:posOffset>428625</wp:posOffset>
                </wp:positionH>
                <wp:positionV relativeFrom="paragraph">
                  <wp:posOffset>303530</wp:posOffset>
                </wp:positionV>
                <wp:extent cx="3806825" cy="20320"/>
                <wp:effectExtent l="0" t="0" r="0" b="0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6280" cy="8280"/>
                        </a:xfrm>
                        <a:prstGeom prst="line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3.55pt" to="333.4pt,24.15pt" ID="Rovná spojnica 11" stroked="f" style="position:absolute">
                <v:stroke color="#3465a4" joinstyle="round" endcap="flat"/>
                <v:fill o:detectmouseclick="t" on="false"/>
              </v:line>
            </w:pict>
          </mc:Fallback>
        </mc:AlternateConten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ab/>
        <w:t>nad 2 400,- EUR.</w:t>
      </w:r>
    </w:p>
    <w:p>
      <w:pPr>
        <w:pStyle w:val="Normal"/>
        <w:spacing w:lineRule="auto" w:line="240" w:before="240" w:after="160"/>
        <w:ind w:left="705" w:hanging="705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260230525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 w:before="0" w:after="0"/>
        <w:ind w:left="705" w:hanging="705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1906522717"/>
        </w:sdtPr>
        <w:sdtContent>
          <w:r>
            <w:rPr>
              <w:rFonts w:eastAsia="MS Gothic" w:cs="Times New Roman" w:ascii="Times New Roman" w:hAnsi="Times New Roman"/>
              <w:b/>
              <w:color w:val="1F4E79" w:themeColor="accent1" w:themeShade="80"/>
              <w:sz w:val="24"/>
              <w:szCs w:val="24"/>
              <w:bdr w:val="single" w:sz="4" w:space="0" w:color="1F4E79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 w:val="false"/>
          <w:bCs w:val="false"/>
          <w:color w:val="1F4E79" w:themeColor="accent1" w:themeShade="80"/>
          <w:sz w:val="24"/>
          <w:szCs w:val="24"/>
        </w:rPr>
        <w:t>Spoločnosť CREZAR, s. r. o. v r. 2016 obstarala dlhodobý hmotný majetok                    odpisovaný – nebytový priestor č. 8-912 na 4.poschodie, vo vchode Agátová 5/D, Bratislava formou dobrovoľnej dražby od dražobnej spoločnosti DD – REAL, s.r.o.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 w:val="false"/>
          <w:b w:val="false"/>
          <w:bCs w:val="false"/>
          <w:sz w:val="24"/>
          <w:szCs w:val="24"/>
        </w:rPr>
      </w:pPr>
      <w:r>
        <w:rPr>
          <w:rFonts w:eastAsia="MS Gothic" w:cs="Times New Roman" w:ascii="Times New Roman" w:hAnsi="Times New Roman"/>
          <w:b w:val="false"/>
          <w:bCs w:val="false"/>
          <w:color w:val="1F4E79" w:themeColor="accent1" w:themeShade="80"/>
          <w:sz w:val="24"/>
          <w:szCs w:val="24"/>
        </w:rPr>
        <w:t>Nadobudnutie uvedenej nehnuteľnosti sa uskutočnilo Notárskou zápisnicou N 436/2016, Nz 7383/2016 zo dňa 03.03.2016, Z-4373/16. Nadobudnuté dobrovoľnou dražbou. Cena dosiahnutá vydražením je 72 460,- EUR.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 w:val="false"/>
          <w:b w:val="false"/>
          <w:bCs w:val="false"/>
          <w:sz w:val="24"/>
          <w:szCs w:val="24"/>
        </w:rPr>
      </w:pPr>
      <w:r>
        <w:rPr>
          <w:rFonts w:eastAsia="MS Gothic"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621" w:type="dxa"/>
        <w:jc w:val="left"/>
        <w:tblInd w:w="-77" w:type="dxa"/>
        <w:tblCellMar>
          <w:top w:w="0" w:type="dxa"/>
          <w:left w:w="-12" w:type="dxa"/>
          <w:bottom w:w="0" w:type="dxa"/>
          <w:right w:w="0" w:type="dxa"/>
        </w:tblCellMar>
        <w:tblLook w:val="04a0"/>
      </w:tblPr>
      <w:tblGrid>
        <w:gridCol w:w="3657"/>
        <w:gridCol w:w="2693"/>
        <w:gridCol w:w="3271"/>
      </w:tblGrid>
      <w:tr>
        <w:trPr/>
        <w:tc>
          <w:tcPr>
            <w:tcW w:w="3657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693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71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657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Zatriedenie do veľkostnej skupiny „Mikro účtovná jednotka“.</w:t>
            </w:r>
          </w:p>
        </w:tc>
        <w:tc>
          <w:tcPr>
            <w:tcW w:w="2693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Legislatívna zmena v zmysle §2 ods.5 Zákona o účtovníctve.</w:t>
            </w:r>
          </w:p>
        </w:tc>
        <w:tc>
          <w:tcPr>
            <w:tcW w:w="327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Bez vplyvu na sumy vykázané v účtovnej závierke.</w:t>
            </w:r>
          </w:p>
        </w:tc>
      </w:tr>
      <w:tr>
        <w:trPr/>
        <w:tc>
          <w:tcPr>
            <w:tcW w:w="3657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Evidencia drobného hmotného a nehmotného majetku od 30,- EUR a viac za kus, sadu set s príslušenstvom bez DPH, maximálne do 1 700,-EUR za dlhodobý hmotný majetok a do 2 400,- EUR dlhodobý nehmotný majetok.</w:t>
            </w:r>
          </w:p>
        </w:tc>
        <w:tc>
          <w:tcPr>
            <w:tcW w:w="2693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 xml:space="preserve">Prehľad v evidencii majetku. </w:t>
            </w:r>
          </w:p>
        </w:tc>
        <w:tc>
          <w:tcPr>
            <w:tcW w:w="327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Bez vplyvu na sumy vykázané v účtovnej závierke.</w:t>
            </w:r>
          </w:p>
        </w:tc>
      </w:tr>
      <w:tr>
        <w:trPr/>
        <w:tc>
          <w:tcPr>
            <w:tcW w:w="3657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Časové nerozlišovanie nevýznamných súm nákladov a výnosov a každoročne opakujúce sa plnenia.</w:t>
            </w:r>
          </w:p>
        </w:tc>
        <w:tc>
          <w:tcPr>
            <w:tcW w:w="2693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Legislatívna zmena v zmysle §56 ods. 14 Postupov účtovania pre podnikateľov účtujúcich v sústave podvojného účtovníctva.</w:t>
            </w:r>
          </w:p>
        </w:tc>
        <w:tc>
          <w:tcPr>
            <w:tcW w:w="327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Na základe uvedenej zmeny spoločnosť CEZAR, s. r. o. účtovala o 45,85 EUR viac v nákladoch.</w:t>
            </w:r>
          </w:p>
        </w:tc>
      </w:tr>
      <w:tr>
        <w:trPr/>
        <w:tc>
          <w:tcPr>
            <w:tcW w:w="3657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Rozhodnutie o vydanie povolenia na vykonávanie činnosti Agentúry dočasného zamestnávania na dobu neurčitú s účinnosťou odo dňa nadobudnutia právoplatnosti rozhodnutia, t.j. dňa 09.11.2016.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93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Prideľovanie dočasných agentúrnych zamestnancov prevažne pre automobilový           a strojárenský priemysel v priebehu roku</w:t>
            </w:r>
            <w:bookmarkStart w:id="2" w:name="__DdeLink__1080_1038630551"/>
            <w:bookmarkEnd w:id="2"/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 xml:space="preserve"> 2017.</w:t>
            </w:r>
          </w:p>
        </w:tc>
        <w:tc>
          <w:tcPr>
            <w:tcW w:w="327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Bez vplyvu na sumy vykázané v účtovnej závierke.</w:t>
            </w:r>
          </w:p>
        </w:tc>
      </w:tr>
      <w:tr>
        <w:trPr/>
        <w:tc>
          <w:tcPr>
            <w:tcW w:w="3657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>
                <w:color w:val="3399FF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Kapitalizácia vkladu</w:t>
            </w:r>
          </w:p>
        </w:tc>
        <w:tc>
          <w:tcPr>
            <w:tcW w:w="2693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Na účely získania licencie ADZ (Agentúry dočasného zamestnávania).</w:t>
            </w:r>
          </w:p>
        </w:tc>
        <w:tc>
          <w:tcPr>
            <w:tcW w:w="327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Premena pôžičky na kapitálový vklad spoločníka na základe rozhodnutia spoločníka za účelom navýšenia vlastného imania spoločnosti.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606" w:type="dxa"/>
        <w:jc w:val="left"/>
        <w:tblInd w:w="-46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565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5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20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nil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nil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606" w:type="dxa"/>
        <w:jc w:val="left"/>
        <w:tblInd w:w="-46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565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5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606" w:type="dxa"/>
        <w:jc w:val="left"/>
        <w:tblInd w:w="-46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672"/>
        <w:gridCol w:w="3099"/>
        <w:gridCol w:w="2835"/>
      </w:tblGrid>
      <w:tr>
        <w:trPr/>
        <w:tc>
          <w:tcPr>
            <w:tcW w:w="36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309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67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3099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  <w:tr>
        <w:trPr/>
        <w:tc>
          <w:tcPr>
            <w:tcW w:w="36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309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>Informácie o záväzkoch:</w:t>
      </w:r>
    </w:p>
    <w:tbl>
      <w:tblPr>
        <w:tblStyle w:val="Mriekatabuky"/>
        <w:tblW w:w="9606" w:type="dxa"/>
        <w:jc w:val="left"/>
        <w:tblInd w:w="-45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387"/>
        <w:gridCol w:w="2830"/>
        <w:gridCol w:w="3389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3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54 601</w:t>
            </w:r>
          </w:p>
        </w:tc>
        <w:tc>
          <w:tcPr>
            <w:tcW w:w="33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3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54 601</w:t>
            </w:r>
          </w:p>
        </w:tc>
        <w:tc>
          <w:tcPr>
            <w:tcW w:w="33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1 618</w:t>
            </w:r>
          </w:p>
        </w:tc>
        <w:tc>
          <w:tcPr>
            <w:tcW w:w="338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480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1 618</w:t>
            </w:r>
          </w:p>
        </w:tc>
        <w:tc>
          <w:tcPr>
            <w:tcW w:w="33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480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3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>Hodnota záväzkov zabezpečená záložným právom:</w:t>
      </w:r>
    </w:p>
    <w:tbl>
      <w:tblPr>
        <w:tblStyle w:val="Mriekatabuky"/>
        <w:tblW w:w="9606" w:type="dxa"/>
        <w:jc w:val="left"/>
        <w:tblInd w:w="-45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387"/>
        <w:gridCol w:w="3119"/>
        <w:gridCol w:w="3100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621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3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nil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00" w:type="dxa"/>
            <w:tcBorders>
              <w:top w:val="nil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  <w:right w:w="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>Informácie o vlastných akciách:</w:t>
      </w:r>
    </w:p>
    <w:tbl>
      <w:tblPr>
        <w:tblStyle w:val="Mriekatabuky"/>
        <w:tblW w:w="9606" w:type="dxa"/>
        <w:jc w:val="left"/>
        <w:tblInd w:w="-120" w:type="dxa"/>
        <w:tblCellMar>
          <w:top w:w="0" w:type="dxa"/>
          <w:left w:w="-12" w:type="dxa"/>
          <w:bottom w:w="0" w:type="dxa"/>
          <w:right w:w="0" w:type="dxa"/>
        </w:tblCellMar>
        <w:tblLook w:val="04a0"/>
      </w:tblPr>
      <w:tblGrid>
        <w:gridCol w:w="1810"/>
        <w:gridCol w:w="1582"/>
        <w:gridCol w:w="2120"/>
        <w:gridCol w:w="1977"/>
        <w:gridCol w:w="2117"/>
      </w:tblGrid>
      <w:tr>
        <w:trPr/>
        <w:tc>
          <w:tcPr>
            <w:tcW w:w="1810" w:type="dxa"/>
            <w:vMerge w:val="restart"/>
            <w:tcBorders>
              <w:top w:val="single" w:sz="10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796" w:type="dxa"/>
            <w:gridSpan w:val="4"/>
            <w:tcBorders>
              <w:top w:val="single" w:sz="10" w:space="0" w:color="00000A"/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117" w:type="dxa"/>
            <w:vMerge w:val="restart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</w:p>
        </w:tc>
        <w:tc>
          <w:tcPr>
            <w:tcW w:w="2117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single" w:sz="10" w:space="0" w:color="00000A"/>
              <w:insideH w:val="single" w:sz="12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A"/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top w:val="single" w:sz="12" w:space="0" w:color="00000A"/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restart"/>
            <w:tcBorders>
              <w:top w:val="single" w:sz="12" w:space="0" w:color="00000A"/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single" w:sz="10" w:space="0" w:color="00000A"/>
              <w:insideH w:val="single" w:sz="12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A"/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top w:val="single" w:sz="12" w:space="0" w:color="00000A"/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restart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2" w:space="0" w:color="00000A"/>
              <w:right w:val="nil"/>
              <w:insideH w:val="single" w:sz="12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left w:val="single" w:sz="10" w:space="0" w:color="00000A"/>
              <w:right w:val="nil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left w:val="single" w:sz="10" w:space="0" w:color="00000A"/>
              <w:right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7" w:type="dxa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7" w:type="dxa"/>
            <w:vMerge w:val="continue"/>
            <w:tcBorders>
              <w:top w:val="single" w:sz="12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>Informácie o orgánoch účtovnej jednotky:</w:t>
      </w:r>
    </w:p>
    <w:tbl>
      <w:tblPr>
        <w:tblStyle w:val="Mriekatabuky"/>
        <w:tblW w:w="9606" w:type="dxa"/>
        <w:jc w:val="left"/>
        <w:tblInd w:w="-45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2069"/>
        <w:gridCol w:w="1305"/>
        <w:gridCol w:w="1131"/>
        <w:gridCol w:w="1044"/>
        <w:gridCol w:w="1305"/>
        <w:gridCol w:w="1250"/>
        <w:gridCol w:w="1501"/>
      </w:tblGrid>
      <w:tr>
        <w:trPr>
          <w:trHeight w:val="828" w:hRule="atLeast"/>
        </w:trPr>
        <w:tc>
          <w:tcPr>
            <w:tcW w:w="206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48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405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2069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5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</w:tr>
      <w:tr>
        <w:trPr>
          <w:trHeight w:val="682" w:hRule="atLeast"/>
        </w:trPr>
        <w:tc>
          <w:tcPr>
            <w:tcW w:w="2069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1131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44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50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single" w:sz="10" w:space="0" w:color="00000A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2069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1131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44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50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2069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    (ku dňu ÚZ)</w:t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1131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44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50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2069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color w:val="1F4E79" w:themeColor="accent1" w:themeShade="80"/>
                <w:sz w:val="24"/>
                <w:szCs w:val="24"/>
              </w:rPr>
            </w:r>
          </w:p>
        </w:tc>
        <w:tc>
          <w:tcPr>
            <w:tcW w:w="1131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44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50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69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  a iné plnenie použité na súkr. účely na vyúčtovanie</w:t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1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44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50" w:type="dxa"/>
            <w:tcBorders>
              <w:top w:val="nil"/>
              <w:left w:val="single" w:sz="10" w:space="0" w:color="00000A"/>
              <w:bottom w:val="single" w:sz="10" w:space="0" w:color="00000A"/>
              <w:right w:val="nil"/>
              <w:insideH w:val="single" w:sz="10" w:space="0" w:color="00000A"/>
              <w:insideV w:val="nil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1" w:type="dxa"/>
            <w:tcBorders>
              <w:top w:val="nil"/>
              <w:left w:val="single" w:sz="10" w:space="0" w:color="00000A"/>
              <w:bottom w:val="single" w:sz="10" w:space="0" w:color="00000A"/>
              <w:right w:val="single" w:sz="10" w:space="0" w:color="00000A"/>
              <w:insideH w:val="single" w:sz="10" w:space="0" w:color="00000A"/>
              <w:insideV w:val="single" w:sz="10" w:space="0" w:color="00000A"/>
            </w:tcBorders>
            <w:shd w:fill="auto" w:val="clear"/>
            <w:tcMar>
              <w:left w:w="-12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 xml:space="preserve">Spoločnosť CREZAR, s. r. o. neposkytla v priebehu roka 2016 žiadne pôžičky, ani iné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ab/>
        <w:t>finančné výpomoci.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b/>
          <w:b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b/>
          <w:color w:val="1F4E79" w:themeColor="accent1" w:themeShade="80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b/>
          <w:b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b/>
          <w:color w:val="1F4E79" w:themeColor="accent1" w:themeShade="80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606" w:type="dxa"/>
        <w:jc w:val="left"/>
        <w:tblInd w:w="-46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3232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23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 xml:space="preserve">Povinnosti nájomcu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</w:p>
    <w:tbl>
      <w:tblPr>
        <w:tblStyle w:val="Mriekatabuky"/>
        <w:tblW w:w="9606" w:type="dxa"/>
        <w:jc w:val="left"/>
        <w:tblInd w:w="-45" w:type="dxa"/>
        <w:tblCellMar>
          <w:top w:w="0" w:type="dxa"/>
          <w:left w:w="-15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565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5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 xml:space="preserve">Spoločnosť CREZAR, s. r. o. nemá žiadne významné povinnosti z dôchodkových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ab/>
        <w:t>programov pre zamestnancov.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rPr/>
      </w:pPr>
      <w:r>
        <w:rPr>
          <w:rFonts w:eastAsia="MS Gothic" w:cs="Times New Roman" w:ascii="Times New Roman" w:hAnsi="Times New Roman"/>
          <w:sz w:val="24"/>
          <w:szCs w:val="24"/>
        </w:rPr>
        <w:t xml:space="preserve">            </w: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>Spoločnosť CREZAR, s. r. o. nemá udelené výlučné právo.</w:t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color w:val="1F4E79" w:themeColor="accent1" w:themeShade="80"/>
          <w:sz w:val="24"/>
          <w:szCs w:val="24"/>
        </w:rPr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 xml:space="preserve">V Bratislave, dňa: </w: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>13</w: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>.0</w: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>3</w:t>
      </w:r>
      <w:r>
        <w:rPr>
          <w:rFonts w:eastAsia="MS Gothic" w:cs="Times New Roman" w:ascii="Times New Roman" w:hAnsi="Times New Roman"/>
          <w:color w:val="1F4E79" w:themeColor="accent1" w:themeShade="80"/>
          <w:sz w:val="24"/>
          <w:szCs w:val="24"/>
        </w:rPr>
        <w:t>.2017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31100630"/>
    </w:sdtPr>
    <w:sdtContent>
      <w:p>
        <w:pPr>
          <w:pStyle w:val="Pta"/>
          <w:rPr/>
        </w:pPr>
        <w:r>
          <w:rPr/>
          <w:tab/>
        </w:r>
        <w:r>
          <w:rPr/>
          <w:fldChar w:fldCharType="begin"/>
        </w:r>
        <w:r>
          <w:instrText> PAGE </w:instrText>
        </w:r>
        <w:r>
          <w:fldChar w:fldCharType="separate"/>
        </w:r>
        <w:r>
          <w:t>8</w:t>
        </w:r>
        <w:r>
          <w:fldChar w:fldCharType="end"/>
        </w:r>
      </w:p>
      <w:p>
        <w:pPr>
          <w:pStyle w:val="Pta"/>
          <w:rPr/>
        </w:pPr>
        <w:r>
          <w:rPr/>
        </w:r>
      </w:p>
    </w:sdtContent>
  </w:sdt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5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t" style="position:absolute;margin-left:178.9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7" name="obrázok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2" stroked="t" style="position:absolute;margin-left:192.4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9" name="obrázok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3" stroked="t" style="position:absolute;margin-left:205.9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11" name="obrázok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4" stroked="t" style="position:absolute;margin-left:232.9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>
              <wp:simplePos x="0" y="0"/>
              <wp:positionH relativeFrom="column">
                <wp:posOffset>3126105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13" name="obrázok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5" stroked="t" style="position:absolute;margin-left:246.15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15" name="obrázok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6" stroked="t" style="position:absolute;margin-left:259.9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17" name="obrázok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7" stroked="t" style="position:absolute;margin-left:342.5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19" name="obrázok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8" stroked="t" style="position:absolute;margin-left:356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21" name="obrázok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9" stroked="t" style="position:absolute;margin-left:369.5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23" name="obrázok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0" stroked="t" style="position:absolute;margin-left:396.5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>
              <wp:simplePos x="0" y="0"/>
              <wp:positionH relativeFrom="column">
                <wp:posOffset>5208270</wp:posOffset>
              </wp:positionH>
              <wp:positionV relativeFrom="paragraph">
                <wp:posOffset>-13335</wp:posOffset>
              </wp:positionV>
              <wp:extent cx="180340" cy="198120"/>
              <wp:effectExtent l="0" t="0" r="0" b="0"/>
              <wp:wrapNone/>
              <wp:docPr id="25" name="obrázok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9640" cy="19764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1" stroked="t" style="position:absolute;margin-left:410.1pt;margin-top:-1.05pt;width:14.1pt;height:15.5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5382895</wp:posOffset>
              </wp:positionH>
              <wp:positionV relativeFrom="paragraph">
                <wp:posOffset>-13335</wp:posOffset>
              </wp:positionV>
              <wp:extent cx="177165" cy="205740"/>
              <wp:effectExtent l="0" t="0" r="0" b="0"/>
              <wp:wrapNone/>
              <wp:docPr id="27" name="obrázok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2" stroked="t" style="position:absolute;margin-left:423.85pt;margin-top:-1.05pt;width:13.85pt;height:16.1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5">
              <wp:simplePos x="0" y="0"/>
              <wp:positionH relativeFrom="column">
                <wp:posOffset>5553075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29" name="obrázok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3" stroked="t" style="position:absolute;margin-left:437.25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31" name="obrázok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4" stroked="t" style="position:absolute;margin-left:315.4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2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33" name="obrázok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5" stroked="t" style="position:absolute;margin-left:328.9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29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7665" cy="196215"/>
              <wp:effectExtent l="0" t="0" r="0" b="0"/>
              <wp:wrapNone/>
              <wp:docPr id="35" name="obrázok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7200" cy="1954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6" fillcolor="white" stroked="f" style="position:absolute;margin-left:283.9pt;margin-top:-0.9pt;width:28.85pt;height:15.35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37" name="Rámec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2" stroked="t" style="position:absolute;margin-left:165.4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8435" cy="207010"/>
              <wp:effectExtent l="0" t="0" r="0" b="0"/>
              <wp:wrapNone/>
              <wp:docPr id="39" name="obrázok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7" stroked="t" style="position:absolute;margin-left:219.4pt;margin-top:-0.9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5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8435" cy="207010"/>
              <wp:effectExtent l="0" t="0" r="0" b="0"/>
              <wp:wrapNone/>
              <wp:docPr id="41" name="obrázok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40" cy="2062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8" stroked="t" style="position:absolute;margin-left:383pt;margin-top:-1.05pt;width:13.95pt;height:16.2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034fa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eastAsia="MS Gothic" w:cs="Times New Roman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eastAsia="MS Gothic" w:cs="Times New Roman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eastAsia="MS Gothic" w:cs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eastAsia="MS Gothic" w:cs="Times New Roman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45AF13-522D-487D-93D2-F903C5022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LibreOffice/5.1.6.2$Windows_X86_64 LibreOffice_project/07ac168c60a517dba0f0d7bc7540f5afa45f0909</Application>
  <Pages>8</Pages>
  <Words>1236</Words>
  <Characters>7652</Characters>
  <CharactersWithSpaces>8811</CharactersWithSpaces>
  <Paragraphs>236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2016-03-26T23:31:00Z</dcterms:created>
  <dc:creator>Martin T</dc:creator>
  <dc:description/>
  <dc:language>sk-SK</dc:language>
  <cp:lastModifiedBy/>
  <cp:lastPrinted>2017-07-25T14:28:59Z</cp:lastPrinted>
  <dcterms:modified xsi:type="dcterms:W3CDTF">2017-07-25T14:56:43Z</dcterms:modified>
  <cp:revision>68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