
<file path=[Content_Types].xml><?xml version="1.0" encoding="utf-8"?>
<Types xmlns="http://schemas.openxmlformats.org/package/2006/content-types">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Heading1"/>
        <w:numPr>
          <w:ilvl w:val="0"/>
          <w:numId w:val="0"/>
        </w:numPr>
        <w:shd w:val="clear" w:fill="FFFFFF"/>
        <w:spacing w:before="120" w:after="120"/>
        <w:jc w:val="center"/>
        <w:rPr/>
      </w:pPr>
      <w:r>
        <w:rPr>
          <w:rFonts w:cs="Calibri" w:ascii="Calibri" w:hAnsi="Calibri" w:asciiTheme="minorHAnsi" w:cstheme="minorHAnsi" w:hAnsiTheme="minorHAnsi"/>
          <w:sz w:val="22"/>
          <w:szCs w:val="22"/>
          <w:lang w:val="sk-SK"/>
        </w:rPr>
        <w:t>Poznámky k 30.6.2017</w:t>
      </w:r>
    </w:p>
    <w:p>
      <w:pPr>
        <w:pStyle w:val="Heading1"/>
        <w:numPr>
          <w:ilvl w:val="0"/>
          <w:numId w:val="0"/>
        </w:numPr>
        <w:shd w:val="clear" w:fill="FFFFFF"/>
        <w:spacing w:before="120" w:after="120"/>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Heading1"/>
        <w:numPr>
          <w:ilvl w:val="0"/>
          <w:numId w:val="0"/>
        </w:numPr>
        <w:shd w:val="clear" w:fill="FFFFFF"/>
        <w:spacing w:before="120" w:after="120"/>
        <w:rPr/>
      </w:pPr>
      <w:bookmarkStart w:id="0" w:name="_Toc474124189"/>
      <w:bookmarkStart w:id="1" w:name="_Toc474124301"/>
      <w:bookmarkEnd w:id="0"/>
      <w:bookmarkEnd w:id="1"/>
      <w:r>
        <w:rPr>
          <w:rFonts w:cs="Calibri" w:ascii="Calibri" w:hAnsi="Calibri" w:asciiTheme="minorHAnsi" w:cstheme="minorHAnsi" w:hAnsiTheme="minorHAnsi"/>
          <w:sz w:val="22"/>
          <w:szCs w:val="22"/>
          <w:lang w:val="sk-SK"/>
        </w:rPr>
        <w:t>Popis spoločnosti</w:t>
      </w:r>
    </w:p>
    <w:p>
      <w:pPr>
        <w:pStyle w:val="Normal"/>
        <w:keepNext/>
        <w:rPr/>
      </w:pPr>
      <w:r>
        <w:rPr>
          <w:rFonts w:cs="Calibri" w:ascii="Calibri" w:hAnsi="Calibri" w:asciiTheme="minorHAnsi" w:cstheme="minorHAnsi" w:hAnsiTheme="minorHAnsi"/>
          <w:i/>
          <w:sz w:val="22"/>
          <w:szCs w:val="22"/>
          <w:lang w:val="sk-SK"/>
        </w:rPr>
        <w:t>evasion3D s.r.o., v likvidácii (</w:t>
      </w:r>
      <w:r>
        <w:rPr>
          <w:rFonts w:cs="Calibri" w:ascii="Calibri" w:hAnsi="Calibri" w:asciiTheme="minorHAnsi" w:cstheme="minorHAnsi" w:hAnsiTheme="minorHAnsi"/>
          <w:sz w:val="22"/>
          <w:szCs w:val="22"/>
          <w:lang w:val="sk-SK"/>
        </w:rPr>
        <w:t>ďalej len „spoločnosť”) je spoločnosť</w:t>
      </w:r>
      <w:r>
        <w:rPr>
          <w:rFonts w:cs="Calibri" w:ascii="Calibri" w:hAnsi="Calibri" w:asciiTheme="minorHAnsi" w:cstheme="minorHAnsi" w:hAnsiTheme="minorHAnsi"/>
          <w:i/>
          <w:sz w:val="22"/>
          <w:szCs w:val="22"/>
          <w:lang w:val="sk-SK"/>
        </w:rPr>
        <w:t xml:space="preserve"> s ručením obmedzeným</w:t>
      </w:r>
      <w:r>
        <w:rPr>
          <w:rFonts w:cs="Calibri" w:ascii="Calibri" w:hAnsi="Calibri" w:asciiTheme="minorHAnsi" w:cstheme="minorHAnsi" w:hAnsiTheme="minorHAnsi"/>
          <w:sz w:val="22"/>
          <w:szCs w:val="22"/>
          <w:lang w:val="sk-SK"/>
        </w:rPr>
        <w:t xml:space="preserve">, ktorá bola založená dňa </w:t>
      </w:r>
      <w:r>
        <w:rPr>
          <w:rFonts w:cs="Calibri" w:ascii="Calibri" w:hAnsi="Calibri" w:asciiTheme="minorHAnsi" w:cstheme="minorHAnsi" w:hAnsiTheme="minorHAnsi"/>
          <w:i/>
          <w:sz w:val="22"/>
          <w:szCs w:val="22"/>
          <w:lang w:val="sk-SK"/>
        </w:rPr>
        <w:t xml:space="preserve">01/12/2005. </w:t>
      </w:r>
      <w:r>
        <w:rPr>
          <w:rFonts w:cs="Calibri" w:ascii="Calibri" w:hAnsi="Calibri" w:asciiTheme="minorHAnsi" w:cstheme="minorHAnsi" w:hAnsiTheme="minorHAnsi"/>
          <w:sz w:val="22"/>
          <w:szCs w:val="22"/>
          <w:lang w:val="sk-SK"/>
        </w:rPr>
        <w:t xml:space="preserve">Dňa </w:t>
      </w:r>
      <w:r>
        <w:rPr>
          <w:rFonts w:cs="Calibri" w:ascii="Calibri" w:hAnsi="Calibri" w:asciiTheme="minorHAnsi" w:cstheme="minorHAnsi" w:hAnsiTheme="minorHAnsi"/>
          <w:i/>
          <w:sz w:val="22"/>
          <w:szCs w:val="22"/>
          <w:lang w:val="sk-SK"/>
        </w:rPr>
        <w:t xml:space="preserve">15/12/2005 </w:t>
      </w:r>
      <w:r>
        <w:rPr>
          <w:rFonts w:cs="Calibri" w:ascii="Calibri" w:hAnsi="Calibri" w:asciiTheme="minorHAnsi" w:cstheme="minorHAnsi" w:hAnsiTheme="minorHAnsi"/>
          <w:sz w:val="22"/>
          <w:szCs w:val="22"/>
          <w:lang w:val="sk-SK"/>
        </w:rPr>
        <w:t>bola zapísaná do Obchodného registra vedenom na Okresnom súde Bratislava I, oddiel Sro, vložka 38676/B. Spoločnosť sídli  na H. Meličkovej 9, 841 05  Bratislava</w:t>
      </w:r>
      <w:r>
        <w:rPr>
          <w:rFonts w:cs="Calibri" w:ascii="Calibri" w:hAnsi="Calibri" w:asciiTheme="minorHAnsi" w:cstheme="minorHAnsi" w:hAnsiTheme="minorHAnsi"/>
          <w:i/>
          <w:sz w:val="22"/>
          <w:szCs w:val="22"/>
          <w:lang w:val="sk-SK"/>
        </w:rPr>
        <w:t>,</w:t>
      </w:r>
      <w:r>
        <w:rPr>
          <w:rFonts w:cs="Calibri" w:ascii="Calibri" w:hAnsi="Calibri" w:asciiTheme="minorHAnsi" w:cstheme="minorHAnsi" w:hAnsiTheme="minorHAnsi"/>
          <w:sz w:val="22"/>
          <w:szCs w:val="22"/>
          <w:lang w:val="sk-SK"/>
        </w:rPr>
        <w:t xml:space="preserve"> Slovenská republika, identifikačné číslo </w:t>
      </w:r>
      <w:r>
        <w:rPr>
          <w:rFonts w:cs="Calibri" w:ascii="Calibri" w:hAnsi="Calibri" w:asciiTheme="minorHAnsi" w:cstheme="minorHAnsi" w:hAnsiTheme="minorHAnsi"/>
          <w:i/>
          <w:sz w:val="22"/>
          <w:szCs w:val="22"/>
          <w:lang w:val="sk-SK"/>
        </w:rPr>
        <w:t>35969237</w:t>
      </w:r>
      <w:r>
        <w:rPr>
          <w:rFonts w:cs="Calibri" w:ascii="Calibri" w:hAnsi="Calibri" w:asciiTheme="minorHAnsi" w:cstheme="minorHAnsi" w:hAnsiTheme="minorHAnsi"/>
          <w:sz w:val="22"/>
          <w:szCs w:val="22"/>
          <w:lang w:val="sk-SK"/>
        </w:rPr>
        <w:t xml:space="preserve">. </w:t>
      </w:r>
    </w:p>
    <w:p>
      <w:pPr>
        <w:pStyle w:val="Normal"/>
        <w:rPr>
          <w:b/>
          <w:b/>
          <w:bCs/>
        </w:rPr>
      </w:pPr>
      <w:r>
        <w:rPr>
          <w:rFonts w:cs="Calibri" w:ascii="Calibri" w:hAnsi="Calibri" w:asciiTheme="minorHAnsi" w:cstheme="minorHAnsi" w:hAnsiTheme="minorHAnsi"/>
          <w:b/>
          <w:bCs/>
          <w:sz w:val="22"/>
          <w:szCs w:val="22"/>
          <w:lang w:val="sk-SK"/>
        </w:rPr>
        <w:t>Spoločnosť dňa 1.7.2017 vstúpila do likvidácie.</w:t>
      </w:r>
    </w:p>
    <w:p>
      <w:pPr>
        <w:pStyle w:val="Normal"/>
        <w:keepNext/>
        <w:rPr/>
      </w:pPr>
      <w:r>
        <w:rPr>
          <w:rFonts w:cs="Calibri" w:ascii="Calibri" w:hAnsi="Calibri" w:asciiTheme="minorHAnsi" w:cstheme="minorHAnsi" w:hAnsiTheme="minorHAnsi"/>
          <w:sz w:val="22"/>
          <w:szCs w:val="22"/>
          <w:lang w:val="sk-SK"/>
        </w:rPr>
        <w:t>Hlavným predmetom činnosti je:</w:t>
      </w:r>
    </w:p>
    <w:p>
      <w:pPr>
        <w:pStyle w:val="Normal"/>
        <w:keepNext/>
        <w:rPr>
          <w:rFonts w:ascii="Calibri" w:hAnsi="Calibri" w:cs="Calibri" w:asciiTheme="minorHAnsi" w:cstheme="minorHAnsi" w:hAnsiTheme="minorHAnsi"/>
          <w:i/>
          <w:i/>
          <w:sz w:val="22"/>
          <w:szCs w:val="22"/>
          <w:lang w:val="sk-SK"/>
        </w:rPr>
      </w:pPr>
      <w:r>
        <w:rPr>
          <w:rFonts w:cs="Calibri" w:ascii="Calibri" w:hAnsi="Calibri" w:asciiTheme="minorHAnsi" w:cstheme="minorHAnsi" w:hAnsiTheme="minorHAnsi"/>
          <w:i/>
          <w:sz w:val="22"/>
          <w:szCs w:val="22"/>
          <w:lang w:val="sk-SK"/>
        </w:rPr>
        <w:t>1.vedenie účtovníctva</w:t>
      </w:r>
    </w:p>
    <w:p>
      <w:pPr>
        <w:pStyle w:val="Normal"/>
        <w:keepNext/>
        <w:rPr>
          <w:rFonts w:ascii="Calibri" w:hAnsi="Calibri" w:cs="Calibri" w:asciiTheme="minorHAnsi" w:cstheme="minorHAnsi" w:hAnsiTheme="minorHAnsi"/>
          <w:i/>
          <w:i/>
          <w:sz w:val="22"/>
          <w:szCs w:val="22"/>
          <w:lang w:val="sk-SK"/>
        </w:rPr>
      </w:pPr>
      <w:r>
        <w:rPr>
          <w:rFonts w:cs="Calibri" w:ascii="Calibri" w:hAnsi="Calibri" w:asciiTheme="minorHAnsi" w:cstheme="minorHAnsi" w:hAnsiTheme="minorHAnsi"/>
          <w:i/>
          <w:sz w:val="22"/>
          <w:szCs w:val="22"/>
          <w:lang w:val="sk-SK"/>
        </w:rPr>
        <w:t>2.spracovanie grafiky, textu a dát pomocou výpočtovej techniky podľa predlohy</w:t>
      </w:r>
    </w:p>
    <w:p>
      <w:pPr>
        <w:pStyle w:val="Normal"/>
        <w:keepNext/>
        <w:rPr>
          <w:rFonts w:ascii="Calibri" w:hAnsi="Calibri" w:cs="Calibri" w:asciiTheme="minorHAnsi" w:cstheme="minorHAnsi" w:hAnsiTheme="minorHAnsi"/>
          <w:b/>
          <w:b/>
          <w:sz w:val="22"/>
          <w:szCs w:val="22"/>
          <w:lang w:val="sk-SK"/>
        </w:rPr>
      </w:pPr>
      <w:r>
        <w:rPr>
          <w:rFonts w:cs="Calibri" w:ascii="Calibri" w:hAnsi="Calibri" w:asciiTheme="minorHAnsi" w:cstheme="minorHAnsi" w:hAnsiTheme="minorHAnsi"/>
          <w:b/>
          <w:sz w:val="22"/>
          <w:szCs w:val="22"/>
          <w:lang w:val="sk-SK"/>
        </w:rPr>
        <w:t>Informácie o počte zamestnancov</w:t>
      </w:r>
    </w:p>
    <w:tbl>
      <w:tblPr>
        <w:tblW w:w="9212" w:type="dxa"/>
        <w:jc w:val="left"/>
        <w:tblInd w:w="-29" w:type="dxa"/>
        <w:tblBorders>
          <w:top w:val="single" w:sz="4" w:space="0" w:color="00000A"/>
          <w:left w:val="single" w:sz="8" w:space="0" w:color="00000A"/>
          <w:bottom w:val="single" w:sz="6" w:space="0" w:color="00000A"/>
          <w:right w:val="single" w:sz="6" w:space="0" w:color="00000A"/>
          <w:insideH w:val="single" w:sz="6" w:space="0" w:color="00000A"/>
          <w:insideV w:val="single" w:sz="6" w:space="0" w:color="00000A"/>
        </w:tblBorders>
        <w:tblCellMar>
          <w:top w:w="0" w:type="dxa"/>
          <w:left w:w="73" w:type="dxa"/>
          <w:bottom w:w="0" w:type="dxa"/>
          <w:right w:w="108" w:type="dxa"/>
        </w:tblCellMar>
        <w:tblLook w:val="04a0"/>
      </w:tblPr>
      <w:tblGrid>
        <w:gridCol w:w="3794"/>
        <w:gridCol w:w="2709"/>
        <w:gridCol w:w="2709"/>
      </w:tblGrid>
      <w:tr>
        <w:trPr>
          <w:trHeight w:val="900" w:hRule="exact"/>
        </w:trPr>
        <w:tc>
          <w:tcPr>
            <w:tcW w:w="3794" w:type="dxa"/>
            <w:tcBorders>
              <w:top w:val="single" w:sz="4"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73"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sz w:val="22"/>
                <w:szCs w:val="22"/>
                <w:lang w:val="sk-SK"/>
              </w:rPr>
            </w:pPr>
            <w:r>
              <w:rPr>
                <w:rFonts w:cs="Calibri" w:ascii="Calibri" w:hAnsi="Calibri" w:asciiTheme="minorHAnsi" w:cstheme="minorHAnsi" w:hAnsiTheme="minorHAnsi"/>
                <w:b/>
                <w:sz w:val="22"/>
                <w:szCs w:val="22"/>
                <w:lang w:val="sk-SK"/>
              </w:rPr>
              <w:t>Názov položky</w:t>
            </w:r>
          </w:p>
        </w:tc>
        <w:tc>
          <w:tcPr>
            <w:tcW w:w="2709" w:type="dxa"/>
            <w:tcBorders>
              <w:top w:val="single" w:sz="6" w:space="0" w:color="00000A"/>
              <w:left w:val="single" w:sz="6" w:space="0" w:color="00000A"/>
              <w:bottom w:val="single" w:sz="6" w:space="0" w:color="00000A"/>
              <w:right w:val="single" w:sz="4" w:space="0" w:color="00000A"/>
              <w:insideH w:val="single" w:sz="6" w:space="0" w:color="00000A"/>
              <w:insideV w:val="single" w:sz="4" w:space="0" w:color="00000A"/>
            </w:tcBorders>
            <w:shd w:fill="auto" w:val="clear"/>
            <w:tcMar>
              <w:left w:w="81"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sz w:val="22"/>
                <w:szCs w:val="22"/>
                <w:lang w:val="sk-SK"/>
              </w:rPr>
            </w:pPr>
            <w:r>
              <w:rPr>
                <w:rFonts w:cs="Calibri" w:ascii="Calibri" w:hAnsi="Calibri" w:asciiTheme="minorHAnsi" w:cstheme="minorHAnsi" w:hAnsiTheme="minorHAnsi"/>
                <w:b/>
                <w:sz w:val="22"/>
                <w:szCs w:val="22"/>
                <w:lang w:val="sk-SK"/>
              </w:rPr>
              <w:t>Bežné účtovné obdobie</w:t>
            </w:r>
          </w:p>
        </w:tc>
        <w:tc>
          <w:tcPr>
            <w:tcW w:w="2709" w:type="dxa"/>
            <w:tcBorders>
              <w:top w:val="single" w:sz="6" w:space="0" w:color="00000A"/>
              <w:left w:val="single" w:sz="4" w:space="0" w:color="00000A"/>
              <w:bottom w:val="single" w:sz="6" w:space="0" w:color="00000A"/>
              <w:right w:val="single" w:sz="6" w:space="0" w:color="00000A"/>
              <w:insideH w:val="single" w:sz="6" w:space="0" w:color="00000A"/>
              <w:insideV w:val="single" w:sz="6" w:space="0" w:color="00000A"/>
            </w:tcBorders>
            <w:shd w:fill="auto" w:val="clear"/>
            <w:tcMar>
              <w:left w:w="93"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sz w:val="22"/>
                <w:szCs w:val="22"/>
                <w:lang w:val="sk-SK"/>
              </w:rPr>
            </w:pPr>
            <w:r>
              <w:rPr>
                <w:rFonts w:cs="Calibri" w:ascii="Calibri" w:hAnsi="Calibri" w:asciiTheme="minorHAnsi" w:cstheme="minorHAnsi" w:hAnsiTheme="minorHAnsi"/>
                <w:b/>
                <w:sz w:val="22"/>
                <w:szCs w:val="22"/>
                <w:lang w:val="sk-SK"/>
              </w:rPr>
              <w:t>Bezprostredne predchádzajúce účtovné obdobie</w:t>
            </w:r>
          </w:p>
        </w:tc>
      </w:tr>
      <w:tr>
        <w:trPr>
          <w:trHeight w:val="497" w:hRule="exact"/>
        </w:trPr>
        <w:tc>
          <w:tcPr>
            <w:tcW w:w="3794" w:type="dxa"/>
            <w:tcBorders>
              <w:top w:val="single" w:sz="12"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7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Priemerný prepočítaný počet zamestnancov</w:t>
            </w:r>
          </w:p>
        </w:tc>
        <w:tc>
          <w:tcPr>
            <w:tcW w:w="2709"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324" w:hanging="0"/>
              <w:jc w:val="righ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0</w:t>
            </w:r>
          </w:p>
        </w:tc>
        <w:tc>
          <w:tcPr>
            <w:tcW w:w="2709"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331" w:hanging="0"/>
              <w:jc w:val="righ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0</w:t>
            </w:r>
          </w:p>
        </w:tc>
      </w:tr>
      <w:tr>
        <w:trPr>
          <w:trHeight w:val="560" w:hRule="exact"/>
        </w:trPr>
        <w:tc>
          <w:tcPr>
            <w:tcW w:w="3794" w:type="dxa"/>
            <w:tcBorders>
              <w:top w:val="single" w:sz="6"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7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Stav zamestnancov ku dňu, ku ktorému sa zostavuje účtovná závierka, z toho:</w:t>
            </w:r>
          </w:p>
        </w:tc>
        <w:tc>
          <w:tcPr>
            <w:tcW w:w="27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324" w:hanging="0"/>
              <w:jc w:val="righ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0</w:t>
            </w:r>
          </w:p>
        </w:tc>
        <w:tc>
          <w:tcPr>
            <w:tcW w:w="27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331" w:hanging="0"/>
              <w:jc w:val="righ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0</w:t>
            </w:r>
          </w:p>
        </w:tc>
      </w:tr>
      <w:tr>
        <w:trPr>
          <w:trHeight w:val="425" w:hRule="exact"/>
        </w:trPr>
        <w:tc>
          <w:tcPr>
            <w:tcW w:w="3794" w:type="dxa"/>
            <w:tcBorders>
              <w:top w:val="single" w:sz="6"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7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počet vedúcich zamestnancov</w:t>
            </w:r>
          </w:p>
        </w:tc>
        <w:tc>
          <w:tcPr>
            <w:tcW w:w="27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324" w:hanging="0"/>
              <w:jc w:val="righ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0</w:t>
            </w:r>
          </w:p>
        </w:tc>
        <w:tc>
          <w:tcPr>
            <w:tcW w:w="27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331" w:hanging="0"/>
              <w:jc w:val="righ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0</w:t>
            </w:r>
          </w:p>
        </w:tc>
      </w:tr>
    </w:tbl>
    <w:p>
      <w:pPr>
        <w:pStyle w:val="Normal"/>
        <w:keepNext/>
        <w:spacing w:before="0" w:after="120"/>
        <w:rPr>
          <w:rFonts w:ascii="Calibri" w:hAnsi="Calibri" w:cs="Calibri" w:asciiTheme="minorHAnsi" w:cstheme="minorHAnsi" w:hAnsiTheme="minorHAnsi"/>
          <w:b/>
          <w:b/>
          <w:sz w:val="22"/>
          <w:szCs w:val="22"/>
          <w:lang w:val="sk-SK"/>
        </w:rPr>
      </w:pPr>
      <w:r>
        <w:rPr>
          <w:rFonts w:cs="Calibri" w:cstheme="minorHAnsi" w:ascii="Calibri" w:hAnsi="Calibri"/>
          <w:b/>
          <w:sz w:val="22"/>
          <w:szCs w:val="22"/>
          <w:lang w:val="sk-SK"/>
        </w:rPr>
      </w:r>
    </w:p>
    <w:p>
      <w:pPr>
        <w:pStyle w:val="Normal"/>
        <w:keepNext/>
        <w:rPr>
          <w:rFonts w:ascii="Calibri" w:hAnsi="Calibri" w:cs="Calibri" w:asciiTheme="minorHAnsi" w:cstheme="minorHAnsi" w:hAnsiTheme="minorHAnsi"/>
          <w:b/>
          <w:b/>
          <w:sz w:val="22"/>
          <w:szCs w:val="22"/>
          <w:lang w:val="sk-SK"/>
        </w:rPr>
      </w:pPr>
      <w:r>
        <w:rPr>
          <w:rFonts w:cs="Calibri" w:ascii="Calibri" w:hAnsi="Calibri" w:asciiTheme="minorHAnsi" w:cstheme="minorHAnsi" w:hAnsiTheme="minorHAnsi"/>
          <w:b/>
          <w:sz w:val="22"/>
          <w:szCs w:val="22"/>
          <w:lang w:val="sk-SK"/>
        </w:rPr>
        <w:t xml:space="preserve">Informácie o štruktúre spoločníkov ku dňu, ku ktorému sa zostavuje mimoriadna účtovná závierka. </w:t>
      </w:r>
    </w:p>
    <w:tbl>
      <w:tblPr>
        <w:tblW w:w="9212" w:type="dxa"/>
        <w:jc w:val="left"/>
        <w:tblInd w:w="-29" w:type="dxa"/>
        <w:tblBorders>
          <w:top w:val="single" w:sz="8" w:space="0" w:color="00000A"/>
          <w:left w:val="single" w:sz="8" w:space="0" w:color="00000A"/>
          <w:bottom w:val="single" w:sz="4" w:space="0" w:color="00000A"/>
          <w:right w:val="single" w:sz="6" w:space="0" w:color="00000A"/>
          <w:insideH w:val="single" w:sz="4" w:space="0" w:color="00000A"/>
          <w:insideV w:val="single" w:sz="6" w:space="0" w:color="00000A"/>
        </w:tblBorders>
        <w:tblCellMar>
          <w:top w:w="0" w:type="dxa"/>
          <w:left w:w="73" w:type="dxa"/>
          <w:bottom w:w="0" w:type="dxa"/>
          <w:right w:w="108" w:type="dxa"/>
        </w:tblCellMar>
        <w:tblLook w:val="04a0"/>
      </w:tblPr>
      <w:tblGrid>
        <w:gridCol w:w="2373"/>
        <w:gridCol w:w="1560"/>
        <w:gridCol w:w="1591"/>
        <w:gridCol w:w="3"/>
        <w:gridCol w:w="1840"/>
        <w:gridCol w:w="2"/>
        <w:gridCol w:w="1843"/>
      </w:tblGrid>
      <w:tr>
        <w:trPr/>
        <w:tc>
          <w:tcPr>
            <w:tcW w:w="2373" w:type="dxa"/>
            <w:vMerge w:val="restart"/>
            <w:tcBorders>
              <w:top w:val="single" w:sz="8" w:space="0" w:color="00000A"/>
              <w:left w:val="single" w:sz="8" w:space="0" w:color="00000A"/>
              <w:bottom w:val="single" w:sz="4" w:space="0" w:color="00000A"/>
              <w:right w:val="single" w:sz="6" w:space="0" w:color="00000A"/>
              <w:insideH w:val="single" w:sz="4" w:space="0" w:color="00000A"/>
              <w:insideV w:val="single" w:sz="6" w:space="0" w:color="00000A"/>
            </w:tcBorders>
            <w:shd w:fill="auto" w:val="clear"/>
            <w:tcMar>
              <w:left w:w="73" w:type="dxa"/>
            </w:tcMar>
            <w:vAlign w:val="center"/>
          </w:tcPr>
          <w:p>
            <w:pPr>
              <w:pStyle w:val="Normal"/>
              <w:tabs>
                <w:tab w:val="center" w:pos="4536" w:leader="none"/>
                <w:tab w:val="right" w:pos="9072" w:leader="none"/>
              </w:tabs>
              <w:spacing w:before="24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Spoločník</w:t>
            </w:r>
          </w:p>
        </w:tc>
        <w:tc>
          <w:tcPr>
            <w:tcW w:w="3151" w:type="dxa"/>
            <w:gridSpan w:val="2"/>
            <w:tcBorders>
              <w:top w:val="single" w:sz="8"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cstheme="minorHAnsi" w:ascii="Calibri" w:hAnsi="Calibri"/>
                <w:b/>
                <w:lang w:val="sk-SK"/>
              </w:rPr>
            </w:r>
          </w:p>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Výška podielu na základnom imaní</w:t>
            </w:r>
          </w:p>
        </w:tc>
        <w:tc>
          <w:tcPr>
            <w:tcW w:w="1843" w:type="dxa"/>
            <w:gridSpan w:val="2"/>
            <w:tcBorders>
              <w:top w:val="single" w:sz="8" w:space="0" w:color="00000A"/>
              <w:left w:val="single" w:sz="6" w:space="0" w:color="00000A"/>
              <w:bottom w:val="single" w:sz="4" w:space="0" w:color="00000A"/>
              <w:right w:val="single" w:sz="6" w:space="0" w:color="00000A"/>
              <w:insideH w:val="single" w:sz="4"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Podiel na hlasovacích právach v %</w:t>
            </w:r>
          </w:p>
        </w:tc>
        <w:tc>
          <w:tcPr>
            <w:tcW w:w="1845" w:type="dxa"/>
            <w:gridSpan w:val="2"/>
            <w:vMerge w:val="restart"/>
            <w:tcBorders>
              <w:top w:val="single" w:sz="8" w:space="0" w:color="00000A"/>
              <w:left w:val="single" w:sz="6" w:space="0" w:color="00000A"/>
              <w:bottom w:val="single" w:sz="4" w:space="0" w:color="00000A"/>
              <w:right w:val="single" w:sz="8" w:space="0" w:color="00000A"/>
              <w:insideH w:val="single" w:sz="4" w:space="0" w:color="00000A"/>
              <w:insideV w:val="single" w:sz="8" w:space="0" w:color="00000A"/>
            </w:tcBorders>
            <w:shd w:fill="auto" w:val="clear"/>
            <w:tcMar>
              <w:left w:w="81"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Iný podiel na ostatných položkách VI ako na ZI v %</w:t>
            </w:r>
          </w:p>
        </w:tc>
      </w:tr>
      <w:tr>
        <w:trPr/>
        <w:tc>
          <w:tcPr>
            <w:tcW w:w="2373" w:type="dxa"/>
            <w:vMerge w:val="continue"/>
            <w:tcBorders>
              <w:top w:val="single" w:sz="4"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73" w:type="dxa"/>
            </w:tcMar>
          </w:tcPr>
          <w:p>
            <w:pPr>
              <w:pStyle w:val="Normal"/>
              <w:tabs>
                <w:tab w:val="center" w:pos="4536" w:leader="none"/>
                <w:tab w:val="right" w:pos="9072" w:leader="none"/>
              </w:tabs>
              <w:spacing w:before="0" w:after="0"/>
              <w:rPr>
                <w:rFonts w:ascii="Calibri" w:hAnsi="Calibri" w:cs="Calibri" w:asciiTheme="minorHAnsi" w:cstheme="minorHAnsi" w:hAnsiTheme="minorHAnsi"/>
                <w:b/>
                <w:b/>
                <w:lang w:val="sk-SK"/>
              </w:rPr>
            </w:pPr>
            <w:r>
              <w:rPr>
                <w:rFonts w:cs="Calibri" w:cstheme="minorHAnsi" w:ascii="Calibri" w:hAnsi="Calibri"/>
                <w:b/>
                <w:lang w:val="sk-SK"/>
              </w:rPr>
            </w:r>
          </w:p>
        </w:tc>
        <w:tc>
          <w:tcPr>
            <w:tcW w:w="1560" w:type="dxa"/>
            <w:tcBorders>
              <w:top w:val="single" w:sz="6" w:space="0" w:color="00000A"/>
              <w:left w:val="single" w:sz="6" w:space="0" w:color="00000A"/>
              <w:bottom w:val="single" w:sz="6" w:space="0" w:color="00000A"/>
              <w:right w:val="single" w:sz="4" w:space="0" w:color="00000A"/>
              <w:insideH w:val="single" w:sz="6" w:space="0" w:color="00000A"/>
              <w:insideV w:val="single" w:sz="4" w:space="0" w:color="00000A"/>
            </w:tcBorders>
            <w:shd w:fill="auto" w:val="clear"/>
            <w:tcMar>
              <w:left w:w="81"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absolútne</w:t>
            </w:r>
          </w:p>
        </w:tc>
        <w:tc>
          <w:tcPr>
            <w:tcW w:w="1594" w:type="dxa"/>
            <w:gridSpan w:val="2"/>
            <w:tcBorders>
              <w:top w:val="single" w:sz="6" w:space="0" w:color="00000A"/>
              <w:left w:val="single" w:sz="4" w:space="0" w:color="00000A"/>
              <w:bottom w:val="single" w:sz="6" w:space="0" w:color="00000A"/>
              <w:right w:val="single" w:sz="6" w:space="0" w:color="00000A"/>
              <w:insideH w:val="single" w:sz="6" w:space="0" w:color="00000A"/>
              <w:insideV w:val="single" w:sz="6" w:space="0" w:color="00000A"/>
            </w:tcBorders>
            <w:shd w:fill="auto" w:val="clear"/>
            <w:tcMar>
              <w:left w:w="93"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v %</w:t>
            </w:r>
          </w:p>
        </w:tc>
        <w:tc>
          <w:tcPr>
            <w:tcW w:w="1842" w:type="dxa"/>
            <w:gridSpan w:val="2"/>
            <w:tcBorders>
              <w:top w:val="single" w:sz="4"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tcPr>
          <w:p>
            <w:pPr>
              <w:pStyle w:val="Normal"/>
              <w:tabs>
                <w:tab w:val="center" w:pos="4536" w:leader="none"/>
                <w:tab w:val="right" w:pos="9072" w:leader="none"/>
              </w:tabs>
              <w:spacing w:before="0" w:after="0"/>
              <w:rPr>
                <w:rFonts w:ascii="Calibri" w:hAnsi="Calibri" w:cs="Calibri" w:asciiTheme="minorHAnsi" w:cstheme="minorHAnsi" w:hAnsiTheme="minorHAnsi"/>
                <w:b/>
                <w:b/>
                <w:lang w:val="sk-SK"/>
              </w:rPr>
            </w:pPr>
            <w:r>
              <w:rPr>
                <w:rFonts w:cs="Calibri" w:cstheme="minorHAnsi" w:ascii="Calibri" w:hAnsi="Calibri"/>
                <w:b/>
                <w:lang w:val="sk-SK"/>
              </w:rPr>
            </w:r>
          </w:p>
        </w:tc>
        <w:tc>
          <w:tcPr>
            <w:tcW w:w="1843" w:type="dxa"/>
            <w:vMerge w:val="continue"/>
            <w:tcBorders>
              <w:top w:val="single" w:sz="4" w:space="0" w:color="00000A"/>
              <w:left w:val="single" w:sz="6" w:space="0" w:color="00000A"/>
              <w:bottom w:val="single" w:sz="6" w:space="0" w:color="00000A"/>
              <w:right w:val="single" w:sz="8" w:space="0" w:color="00000A"/>
              <w:insideH w:val="single" w:sz="6" w:space="0" w:color="00000A"/>
              <w:insideV w:val="single" w:sz="8" w:space="0" w:color="00000A"/>
            </w:tcBorders>
            <w:shd w:fill="auto" w:val="clear"/>
            <w:tcMar>
              <w:left w:w="81" w:type="dxa"/>
            </w:tcMar>
          </w:tcPr>
          <w:p>
            <w:pPr>
              <w:pStyle w:val="Normal"/>
              <w:tabs>
                <w:tab w:val="center" w:pos="4536" w:leader="none"/>
                <w:tab w:val="right" w:pos="9072" w:leader="none"/>
              </w:tabs>
              <w:spacing w:before="0" w:after="0"/>
              <w:rPr>
                <w:rFonts w:ascii="Calibri" w:hAnsi="Calibri" w:cs="Calibri" w:asciiTheme="minorHAnsi" w:cstheme="minorHAnsi" w:hAnsiTheme="minorHAnsi"/>
                <w:b/>
                <w:b/>
                <w:lang w:val="sk-SK"/>
              </w:rPr>
            </w:pPr>
            <w:r>
              <w:rPr>
                <w:rFonts w:cs="Calibri" w:cstheme="minorHAnsi" w:ascii="Calibri" w:hAnsi="Calibri"/>
                <w:b/>
                <w:lang w:val="sk-SK"/>
              </w:rPr>
            </w:r>
          </w:p>
        </w:tc>
      </w:tr>
      <w:tr>
        <w:trPr>
          <w:trHeight w:val="425" w:hRule="exact"/>
        </w:trPr>
        <w:tc>
          <w:tcPr>
            <w:tcW w:w="2373" w:type="dxa"/>
            <w:tcBorders>
              <w:top w:val="single" w:sz="12"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7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Ivan Klimo</w:t>
            </w:r>
          </w:p>
        </w:tc>
        <w:tc>
          <w:tcPr>
            <w:tcW w:w="1560"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3 320</w:t>
            </w:r>
          </w:p>
        </w:tc>
        <w:tc>
          <w:tcPr>
            <w:tcW w:w="1594"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50</w:t>
            </w:r>
          </w:p>
        </w:tc>
        <w:tc>
          <w:tcPr>
            <w:tcW w:w="1842"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50</w:t>
            </w:r>
          </w:p>
        </w:tc>
        <w:tc>
          <w:tcPr>
            <w:tcW w:w="1843" w:type="dxa"/>
            <w:tcBorders>
              <w:top w:val="single" w:sz="12" w:space="0" w:color="00000A"/>
              <w:left w:val="single" w:sz="6" w:space="0" w:color="00000A"/>
              <w:bottom w:val="single" w:sz="6" w:space="0" w:color="00000A"/>
              <w:right w:val="single" w:sz="8" w:space="0" w:color="00000A"/>
              <w:insideH w:val="single" w:sz="6" w:space="0" w:color="00000A"/>
              <w:insideV w:val="single" w:sz="8" w:space="0" w:color="00000A"/>
            </w:tcBorders>
            <w:shd w:fill="auto" w:val="clear"/>
            <w:tcMar>
              <w:left w:w="81"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50</w:t>
            </w:r>
          </w:p>
        </w:tc>
      </w:tr>
      <w:tr>
        <w:trPr>
          <w:trHeight w:val="425" w:hRule="exact"/>
        </w:trPr>
        <w:tc>
          <w:tcPr>
            <w:tcW w:w="2373" w:type="dxa"/>
            <w:tcBorders>
              <w:top w:val="single" w:sz="6"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7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Juraj Ďuriš</w:t>
            </w:r>
          </w:p>
        </w:tc>
        <w:tc>
          <w:tcPr>
            <w:tcW w:w="15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3 320</w:t>
            </w:r>
          </w:p>
        </w:tc>
        <w:tc>
          <w:tcPr>
            <w:tcW w:w="1594"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50</w:t>
            </w:r>
          </w:p>
        </w:tc>
        <w:tc>
          <w:tcPr>
            <w:tcW w:w="184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50</w:t>
            </w:r>
          </w:p>
        </w:tc>
        <w:tc>
          <w:tcPr>
            <w:tcW w:w="1843" w:type="dxa"/>
            <w:tcBorders>
              <w:top w:val="single" w:sz="6" w:space="0" w:color="00000A"/>
              <w:left w:val="single" w:sz="6" w:space="0" w:color="00000A"/>
              <w:bottom w:val="single" w:sz="6" w:space="0" w:color="00000A"/>
              <w:right w:val="single" w:sz="8" w:space="0" w:color="00000A"/>
              <w:insideH w:val="single" w:sz="6" w:space="0" w:color="00000A"/>
              <w:insideV w:val="single" w:sz="8" w:space="0" w:color="00000A"/>
            </w:tcBorders>
            <w:shd w:fill="auto" w:val="clear"/>
            <w:tcMar>
              <w:left w:w="81"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50</w:t>
            </w:r>
          </w:p>
        </w:tc>
      </w:tr>
      <w:tr>
        <w:trPr>
          <w:trHeight w:val="425" w:hRule="exact"/>
        </w:trPr>
        <w:tc>
          <w:tcPr>
            <w:tcW w:w="2373" w:type="dxa"/>
            <w:tcBorders>
              <w:top w:val="single" w:sz="6" w:space="0" w:color="00000A"/>
              <w:left w:val="single" w:sz="8" w:space="0" w:color="00000A"/>
              <w:bottom w:val="single" w:sz="8" w:space="0" w:color="00000A"/>
              <w:right w:val="single" w:sz="6" w:space="0" w:color="00000A"/>
              <w:insideH w:val="single" w:sz="8" w:space="0" w:color="00000A"/>
              <w:insideV w:val="single" w:sz="6" w:space="0" w:color="00000A"/>
            </w:tcBorders>
            <w:shd w:fill="auto" w:val="clear"/>
            <w:tcMar>
              <w:left w:w="73" w:type="dxa"/>
            </w:tcMar>
            <w:vAlign w:val="center"/>
          </w:tcPr>
          <w:p>
            <w:pPr>
              <w:pStyle w:val="Normal"/>
              <w:tabs>
                <w:tab w:val="left" w:pos="1110" w:leader="none"/>
                <w:tab w:val="center" w:pos="4536" w:leader="none"/>
                <w:tab w:val="right" w:pos="9072" w:leader="none"/>
              </w:tabs>
              <w:spacing w:before="0" w:after="0"/>
              <w:jc w:val="left"/>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Spolu</w:t>
              <w:tab/>
            </w:r>
          </w:p>
        </w:tc>
        <w:tc>
          <w:tcPr>
            <w:tcW w:w="1560" w:type="dxa"/>
            <w:tcBorders>
              <w:top w:val="single" w:sz="6" w:space="0" w:color="00000A"/>
              <w:left w:val="single" w:sz="6" w:space="0" w:color="00000A"/>
              <w:bottom w:val="single" w:sz="8" w:space="0" w:color="00000A"/>
              <w:right w:val="single" w:sz="6" w:space="0" w:color="00000A"/>
              <w:insideH w:val="single" w:sz="8"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6 640</w:t>
            </w:r>
          </w:p>
        </w:tc>
        <w:tc>
          <w:tcPr>
            <w:tcW w:w="1594" w:type="dxa"/>
            <w:gridSpan w:val="2"/>
            <w:tcBorders>
              <w:top w:val="single" w:sz="6" w:space="0" w:color="00000A"/>
              <w:left w:val="single" w:sz="6" w:space="0" w:color="00000A"/>
              <w:bottom w:val="single" w:sz="8" w:space="0" w:color="00000A"/>
              <w:right w:val="single" w:sz="6" w:space="0" w:color="00000A"/>
              <w:insideH w:val="single" w:sz="8"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100</w:t>
            </w:r>
          </w:p>
        </w:tc>
        <w:tc>
          <w:tcPr>
            <w:tcW w:w="1842" w:type="dxa"/>
            <w:gridSpan w:val="2"/>
            <w:tcBorders>
              <w:top w:val="single" w:sz="6" w:space="0" w:color="00000A"/>
              <w:left w:val="single" w:sz="6" w:space="0" w:color="00000A"/>
              <w:bottom w:val="single" w:sz="8" w:space="0" w:color="00000A"/>
              <w:right w:val="single" w:sz="6" w:space="0" w:color="00000A"/>
              <w:insideH w:val="single" w:sz="8"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100</w:t>
            </w:r>
          </w:p>
        </w:tc>
        <w:tc>
          <w:tcPr>
            <w:tcW w:w="1843" w:type="dxa"/>
            <w:tcBorders>
              <w:top w:val="single" w:sz="6" w:space="0" w:color="00000A"/>
              <w:left w:val="single" w:sz="6" w:space="0" w:color="00000A"/>
              <w:bottom w:val="single" w:sz="8" w:space="0" w:color="00000A"/>
              <w:right w:val="single" w:sz="8" w:space="0" w:color="00000A"/>
              <w:insideH w:val="single" w:sz="8" w:space="0" w:color="00000A"/>
              <w:insideV w:val="single" w:sz="8" w:space="0" w:color="00000A"/>
            </w:tcBorders>
            <w:shd w:fill="auto" w:val="clear"/>
            <w:tcMar>
              <w:left w:w="81"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100</w:t>
            </w:r>
          </w:p>
        </w:tc>
      </w:tr>
    </w:tbl>
    <w:p>
      <w:pPr>
        <w:pStyle w:val="Normal"/>
        <w:keepNext/>
        <w:spacing w:before="0" w:after="0"/>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Normal"/>
        <w:keepNext/>
        <w:spacing w:before="0" w:after="0"/>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Normal"/>
        <w:keepNext/>
        <w:rPr>
          <w:rFonts w:ascii="Calibri" w:hAnsi="Calibri" w:cs="Calibri" w:asciiTheme="minorHAnsi" w:cstheme="minorHAnsi" w:hAnsiTheme="minorHAnsi"/>
          <w:i/>
          <w:i/>
          <w:sz w:val="22"/>
          <w:szCs w:val="22"/>
          <w:lang w:val="sk-SK"/>
        </w:rPr>
      </w:pPr>
      <w:r>
        <w:rPr>
          <w:rFonts w:cs="Calibri" w:ascii="Calibri" w:hAnsi="Calibri" w:asciiTheme="minorHAnsi" w:cstheme="minorHAnsi" w:hAnsiTheme="minorHAnsi"/>
          <w:i/>
          <w:sz w:val="22"/>
          <w:szCs w:val="22"/>
          <w:lang w:val="sk-SK"/>
        </w:rPr>
        <w:t>Spoločnosť nie je neobmedzene ručiacim spoločníkom v inej účtovnej jednotke.</w:t>
      </w:r>
    </w:p>
    <w:p>
      <w:pPr>
        <w:pStyle w:val="Normal"/>
        <w:keepNext/>
        <w:rPr/>
      </w:pPr>
      <w:r>
        <w:rPr>
          <w:rFonts w:cs="Calibri" w:ascii="Calibri" w:hAnsi="Calibri" w:asciiTheme="minorHAnsi" w:cstheme="minorHAnsi" w:hAnsiTheme="minorHAnsi"/>
          <w:b/>
          <w:sz w:val="22"/>
          <w:szCs w:val="22"/>
          <w:lang w:val="sk-SK"/>
        </w:rPr>
        <w:t>Členovia štatutárnych orgánov k 30.6.2017:</w:t>
      </w:r>
    </w:p>
    <w:p>
      <w:pPr>
        <w:pStyle w:val="Normal"/>
        <w:keepNext/>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tbl>
      <w:tblPr>
        <w:tblW w:w="4784" w:type="dxa"/>
        <w:jc w:val="left"/>
        <w:tblInd w:w="108" w:type="dxa"/>
        <w:tblBorders>
          <w:bottom w:val="single" w:sz="8" w:space="0" w:color="808080"/>
          <w:insideH w:val="single" w:sz="8" w:space="0" w:color="808080"/>
        </w:tblBorders>
        <w:tblCellMar>
          <w:top w:w="0" w:type="dxa"/>
          <w:left w:w="72" w:type="dxa"/>
          <w:bottom w:w="0" w:type="dxa"/>
          <w:right w:w="72" w:type="dxa"/>
        </w:tblCellMar>
        <w:tblLook w:val="00b7"/>
      </w:tblPr>
      <w:tblGrid>
        <w:gridCol w:w="1289"/>
        <w:gridCol w:w="3494"/>
      </w:tblGrid>
      <w:tr>
        <w:trPr>
          <w:trHeight w:val="177" w:hRule="atLeast"/>
        </w:trPr>
        <w:tc>
          <w:tcPr>
            <w:tcW w:w="4783" w:type="dxa"/>
            <w:gridSpan w:val="2"/>
            <w:tcBorders>
              <w:bottom w:val="single" w:sz="8" w:space="0" w:color="808080"/>
              <w:insideH w:val="single" w:sz="8" w:space="0" w:color="808080"/>
            </w:tcBorders>
            <w:shd w:fill="auto" w:val="clear"/>
            <w:vAlign w:val="center"/>
          </w:tcPr>
          <w:p>
            <w:pPr>
              <w:pStyle w:val="TableHeader"/>
              <w:keepNext/>
              <w:spacing w:before="60" w:after="60"/>
              <w:rPr>
                <w:rFonts w:ascii="Calibri" w:hAnsi="Calibri" w:cs="Calibri" w:asciiTheme="minorHAnsi" w:cstheme="minorHAnsi" w:hAnsiTheme="minorHAnsi"/>
                <w:b/>
                <w:b/>
                <w:sz w:val="22"/>
                <w:szCs w:val="22"/>
                <w:lang w:val="sk-SK"/>
              </w:rPr>
            </w:pPr>
            <w:r>
              <w:rPr>
                <w:rFonts w:cs="Calibri" w:ascii="Calibri" w:hAnsi="Calibri" w:asciiTheme="minorHAnsi" w:cstheme="minorHAnsi" w:hAnsiTheme="minorHAnsi"/>
                <w:b/>
                <w:i/>
                <w:sz w:val="22"/>
                <w:szCs w:val="22"/>
                <w:lang w:val="sk-SK"/>
              </w:rPr>
              <w:t>Konatelia</w:t>
            </w:r>
          </w:p>
        </w:tc>
      </w:tr>
      <w:tr>
        <w:trPr>
          <w:trHeight w:val="227" w:hRule="atLeast"/>
        </w:trPr>
        <w:tc>
          <w:tcPr>
            <w:tcW w:w="1289" w:type="dxa"/>
            <w:tcBorders>
              <w:top w:val="single" w:sz="8" w:space="0" w:color="808080"/>
              <w:bottom w:val="single" w:sz="8" w:space="0" w:color="808080"/>
              <w:insideH w:val="single" w:sz="8" w:space="0" w:color="808080"/>
            </w:tcBorders>
            <w:shd w:fill="auto" w:val="clear"/>
            <w:vAlign w:val="bottom"/>
          </w:tcPr>
          <w:p>
            <w:pPr>
              <w:pStyle w:val="TableFirstLine"/>
              <w:keepNext/>
              <w:spacing w:before="0" w:after="0"/>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Člen: I.Klimo</w:t>
            </w:r>
          </w:p>
        </w:tc>
        <w:tc>
          <w:tcPr>
            <w:tcW w:w="3494" w:type="dxa"/>
            <w:tcBorders>
              <w:top w:val="single" w:sz="8" w:space="0" w:color="808080"/>
              <w:bottom w:val="single" w:sz="8" w:space="0" w:color="808080"/>
              <w:insideH w:val="single" w:sz="8" w:space="0" w:color="808080"/>
            </w:tcBorders>
            <w:shd w:fill="auto" w:val="clear"/>
            <w:vAlign w:val="bottom"/>
          </w:tcPr>
          <w:p>
            <w:pPr>
              <w:pStyle w:val="TableFirstLine"/>
              <w:keepNext/>
              <w:spacing w:before="60" w:after="60"/>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tc>
      </w:tr>
      <w:tr>
        <w:trPr>
          <w:trHeight w:val="227" w:hRule="atLeast"/>
        </w:trPr>
        <w:tc>
          <w:tcPr>
            <w:tcW w:w="1289" w:type="dxa"/>
            <w:tcBorders>
              <w:top w:val="single" w:sz="8" w:space="0" w:color="808080"/>
              <w:bottom w:val="single" w:sz="8" w:space="0" w:color="808080"/>
              <w:insideH w:val="single" w:sz="8" w:space="0" w:color="808080"/>
            </w:tcBorders>
            <w:shd w:fill="auto" w:val="clear"/>
            <w:vAlign w:val="bottom"/>
          </w:tcPr>
          <w:p>
            <w:pPr>
              <w:pStyle w:val="TableFirstLine"/>
              <w:keepNext/>
              <w:spacing w:before="0" w:after="0"/>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Člen: J.Ďuriš</w:t>
            </w:r>
          </w:p>
        </w:tc>
        <w:tc>
          <w:tcPr>
            <w:tcW w:w="3494" w:type="dxa"/>
            <w:tcBorders>
              <w:top w:val="single" w:sz="8" w:space="0" w:color="808080"/>
              <w:bottom w:val="single" w:sz="8" w:space="0" w:color="808080"/>
              <w:insideH w:val="single" w:sz="8" w:space="0" w:color="808080"/>
            </w:tcBorders>
            <w:shd w:fill="auto" w:val="clear"/>
            <w:vAlign w:val="bottom"/>
          </w:tcPr>
          <w:p>
            <w:pPr>
              <w:pStyle w:val="TableFirstLine"/>
              <w:keepNext/>
              <w:spacing w:before="60" w:after="60"/>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tc>
      </w:tr>
    </w:tbl>
    <w:p>
      <w:pPr>
        <w:pStyle w:val="Normal"/>
        <w:keepNext/>
        <w:spacing w:before="0" w:after="0"/>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Heading1"/>
        <w:keepNext/>
        <w:numPr>
          <w:ilvl w:val="0"/>
          <w:numId w:val="1"/>
        </w:numPr>
        <w:shd w:val="clear" w:fill="FFFFFF"/>
        <w:rPr/>
      </w:pPr>
      <w:bookmarkStart w:id="2" w:name="_Toc474124190"/>
      <w:bookmarkStart w:id="3" w:name="_Toc474124302"/>
      <w:bookmarkEnd w:id="2"/>
      <w:bookmarkEnd w:id="3"/>
      <w:r>
        <w:rPr>
          <w:rFonts w:cs="Calibri" w:ascii="Calibri" w:hAnsi="Calibri" w:asciiTheme="minorHAnsi" w:cstheme="minorHAnsi" w:hAnsiTheme="minorHAnsi"/>
          <w:sz w:val="22"/>
          <w:szCs w:val="22"/>
          <w:lang w:val="sk-SK"/>
        </w:rPr>
        <w:t>ZákladnÉ východiskÁ prE ZostavenIE účTOVNEJ závIErky</w:t>
      </w:r>
    </w:p>
    <w:p>
      <w:pPr>
        <w:pStyle w:val="Normal"/>
        <w:keepNext/>
        <w:rPr/>
      </w:pPr>
      <w:r>
        <w:rPr>
          <w:rFonts w:cs="Calibri" w:ascii="Calibri" w:hAnsi="Calibri" w:asciiTheme="minorHAnsi" w:cstheme="minorHAnsi" w:hAnsiTheme="minorHAnsi"/>
          <w:i/>
          <w:sz w:val="22"/>
          <w:szCs w:val="22"/>
          <w:lang w:val="sk-SK"/>
        </w:rPr>
        <w:t xml:space="preserve">Táto účtovná závierka je zostavená ako </w:t>
      </w:r>
      <w:r>
        <w:rPr>
          <w:rFonts w:cs="Calibri" w:ascii="Calibri" w:hAnsi="Calibri" w:asciiTheme="minorHAnsi" w:cstheme="minorHAnsi" w:hAnsiTheme="minorHAnsi"/>
          <w:b/>
          <w:bCs/>
          <w:i/>
          <w:sz w:val="22"/>
          <w:szCs w:val="22"/>
          <w:lang w:val="sk-SK"/>
        </w:rPr>
        <w:t>mimoriadna účtovná závierka</w:t>
      </w:r>
      <w:r>
        <w:rPr>
          <w:rFonts w:cs="Calibri" w:ascii="Calibri" w:hAnsi="Calibri" w:asciiTheme="minorHAnsi" w:cstheme="minorHAnsi" w:hAnsiTheme="minorHAnsi"/>
          <w:i/>
          <w:sz w:val="22"/>
          <w:szCs w:val="22"/>
          <w:lang w:val="sk-SK"/>
        </w:rPr>
        <w:t xml:space="preserve"> k 30.6.2017 (deň pred vstupom do likvidácie.)</w:t>
      </w:r>
    </w:p>
    <w:p>
      <w:pPr>
        <w:pStyle w:val="Normal"/>
        <w:keepNext/>
        <w:rPr/>
      </w:pPr>
      <w:r>
        <w:rPr>
          <w:rFonts w:cs="Calibri" w:ascii="Calibri" w:hAnsi="Calibri" w:asciiTheme="minorHAnsi" w:cstheme="minorHAnsi" w:hAnsiTheme="minorHAnsi"/>
          <w:i/>
          <w:sz w:val="22"/>
          <w:szCs w:val="22"/>
          <w:lang w:val="sk-SK"/>
        </w:rPr>
        <w:t>Účtovná závierka spoločnosti za predchádzajúce účtovné obdobie k 31. decembru 2016 bola schválená valným zhromaždením spoločnosti dňa 31/05/2017.</w:t>
      </w:r>
    </w:p>
    <w:p>
      <w:pPr>
        <w:pStyle w:val="Heading1"/>
        <w:keepNext/>
        <w:numPr>
          <w:ilvl w:val="0"/>
          <w:numId w:val="1"/>
        </w:numPr>
        <w:shd w:val="clear" w:fill="FFFFFF"/>
        <w:rPr/>
      </w:pPr>
      <w:r>
        <w:rPr>
          <w:rFonts w:cs="Calibri" w:ascii="Calibri" w:hAnsi="Calibri" w:asciiTheme="minorHAnsi" w:cstheme="minorHAnsi" w:hAnsiTheme="minorHAnsi"/>
          <w:sz w:val="22"/>
          <w:szCs w:val="22"/>
          <w:lang w:val="sk-SK"/>
        </w:rPr>
        <w:t>VŠEOBECNÉ účTOVNÉ zásady A METÓDY</w:t>
      </w:r>
    </w:p>
    <w:p>
      <w:pPr>
        <w:pStyle w:val="Normal"/>
        <w:keepNext/>
        <w:rPr/>
      </w:pPr>
      <w:r>
        <w:rPr>
          <w:rFonts w:cs="Calibri" w:ascii="Calibri" w:hAnsi="Calibri" w:asciiTheme="minorHAnsi" w:cstheme="minorHAnsi" w:hAnsiTheme="minorHAnsi"/>
          <w:sz w:val="22"/>
          <w:szCs w:val="22"/>
          <w:lang w:val="sk-SK"/>
        </w:rPr>
        <w:t xml:space="preserve">Účtovné zásady a metódy, ktoré spoločnosť používala pri zostavení mimoriadnej účtovnej závierky  sú nasledovné: </w:t>
      </w:r>
    </w:p>
    <w:p>
      <w:pPr>
        <w:pStyle w:val="Normal"/>
        <w:rPr/>
      </w:pPr>
      <w:r>
        <w:rPr>
          <w:rFonts w:cs="Calibri" w:ascii="Calibri" w:hAnsi="Calibri" w:asciiTheme="minorHAnsi" w:cstheme="minorHAnsi" w:hAnsiTheme="minorHAnsi"/>
          <w:b/>
          <w:bCs/>
          <w:sz w:val="22"/>
          <w:szCs w:val="22"/>
          <w:lang w:val="sk-SK"/>
        </w:rPr>
        <w:t>Finančný majetok</w:t>
      </w:r>
    </w:p>
    <w:p>
      <w:pPr>
        <w:pStyle w:val="Normal"/>
        <w:rPr/>
      </w:pPr>
      <w:r>
        <w:rPr>
          <w:rFonts w:cs="Calibri" w:ascii="Calibri" w:hAnsi="Calibri" w:asciiTheme="minorHAnsi" w:cstheme="minorHAnsi" w:hAnsiTheme="minorHAnsi"/>
          <w:sz w:val="22"/>
          <w:szCs w:val="22"/>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pPr>
        <w:pStyle w:val="Normal"/>
        <w:rPr/>
      </w:pPr>
      <w:r>
        <w:rPr>
          <w:rFonts w:cs="Calibri" w:ascii="Calibri" w:hAnsi="Calibri" w:asciiTheme="minorHAnsi" w:cstheme="minorHAnsi" w:hAnsiTheme="minorHAnsi"/>
          <w:sz w:val="22"/>
          <w:szCs w:val="22"/>
          <w:lang w:val="sk-SK"/>
        </w:rPr>
        <w:t>Reálna hodnota predstavuje trhovú hodnotu, ktorá je vyhlásená na tuzemskej či zahraničnej burze, prípadne ocenenie kvalifikovaným odhadom alebo posudkom znalca v prípade, že trhová hodnota nie je k dispozícii.</w:t>
      </w:r>
    </w:p>
    <w:p>
      <w:pPr>
        <w:pStyle w:val="Normal"/>
        <w:rPr/>
      </w:pPr>
      <w:r>
        <w:rPr>
          <w:rFonts w:cs="Calibri" w:ascii="Calibri" w:hAnsi="Calibri" w:asciiTheme="minorHAnsi" w:cstheme="minorHAnsi" w:hAnsiTheme="minorHAnsi"/>
          <w:sz w:val="22"/>
          <w:szCs w:val="22"/>
          <w:lang w:val="sk-SK"/>
        </w:rPr>
        <w:t xml:space="preserve">Pokiaľ dochádza k poklesu hodnoty finančného majetku, ktorý sa ku dňu zostavenia účtovnej závierky nepreceňuje na reálnu hodnotu, rozdiel sa považuje za dočasné zníženie hodnoty a účtuje sa ako opravná položka. </w:t>
      </w:r>
    </w:p>
    <w:p>
      <w:pPr>
        <w:pStyle w:val="Normal"/>
        <w:rPr>
          <w:b/>
          <w:b/>
          <w:bCs/>
        </w:rPr>
      </w:pPr>
      <w:r>
        <w:rPr>
          <w:rFonts w:cs="Calibri" w:ascii="Calibri" w:hAnsi="Calibri" w:asciiTheme="minorHAnsi" w:cstheme="minorHAnsi" w:hAnsiTheme="minorHAnsi"/>
          <w:b/>
          <w:bCs/>
          <w:sz w:val="22"/>
          <w:szCs w:val="22"/>
          <w:lang w:val="sk-SK"/>
        </w:rPr>
        <w:t xml:space="preserve">Záväzky </w:t>
      </w:r>
    </w:p>
    <w:p>
      <w:pPr>
        <w:pStyle w:val="Normal"/>
        <w:rPr/>
      </w:pPr>
      <w:r>
        <w:rPr>
          <w:rFonts w:cs="Calibri" w:ascii="Calibri" w:hAnsi="Calibri" w:asciiTheme="minorHAnsi" w:cstheme="minorHAnsi" w:hAnsiTheme="minorHAnsi"/>
          <w:b w:val="false"/>
          <w:sz w:val="22"/>
          <w:szCs w:val="22"/>
          <w:lang w:val="sk-SK"/>
        </w:rPr>
        <w:t xml:space="preserve">Dlhodobé i krátkodobé záväzky sa vykazujú v menovitých hodnotách. V položke iné záväzky sa vykazujú taktiež  hodnoty zistené pri ocenení finančných derivátov reálnou hodnotou. </w:t>
      </w:r>
    </w:p>
    <w:p>
      <w:pPr>
        <w:pStyle w:val="Normal"/>
        <w:rPr/>
      </w:pPr>
      <w:r>
        <w:rPr>
          <w:rFonts w:cs="Calibri" w:ascii="Calibri" w:hAnsi="Calibri" w:asciiTheme="minorHAnsi" w:cstheme="minorHAnsi" w:hAnsiTheme="minorHAnsi"/>
          <w:b/>
          <w:bCs/>
          <w:sz w:val="22"/>
          <w:szCs w:val="22"/>
          <w:lang w:val="sk-SK"/>
        </w:rPr>
        <w:t>Vlastné imanie</w:t>
      </w:r>
      <w:r>
        <w:rPr>
          <w:rFonts w:cs="Calibri" w:ascii="Calibri" w:hAnsi="Calibri" w:asciiTheme="minorHAnsi" w:cstheme="minorHAnsi" w:hAnsiTheme="minorHAnsi"/>
          <w:sz w:val="22"/>
          <w:szCs w:val="22"/>
          <w:lang w:val="sk-SK"/>
        </w:rPr>
        <w:t>Vlastné imanie sa skladá zo základného imania</w:t>
      </w:r>
      <w:r>
        <w:rPr>
          <w:rFonts w:cs="Calibri" w:ascii="Calibri" w:hAnsi="Calibri" w:asciiTheme="minorHAnsi" w:cstheme="minorHAnsi" w:hAnsiTheme="minorHAnsi"/>
          <w:i/>
          <w:sz w:val="22"/>
          <w:szCs w:val="22"/>
          <w:lang w:val="sk-SK"/>
        </w:rPr>
        <w:t xml:space="preserve">, emisného ážia , kapitálových fondov, oceňovacích rozdielov, zákonného rezervného fondu a výsledku hospodárenia v schvaľovacom konaní. </w:t>
      </w:r>
    </w:p>
    <w:p>
      <w:pPr>
        <w:pStyle w:val="Normal"/>
        <w:rPr/>
      </w:pPr>
      <w:r>
        <w:rPr>
          <w:rFonts w:cs="Calibri" w:ascii="Calibri" w:hAnsi="Calibri" w:asciiTheme="minorHAnsi" w:cstheme="minorHAnsi" w:hAnsiTheme="minorHAnsi"/>
          <w:sz w:val="22"/>
          <w:szCs w:val="22"/>
          <w:lang w:val="sk-SK"/>
        </w:rPr>
        <w:t xml:space="preserve">Základné imanie spoločnosti sa vykazuje vo výške zapísanej v obchodnom registri </w:t>
      </w:r>
      <w:r>
        <w:rPr>
          <w:rFonts w:cs="Calibri" w:ascii="Calibri" w:hAnsi="Calibri" w:asciiTheme="minorHAnsi" w:cstheme="minorHAnsi" w:hAnsiTheme="minorHAnsi"/>
          <w:i/>
          <w:iCs/>
          <w:sz w:val="22"/>
          <w:szCs w:val="22"/>
          <w:lang w:val="sk-SK"/>
        </w:rPr>
        <w:t>okresného</w:t>
      </w:r>
      <w:r>
        <w:rPr>
          <w:rFonts w:cs="Calibri" w:ascii="Calibri" w:hAnsi="Calibri" w:asciiTheme="minorHAnsi" w:cstheme="minorHAnsi" w:hAnsiTheme="minorHAnsi"/>
          <w:sz w:val="22"/>
          <w:szCs w:val="22"/>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pPr>
        <w:pStyle w:val="Normal"/>
        <w:rPr>
          <w:b/>
          <w:b/>
          <w:bCs/>
        </w:rPr>
      </w:pPr>
      <w:bookmarkStart w:id="4" w:name="_Toc474124202"/>
      <w:bookmarkStart w:id="5" w:name="_Toc474124314"/>
      <w:r>
        <w:rPr>
          <w:rFonts w:cs="Calibri" w:ascii="Calibri" w:hAnsi="Calibri" w:asciiTheme="minorHAnsi" w:cstheme="minorHAnsi" w:hAnsiTheme="minorHAnsi"/>
          <w:b/>
          <w:bCs/>
          <w:sz w:val="22"/>
          <w:szCs w:val="22"/>
          <w:lang w:val="sk-SK"/>
        </w:rPr>
        <w:t>Daň z príjm</w:t>
      </w:r>
      <w:bookmarkEnd w:id="4"/>
      <w:bookmarkEnd w:id="5"/>
      <w:r>
        <w:rPr>
          <w:rFonts w:cs="Calibri" w:ascii="Calibri" w:hAnsi="Calibri" w:asciiTheme="minorHAnsi" w:cstheme="minorHAnsi" w:hAnsiTheme="minorHAnsi"/>
          <w:b/>
          <w:bCs/>
          <w:sz w:val="22"/>
          <w:szCs w:val="22"/>
          <w:lang w:val="sk-SK"/>
        </w:rPr>
        <w:t>u</w:t>
      </w:r>
    </w:p>
    <w:p>
      <w:pPr>
        <w:pStyle w:val="Normal"/>
        <w:rPr/>
      </w:pPr>
      <w:r>
        <w:rPr>
          <w:rFonts w:eastAsia="Times New Roman" w:cs="Calibri" w:ascii="Calibri" w:hAnsi="Calibri" w:asciiTheme="minorHAnsi" w:cstheme="minorHAnsi" w:hAnsiTheme="minorHAnsi"/>
          <w:b w:val="false"/>
          <w:i w:val="false"/>
          <w:caps w:val="false"/>
          <w:smallCaps w:val="false"/>
          <w:color w:val="00000A"/>
          <w:spacing w:val="0"/>
          <w:sz w:val="22"/>
          <w:szCs w:val="22"/>
          <w:lang w:val="sk-SK" w:eastAsia="en-US" w:bidi="ar-SA"/>
        </w:rPr>
        <w:t xml:space="preserve">Ak daňovník k poslednému dňu zdaňovacieho obdobia je platiteľom DPH a dosiahne ročný obrat neprevyšujúci 500 000 € platí daňovú licenciu vo výške </w:t>
      </w:r>
      <w:r>
        <w:rPr>
          <w:rStyle w:val="StrongEmphasis"/>
          <w:rFonts w:eastAsia="Times New Roman" w:cs="Calibri" w:ascii="Calibri" w:hAnsi="Calibri" w:asciiTheme="minorHAnsi" w:cstheme="minorHAnsi" w:hAnsiTheme="minorHAnsi"/>
          <w:i w:val="false"/>
          <w:caps w:val="false"/>
          <w:smallCaps w:val="false"/>
          <w:color w:val="00000A"/>
          <w:spacing w:val="0"/>
          <w:sz w:val="22"/>
          <w:szCs w:val="22"/>
          <w:lang w:val="sk-SK" w:eastAsia="en-US" w:bidi="ar-SA"/>
        </w:rPr>
        <w:t>960 €.</w:t>
      </w:r>
      <w:r>
        <w:rPr>
          <w:rFonts w:eastAsia="Times New Roman" w:cs="Calibri" w:ascii="Calibri" w:hAnsi="Calibri" w:asciiTheme="minorHAnsi" w:cstheme="minorHAnsi" w:hAnsiTheme="minorHAnsi"/>
          <w:color w:val="00000A"/>
          <w:sz w:val="22"/>
          <w:szCs w:val="22"/>
          <w:lang w:val="sk-SK" w:eastAsia="en-US" w:bidi="ar-SA"/>
        </w:rPr>
        <w:t xml:space="preserve"> </w:t>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Heading1"/>
        <w:numPr>
          <w:ilvl w:val="0"/>
          <w:numId w:val="1"/>
        </w:numPr>
        <w:shd w:val="clear" w:fill="FFFFFF"/>
        <w:rPr/>
      </w:pPr>
      <w:r>
        <w:rPr>
          <w:rFonts w:ascii="Calibri" w:hAnsi="Calibri" w:asciiTheme="minorHAnsi" w:hAnsiTheme="minorHAnsi"/>
          <w:sz w:val="22"/>
          <w:szCs w:val="22"/>
          <w:lang w:val="sk-SK"/>
        </w:rPr>
        <w:t>Finančné účty</w:t>
      </w:r>
    </w:p>
    <w:tbl>
      <w:tblPr>
        <w:tblW w:w="9214" w:type="dxa"/>
        <w:jc w:val="left"/>
        <w:tblInd w:w="-29" w:type="dxa"/>
        <w:tblBorders>
          <w:top w:val="single" w:sz="4" w:space="0" w:color="00000A"/>
          <w:left w:val="single" w:sz="8" w:space="0" w:color="00000A"/>
          <w:bottom w:val="single" w:sz="6" w:space="0" w:color="00000A"/>
          <w:right w:val="single" w:sz="6" w:space="0" w:color="00000A"/>
          <w:insideH w:val="single" w:sz="6" w:space="0" w:color="00000A"/>
          <w:insideV w:val="single" w:sz="6" w:space="0" w:color="00000A"/>
        </w:tblBorders>
        <w:tblCellMar>
          <w:top w:w="0" w:type="dxa"/>
          <w:left w:w="73" w:type="dxa"/>
          <w:bottom w:w="0" w:type="dxa"/>
          <w:right w:w="108" w:type="dxa"/>
        </w:tblCellMar>
        <w:tblLook w:val="04a0"/>
      </w:tblPr>
      <w:tblGrid>
        <w:gridCol w:w="3526"/>
        <w:gridCol w:w="2830"/>
        <w:gridCol w:w="2858"/>
      </w:tblGrid>
      <w:tr>
        <w:trPr>
          <w:trHeight w:val="609" w:hRule="exact"/>
        </w:trPr>
        <w:tc>
          <w:tcPr>
            <w:tcW w:w="3526" w:type="dxa"/>
            <w:tcBorders>
              <w:top w:val="single" w:sz="4"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73"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Názov položky</w:t>
            </w:r>
          </w:p>
        </w:tc>
        <w:tc>
          <w:tcPr>
            <w:tcW w:w="2830" w:type="dxa"/>
            <w:tcBorders>
              <w:top w:val="single" w:sz="6" w:space="0" w:color="00000A"/>
              <w:left w:val="single" w:sz="6" w:space="0" w:color="00000A"/>
              <w:bottom w:val="single" w:sz="6" w:space="0" w:color="00000A"/>
              <w:right w:val="single" w:sz="4" w:space="0" w:color="00000A"/>
              <w:insideH w:val="single" w:sz="6" w:space="0" w:color="00000A"/>
              <w:insideV w:val="single" w:sz="4" w:space="0" w:color="00000A"/>
            </w:tcBorders>
            <w:shd w:fill="auto" w:val="clear"/>
            <w:tcMar>
              <w:left w:w="81"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Bežné účtovné obdobie</w:t>
            </w:r>
          </w:p>
        </w:tc>
        <w:tc>
          <w:tcPr>
            <w:tcW w:w="2858" w:type="dxa"/>
            <w:tcBorders>
              <w:top w:val="single" w:sz="6" w:space="0" w:color="00000A"/>
              <w:left w:val="single" w:sz="4" w:space="0" w:color="00000A"/>
              <w:bottom w:val="single" w:sz="6" w:space="0" w:color="00000A"/>
              <w:right w:val="single" w:sz="6" w:space="0" w:color="00000A"/>
              <w:insideH w:val="single" w:sz="6" w:space="0" w:color="00000A"/>
              <w:insideV w:val="single" w:sz="6" w:space="0" w:color="00000A"/>
            </w:tcBorders>
            <w:shd w:fill="auto" w:val="clear"/>
            <w:tcMar>
              <w:left w:w="93"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Bezprostredne predchádzajúce účtovné obdobie</w:t>
            </w:r>
          </w:p>
        </w:tc>
      </w:tr>
      <w:tr>
        <w:trPr>
          <w:trHeight w:val="425" w:hRule="exact"/>
        </w:trPr>
        <w:tc>
          <w:tcPr>
            <w:tcW w:w="3526" w:type="dxa"/>
            <w:tcBorders>
              <w:top w:val="single" w:sz="12"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7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Pokladnica</w:t>
            </w:r>
          </w:p>
        </w:tc>
        <w:tc>
          <w:tcPr>
            <w:tcW w:w="2830"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436" w:hanging="0"/>
              <w:jc w:val="right"/>
              <w:rPr/>
            </w:pPr>
            <w:r>
              <w:rPr>
                <w:rFonts w:cs="Calibri" w:ascii="Calibri" w:hAnsi="Calibri" w:asciiTheme="minorHAnsi" w:cstheme="minorHAnsi" w:hAnsiTheme="minorHAnsi"/>
                <w:lang w:val="sk-SK"/>
              </w:rPr>
              <w:t>2 540</w:t>
            </w:r>
          </w:p>
        </w:tc>
        <w:tc>
          <w:tcPr>
            <w:tcW w:w="2858"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436" w:hanging="0"/>
              <w:jc w:val="right"/>
              <w:rPr/>
            </w:pPr>
            <w:r>
              <w:rPr>
                <w:rFonts w:cs="Calibri" w:ascii="Calibri" w:hAnsi="Calibri" w:asciiTheme="minorHAnsi" w:cstheme="minorHAnsi" w:hAnsiTheme="minorHAnsi"/>
                <w:lang w:val="sk-SK"/>
              </w:rPr>
              <w:t>4 460</w:t>
            </w:r>
          </w:p>
        </w:tc>
      </w:tr>
      <w:tr>
        <w:trPr>
          <w:trHeight w:val="425" w:hRule="exact"/>
        </w:trPr>
        <w:tc>
          <w:tcPr>
            <w:tcW w:w="3526" w:type="dxa"/>
            <w:tcBorders>
              <w:top w:val="single" w:sz="6"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7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Bežné bankové účty</w:t>
            </w:r>
          </w:p>
        </w:tc>
        <w:tc>
          <w:tcPr>
            <w:tcW w:w="283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43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0</w:t>
            </w:r>
          </w:p>
        </w:tc>
        <w:tc>
          <w:tcPr>
            <w:tcW w:w="285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43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0</w:t>
            </w:r>
          </w:p>
        </w:tc>
      </w:tr>
      <w:tr>
        <w:trPr>
          <w:trHeight w:val="425" w:hRule="exact"/>
        </w:trPr>
        <w:tc>
          <w:tcPr>
            <w:tcW w:w="3526" w:type="dxa"/>
            <w:tcBorders>
              <w:top w:val="single" w:sz="6"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7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Spolu</w:t>
            </w:r>
          </w:p>
        </w:tc>
        <w:tc>
          <w:tcPr>
            <w:tcW w:w="283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436" w:hanging="0"/>
              <w:jc w:val="right"/>
              <w:rPr/>
            </w:pPr>
            <w:r>
              <w:rPr>
                <w:rFonts w:cs="Calibri" w:ascii="Calibri" w:hAnsi="Calibri" w:asciiTheme="minorHAnsi" w:cstheme="minorHAnsi" w:hAnsiTheme="minorHAnsi"/>
                <w:lang w:val="sk-SK"/>
              </w:rPr>
              <w:t>2 540</w:t>
            </w:r>
          </w:p>
        </w:tc>
        <w:tc>
          <w:tcPr>
            <w:tcW w:w="285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4536" w:leader="none"/>
                <w:tab w:val="right" w:pos="9072" w:leader="none"/>
              </w:tabs>
              <w:spacing w:before="0" w:after="0"/>
              <w:ind w:right="436" w:hanging="0"/>
              <w:jc w:val="right"/>
              <w:rPr/>
            </w:pPr>
            <w:r>
              <w:rPr>
                <w:rFonts w:cs="Calibri" w:ascii="Calibri" w:hAnsi="Calibri" w:asciiTheme="minorHAnsi" w:cstheme="minorHAnsi" w:hAnsiTheme="minorHAnsi"/>
                <w:lang w:val="sk-SK"/>
              </w:rPr>
              <w:t>4 460</w:t>
            </w:r>
          </w:p>
        </w:tc>
      </w:tr>
    </w:tbl>
    <w:p>
      <w:pPr>
        <w:pStyle w:val="Normal"/>
        <w:keepNext/>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tbl>
      <w:tblPr>
        <w:tblW w:w="9214" w:type="dxa"/>
        <w:jc w:val="left"/>
        <w:tblInd w:w="-29" w:type="dxa"/>
        <w:tblBorders>
          <w:top w:val="single" w:sz="4" w:space="0" w:color="00000A"/>
          <w:left w:val="single" w:sz="8" w:space="0" w:color="00000A"/>
          <w:bottom w:val="single" w:sz="6" w:space="0" w:color="00000A"/>
          <w:right w:val="single" w:sz="6" w:space="0" w:color="00000A"/>
          <w:insideH w:val="single" w:sz="6" w:space="0" w:color="00000A"/>
          <w:insideV w:val="single" w:sz="6" w:space="0" w:color="00000A"/>
        </w:tblBorders>
        <w:tblCellMar>
          <w:top w:w="0" w:type="dxa"/>
          <w:left w:w="73" w:type="dxa"/>
          <w:bottom w:w="0" w:type="dxa"/>
          <w:right w:w="108" w:type="dxa"/>
        </w:tblCellMar>
        <w:tblLook w:val="04a0"/>
      </w:tblPr>
      <w:tblGrid>
        <w:gridCol w:w="4612"/>
        <w:gridCol w:w="4601"/>
      </w:tblGrid>
      <w:tr>
        <w:trPr>
          <w:trHeight w:val="425" w:hRule="exact"/>
        </w:trPr>
        <w:tc>
          <w:tcPr>
            <w:tcW w:w="4612" w:type="dxa"/>
            <w:tcBorders>
              <w:top w:val="single" w:sz="4"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73"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Názov položky</w:t>
            </w:r>
          </w:p>
        </w:tc>
        <w:tc>
          <w:tcPr>
            <w:tcW w:w="4601" w:type="dxa"/>
            <w:tcBorders>
              <w:top w:val="single" w:sz="6" w:space="0" w:color="00000A"/>
              <w:left w:val="single" w:sz="6" w:space="0" w:color="00000A"/>
              <w:bottom w:val="single" w:sz="6" w:space="0" w:color="00000A"/>
              <w:right w:val="single" w:sz="4" w:space="0" w:color="00000A"/>
              <w:insideH w:val="single" w:sz="6" w:space="0" w:color="00000A"/>
              <w:insideV w:val="single" w:sz="4" w:space="0" w:color="00000A"/>
            </w:tcBorders>
            <w:shd w:fill="auto" w:val="clear"/>
            <w:tcMar>
              <w:left w:w="81"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Hodnota za bežné účtovné obdobie</w:t>
            </w:r>
          </w:p>
        </w:tc>
      </w:tr>
      <w:tr>
        <w:trPr>
          <w:trHeight w:val="601" w:hRule="exact"/>
        </w:trPr>
        <w:tc>
          <w:tcPr>
            <w:tcW w:w="4612" w:type="dxa"/>
            <w:tcBorders>
              <w:top w:val="single" w:sz="12"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7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Krátkodobý finančný majetok, na ktorý bolo zriadené záložné právo</w:t>
            </w:r>
          </w:p>
        </w:tc>
        <w:tc>
          <w:tcPr>
            <w:tcW w:w="460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3687" w:leader="none"/>
                <w:tab w:val="right" w:pos="9072" w:leader="none"/>
              </w:tabs>
              <w:spacing w:before="0" w:after="0"/>
              <w:ind w:right="91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0</w:t>
            </w:r>
          </w:p>
        </w:tc>
      </w:tr>
      <w:tr>
        <w:trPr>
          <w:trHeight w:val="553" w:hRule="exact"/>
        </w:trPr>
        <w:tc>
          <w:tcPr>
            <w:tcW w:w="4612" w:type="dxa"/>
            <w:tcBorders>
              <w:top w:val="single" w:sz="6"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7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Krátkodobý finančný majetok, pri ktorom je obmedzené právo s ním nakladať</w:t>
            </w:r>
          </w:p>
        </w:tc>
        <w:tc>
          <w:tcPr>
            <w:tcW w:w="460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81" w:type="dxa"/>
            </w:tcMar>
            <w:vAlign w:val="center"/>
          </w:tcPr>
          <w:p>
            <w:pPr>
              <w:pStyle w:val="Normal"/>
              <w:tabs>
                <w:tab w:val="center" w:pos="3687" w:leader="none"/>
                <w:tab w:val="right" w:pos="9072" w:leader="none"/>
              </w:tabs>
              <w:spacing w:before="0" w:after="0"/>
              <w:ind w:right="91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0</w:t>
            </w:r>
          </w:p>
        </w:tc>
      </w:tr>
    </w:tbl>
    <w:p>
      <w:pPr>
        <w:pStyle w:val="Normal"/>
        <w:keepNext/>
        <w:rPr>
          <w:rFonts w:ascii="Calibri" w:hAnsi="Calibri" w:cs="Calibri" w:asciiTheme="minorHAnsi" w:cstheme="minorHAnsi" w:hAnsiTheme="minorHAnsi"/>
          <w:sz w:val="22"/>
          <w:szCs w:val="22"/>
          <w:shd w:fill="FFFF00" w:val="clear"/>
          <w:lang w:val="sk-SK"/>
        </w:rPr>
      </w:pPr>
      <w:r>
        <w:rPr>
          <w:rFonts w:cs="Calibri" w:cstheme="minorHAnsi" w:ascii="Calibri" w:hAnsi="Calibri"/>
          <w:sz w:val="22"/>
          <w:szCs w:val="22"/>
          <w:shd w:fill="FFFF00" w:val="clear"/>
          <w:lang w:val="sk-SK"/>
        </w:rPr>
      </w:r>
    </w:p>
    <w:p>
      <w:pPr>
        <w:pStyle w:val="Heading1"/>
        <w:keepNext/>
        <w:numPr>
          <w:ilvl w:val="0"/>
          <w:numId w:val="1"/>
        </w:numPr>
        <w:shd w:val="clear" w:fill="FFFFFF"/>
        <w:spacing w:before="240" w:after="120"/>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ČASOVÉ ROZLÍŠENIE</w:t>
      </w:r>
    </w:p>
    <w:p>
      <w:pPr>
        <w:pStyle w:val="Normal"/>
        <w:keepNext/>
        <w:spacing w:before="0" w:after="0"/>
        <w:rPr/>
      </w:pPr>
      <w:r>
        <w:rPr>
          <w:rFonts w:cs="Calibri" w:ascii="Calibri" w:hAnsi="Calibri" w:asciiTheme="minorHAnsi" w:cstheme="minorHAnsi" w:hAnsiTheme="minorHAnsi"/>
          <w:sz w:val="22"/>
          <w:szCs w:val="22"/>
          <w:lang w:val="sk-SK"/>
        </w:rPr>
        <w:t>Žiadne.</w:t>
      </w:r>
    </w:p>
    <w:p>
      <w:pPr>
        <w:pStyle w:val="Heading1"/>
        <w:keepNext/>
        <w:numPr>
          <w:ilvl w:val="0"/>
          <w:numId w:val="1"/>
        </w:numPr>
        <w:shd w:val="clear" w:fill="FFFFFF"/>
        <w:rPr/>
      </w:pPr>
      <w:r>
        <w:rPr>
          <w:rFonts w:cs="Calibri" w:ascii="Calibri" w:hAnsi="Calibri" w:asciiTheme="minorHAnsi" w:cstheme="minorHAnsi" w:hAnsiTheme="minorHAnsi"/>
          <w:sz w:val="22"/>
          <w:szCs w:val="22"/>
          <w:lang w:val="sk-SK"/>
        </w:rPr>
        <w:t>VlasTNÉ IMANIE</w:t>
      </w:r>
    </w:p>
    <w:p>
      <w:pPr>
        <w:pStyle w:val="Normal"/>
        <w:spacing w:before="0" w:after="120"/>
        <w:rPr/>
      </w:pPr>
      <w:r>
        <w:rPr>
          <w:rFonts w:cs="Tahoma" w:ascii="Calibri" w:hAnsi="Calibri"/>
          <w:sz w:val="22"/>
          <w:szCs w:val="22"/>
        </w:rPr>
        <w:t>Dňa 31.5.201</w:t>
      </w:r>
      <w:r>
        <w:rPr>
          <w:rFonts w:cs="Tahoma" w:ascii="Calibri" w:hAnsi="Calibri"/>
          <w:sz w:val="22"/>
          <w:szCs w:val="22"/>
          <w:lang w:val="sk-SK"/>
        </w:rPr>
        <w:t>7</w:t>
      </w:r>
      <w:r>
        <w:rPr>
          <w:rFonts w:cs="Tahoma" w:ascii="Calibri" w:hAnsi="Calibri"/>
          <w:sz w:val="22"/>
          <w:szCs w:val="22"/>
        </w:rPr>
        <w:t xml:space="preserve"> valné zhromaždenie schválilo účtovnú závierku za rok 201</w:t>
      </w:r>
      <w:r>
        <w:rPr>
          <w:rFonts w:cs="Tahoma" w:ascii="Calibri" w:hAnsi="Calibri"/>
          <w:sz w:val="22"/>
          <w:szCs w:val="22"/>
          <w:lang w:val="sk-SK"/>
        </w:rPr>
        <w:t>6</w:t>
      </w:r>
      <w:r>
        <w:rPr>
          <w:rFonts w:cs="Tahoma" w:ascii="Calibri" w:hAnsi="Calibri"/>
          <w:sz w:val="22"/>
          <w:szCs w:val="22"/>
        </w:rPr>
        <w:t xml:space="preserve"> a účtovná strata vo výške </w:t>
      </w:r>
    </w:p>
    <w:p>
      <w:pPr>
        <w:pStyle w:val="Normal"/>
        <w:spacing w:before="0" w:after="120"/>
        <w:rPr/>
      </w:pPr>
      <w:r>
        <w:rPr>
          <w:rFonts w:cs="Tahoma" w:ascii="Calibri" w:hAnsi="Calibri"/>
          <w:sz w:val="22"/>
          <w:szCs w:val="22"/>
        </w:rPr>
        <w:t xml:space="preserve">960 EUR bola zaúčtovaná na neuhradenú stratu minulých období. </w:t>
      </w:r>
    </w:p>
    <w:p>
      <w:pPr>
        <w:pStyle w:val="Normal"/>
        <w:spacing w:before="0" w:after="0"/>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Normal"/>
        <w:spacing w:before="0" w:after="0"/>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Normal"/>
        <w:spacing w:before="0" w:after="0"/>
        <w:rPr/>
      </w:pPr>
      <w:r>
        <w:rPr/>
      </w:r>
    </w:p>
    <w:tbl>
      <w:tblPr>
        <w:tblpPr w:bottomFromText="0" w:horzAnchor="margin" w:leftFromText="141" w:rightFromText="141" w:tblpX="0" w:tblpXSpec="" w:tblpY="1224" w:tblpYSpec="" w:topFromText="0" w:vertAnchor="text"/>
        <w:tblW w:w="9026" w:type="dxa"/>
        <w:jc w:val="left"/>
        <w:tblInd w:w="6"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top w:w="0" w:type="dxa"/>
          <w:left w:w="-1" w:type="dxa"/>
          <w:bottom w:w="0" w:type="dxa"/>
          <w:right w:w="30" w:type="dxa"/>
        </w:tblCellMar>
        <w:tblLook w:val="0000"/>
      </w:tblPr>
      <w:tblGrid>
        <w:gridCol w:w="859"/>
        <w:gridCol w:w="2685"/>
        <w:gridCol w:w="1406"/>
        <w:gridCol w:w="1054"/>
        <w:gridCol w:w="881"/>
        <w:gridCol w:w="880"/>
        <w:gridCol w:w="1260"/>
      </w:tblGrid>
      <w:tr>
        <w:trPr>
          <w:trHeight w:val="256" w:hRule="atLeast"/>
        </w:trPr>
        <w:tc>
          <w:tcPr>
            <w:tcW w:w="85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center"/>
              <w:rPr/>
            </w:pPr>
            <w:r>
              <w:rPr>
                <w:rFonts w:cs="Tahoma" w:ascii="Calibri" w:hAnsi="Calibri"/>
                <w:i/>
              </w:rPr>
              <w:t>Účet</w:t>
            </w:r>
          </w:p>
        </w:tc>
        <w:tc>
          <w:tcPr>
            <w:tcW w:w="26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center"/>
              <w:rPr/>
            </w:pPr>
            <w:r>
              <w:rPr>
                <w:rFonts w:cs="Tahoma" w:ascii="Calibri" w:hAnsi="Calibri"/>
                <w:i/>
              </w:rPr>
              <w:t xml:space="preserve"> </w:t>
            </w:r>
            <w:r>
              <w:rPr>
                <w:rFonts w:cs="Tahoma" w:ascii="Calibri" w:hAnsi="Calibri"/>
                <w:i/>
              </w:rPr>
              <w:t>Popis</w:t>
            </w:r>
          </w:p>
        </w:tc>
        <w:tc>
          <w:tcPr>
            <w:tcW w:w="140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jc w:val="center"/>
              <w:rPr/>
            </w:pPr>
            <w:r>
              <w:rPr>
                <w:rFonts w:cs="Tahoma" w:ascii="Calibri" w:hAnsi="Calibri"/>
                <w:i/>
              </w:rPr>
              <w:t>Počiatočný stav</w:t>
            </w:r>
          </w:p>
          <w:p>
            <w:pPr>
              <w:pStyle w:val="Normal"/>
              <w:spacing w:before="0" w:after="240"/>
              <w:jc w:val="center"/>
              <w:rPr/>
            </w:pPr>
            <w:r>
              <w:rPr>
                <w:rFonts w:cs="Tahoma" w:ascii="Calibri" w:hAnsi="Calibri"/>
                <w:i/>
              </w:rPr>
              <w:t>K 1.1.201</w:t>
            </w:r>
            <w:r>
              <w:rPr>
                <w:rFonts w:cs="Tahoma" w:ascii="Calibri" w:hAnsi="Calibri"/>
                <w:i/>
                <w:lang w:val="sk-SK"/>
              </w:rPr>
              <w:t>7</w:t>
            </w:r>
          </w:p>
        </w:tc>
        <w:tc>
          <w:tcPr>
            <w:tcW w:w="105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center"/>
              <w:rPr/>
            </w:pPr>
            <w:r>
              <w:rPr>
                <w:rFonts w:cs="Tahoma" w:ascii="Calibri" w:hAnsi="Calibri"/>
                <w:i/>
              </w:rPr>
              <w:t>Prírastky</w:t>
            </w:r>
          </w:p>
        </w:tc>
        <w:tc>
          <w:tcPr>
            <w:tcW w:w="8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center"/>
              <w:rPr/>
            </w:pPr>
            <w:r>
              <w:rPr>
                <w:rFonts w:cs="Tahoma" w:ascii="Calibri" w:hAnsi="Calibri"/>
                <w:i/>
              </w:rPr>
              <w:t>Úbytky</w:t>
            </w:r>
          </w:p>
        </w:tc>
        <w:tc>
          <w:tcPr>
            <w:tcW w:w="88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center"/>
              <w:rPr/>
            </w:pPr>
            <w:r>
              <w:rPr>
                <w:rFonts w:cs="Tahoma" w:ascii="Calibri" w:hAnsi="Calibri"/>
                <w:i/>
              </w:rPr>
              <w:t>Presuny</w:t>
            </w:r>
          </w:p>
        </w:tc>
        <w:tc>
          <w:tcPr>
            <w:tcW w:w="12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jc w:val="center"/>
              <w:rPr/>
            </w:pPr>
            <w:r>
              <w:rPr>
                <w:rFonts w:cs="Tahoma" w:ascii="Calibri" w:hAnsi="Calibri"/>
                <w:i/>
              </w:rPr>
              <w:t xml:space="preserve">Konečný stav </w:t>
            </w:r>
          </w:p>
          <w:p>
            <w:pPr>
              <w:pStyle w:val="Normal"/>
              <w:spacing w:before="0" w:after="240"/>
              <w:jc w:val="center"/>
              <w:rPr/>
            </w:pPr>
            <w:r>
              <w:rPr>
                <w:rFonts w:cs="Tahoma" w:ascii="Calibri" w:hAnsi="Calibri"/>
                <w:i/>
              </w:rPr>
              <w:t xml:space="preserve">k </w:t>
            </w:r>
            <w:r>
              <w:rPr>
                <w:rFonts w:cs="Tahoma" w:ascii="Calibri" w:hAnsi="Calibri"/>
                <w:i/>
                <w:lang w:val="sk-SK"/>
              </w:rPr>
              <w:t>30.6.2017</w:t>
            </w:r>
          </w:p>
        </w:tc>
      </w:tr>
      <w:tr>
        <w:trPr>
          <w:trHeight w:val="256" w:hRule="atLeast"/>
        </w:trPr>
        <w:tc>
          <w:tcPr>
            <w:tcW w:w="85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spacing w:before="0" w:after="240"/>
              <w:jc w:val="center"/>
              <w:rPr/>
            </w:pPr>
            <w:r>
              <w:rPr>
                <w:rFonts w:cs="Tahoma" w:ascii="Calibri" w:hAnsi="Calibri"/>
              </w:rPr>
              <w:t>411</w:t>
            </w:r>
          </w:p>
        </w:tc>
        <w:tc>
          <w:tcPr>
            <w:tcW w:w="26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keepNext/>
              <w:widowControl/>
              <w:bidi w:val="0"/>
              <w:spacing w:before="0" w:after="240"/>
              <w:jc w:val="both"/>
              <w:rPr/>
            </w:pPr>
            <w:r>
              <w:rPr>
                <w:rFonts w:cs="Tahoma" w:ascii="Calibri" w:hAnsi="Calibri"/>
              </w:rPr>
              <w:t>Základné imanie</w:t>
            </w:r>
          </w:p>
        </w:tc>
        <w:tc>
          <w:tcPr>
            <w:tcW w:w="140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spacing w:before="0" w:after="240"/>
              <w:jc w:val="right"/>
              <w:rPr/>
            </w:pPr>
            <w:r>
              <w:rPr>
                <w:rFonts w:cs="Tahoma" w:ascii="Calibri" w:hAnsi="Calibri"/>
              </w:rPr>
              <w:t>6 640</w:t>
            </w:r>
          </w:p>
        </w:tc>
        <w:tc>
          <w:tcPr>
            <w:tcW w:w="105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spacing w:before="0" w:after="240"/>
              <w:jc w:val="right"/>
              <w:rPr/>
            </w:pPr>
            <w:r>
              <w:rPr>
                <w:rFonts w:cs="Tahoma" w:ascii="Calibri" w:hAnsi="Calibri"/>
              </w:rPr>
              <w:t>-</w:t>
            </w:r>
          </w:p>
        </w:tc>
        <w:tc>
          <w:tcPr>
            <w:tcW w:w="8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spacing w:before="0" w:after="240"/>
              <w:jc w:val="right"/>
              <w:rPr/>
            </w:pPr>
            <w:r>
              <w:rPr>
                <w:rFonts w:cs="Tahoma" w:ascii="Calibri" w:hAnsi="Calibri"/>
              </w:rPr>
              <w:t>-</w:t>
            </w:r>
          </w:p>
        </w:tc>
        <w:tc>
          <w:tcPr>
            <w:tcW w:w="88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spacing w:before="0" w:after="240"/>
              <w:jc w:val="right"/>
              <w:rPr/>
            </w:pPr>
            <w:r>
              <w:rPr>
                <w:rFonts w:cs="Tahoma" w:ascii="Calibri" w:hAnsi="Calibri"/>
                <w:i/>
              </w:rPr>
              <w:t>-</w:t>
            </w:r>
          </w:p>
        </w:tc>
        <w:tc>
          <w:tcPr>
            <w:tcW w:w="12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spacing w:before="0" w:after="240"/>
              <w:jc w:val="right"/>
              <w:rPr/>
            </w:pPr>
            <w:r>
              <w:rPr>
                <w:rFonts w:cs="Tahoma" w:ascii="Calibri" w:hAnsi="Calibri"/>
              </w:rPr>
              <w:t>6 640</w:t>
            </w:r>
          </w:p>
        </w:tc>
      </w:tr>
      <w:tr>
        <w:trPr>
          <w:trHeight w:val="256" w:hRule="atLeast"/>
        </w:trPr>
        <w:tc>
          <w:tcPr>
            <w:tcW w:w="85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spacing w:before="0" w:after="240"/>
              <w:jc w:val="center"/>
              <w:rPr/>
            </w:pPr>
            <w:r>
              <w:rPr>
                <w:rFonts w:cs="Tahoma" w:ascii="Calibri" w:hAnsi="Calibri"/>
              </w:rPr>
              <w:t>421</w:t>
            </w:r>
          </w:p>
        </w:tc>
        <w:tc>
          <w:tcPr>
            <w:tcW w:w="26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keepNext/>
              <w:widowControl/>
              <w:bidi w:val="0"/>
              <w:spacing w:before="0" w:after="240"/>
              <w:jc w:val="both"/>
              <w:rPr/>
            </w:pPr>
            <w:r>
              <w:rPr>
                <w:rFonts w:cs="Tahoma" w:ascii="Calibri" w:hAnsi="Calibri"/>
              </w:rPr>
              <w:t>Zákonný rezervný fond</w:t>
            </w:r>
          </w:p>
        </w:tc>
        <w:tc>
          <w:tcPr>
            <w:tcW w:w="140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right"/>
              <w:rPr/>
            </w:pPr>
            <w:r>
              <w:rPr>
                <w:rFonts w:cs="Tahoma" w:ascii="Calibri" w:hAnsi="Calibri"/>
              </w:rPr>
              <w:t>664</w:t>
            </w:r>
          </w:p>
        </w:tc>
        <w:tc>
          <w:tcPr>
            <w:tcW w:w="105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right"/>
              <w:rPr/>
            </w:pPr>
            <w:r>
              <w:rPr>
                <w:rFonts w:cs="Tahoma" w:ascii="Calibri" w:hAnsi="Calibri"/>
              </w:rPr>
              <w:t>-</w:t>
            </w:r>
          </w:p>
        </w:tc>
        <w:tc>
          <w:tcPr>
            <w:tcW w:w="8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right"/>
              <w:rPr/>
            </w:pPr>
            <w:r>
              <w:rPr>
                <w:rFonts w:cs="Tahoma" w:ascii="Calibri" w:hAnsi="Calibri"/>
              </w:rPr>
              <w:t>-</w:t>
            </w:r>
          </w:p>
        </w:tc>
        <w:tc>
          <w:tcPr>
            <w:tcW w:w="88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right"/>
              <w:rPr/>
            </w:pPr>
            <w:r>
              <w:rPr>
                <w:rFonts w:cs="Tahoma" w:ascii="Calibri" w:hAnsi="Calibri"/>
              </w:rPr>
              <w:t>-</w:t>
            </w:r>
          </w:p>
        </w:tc>
        <w:tc>
          <w:tcPr>
            <w:tcW w:w="12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right"/>
              <w:rPr/>
            </w:pPr>
            <w:r>
              <w:rPr>
                <w:rFonts w:cs="Tahoma" w:ascii="Calibri" w:hAnsi="Calibri"/>
              </w:rPr>
              <w:t>664</w:t>
            </w:r>
          </w:p>
        </w:tc>
      </w:tr>
      <w:tr>
        <w:trPr>
          <w:trHeight w:val="256" w:hRule="atLeast"/>
        </w:trPr>
        <w:tc>
          <w:tcPr>
            <w:tcW w:w="85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spacing w:before="0" w:after="240"/>
              <w:jc w:val="center"/>
              <w:rPr/>
            </w:pPr>
            <w:r>
              <w:rPr>
                <w:rFonts w:cs="Tahoma" w:ascii="Calibri" w:hAnsi="Calibri"/>
              </w:rPr>
              <w:t>429</w:t>
            </w:r>
          </w:p>
        </w:tc>
        <w:tc>
          <w:tcPr>
            <w:tcW w:w="26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keepNext/>
              <w:widowControl/>
              <w:bidi w:val="0"/>
              <w:spacing w:before="0" w:after="240"/>
              <w:jc w:val="both"/>
              <w:rPr/>
            </w:pPr>
            <w:r>
              <w:rPr>
                <w:rFonts w:cs="Tahoma" w:ascii="Calibri" w:hAnsi="Calibri"/>
              </w:rPr>
              <w:t>Neuhradená strata min. rokov</w:t>
            </w:r>
          </w:p>
        </w:tc>
        <w:tc>
          <w:tcPr>
            <w:tcW w:w="140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right"/>
              <w:rPr/>
            </w:pPr>
            <w:r>
              <w:rPr>
                <w:rFonts w:cs="Tahoma" w:ascii="Calibri" w:hAnsi="Calibri"/>
              </w:rPr>
              <w:t xml:space="preserve">- </w:t>
            </w:r>
            <w:r>
              <w:rPr>
                <w:rFonts w:cs="Tahoma" w:ascii="Calibri" w:hAnsi="Calibri"/>
                <w:lang w:val="sk-SK"/>
              </w:rPr>
              <w:t>3 804</w:t>
            </w:r>
          </w:p>
        </w:tc>
        <w:tc>
          <w:tcPr>
            <w:tcW w:w="105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right"/>
              <w:rPr>
                <w:rFonts w:ascii="Calibri" w:hAnsi="Calibri" w:cs="Tahoma"/>
              </w:rPr>
            </w:pPr>
            <w:r>
              <w:rPr>
                <w:rFonts w:cs="Tahoma" w:ascii="Calibri" w:hAnsi="Calibri"/>
              </w:rPr>
            </w:r>
          </w:p>
        </w:tc>
        <w:tc>
          <w:tcPr>
            <w:tcW w:w="8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right"/>
              <w:rPr/>
            </w:pPr>
            <w:r>
              <w:rPr>
                <w:rFonts w:cs="Tahoma" w:ascii="Calibri" w:hAnsi="Calibri"/>
              </w:rPr>
              <w:t>-</w:t>
            </w:r>
          </w:p>
        </w:tc>
        <w:tc>
          <w:tcPr>
            <w:tcW w:w="88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right"/>
              <w:rPr/>
            </w:pPr>
            <w:r>
              <w:rPr>
                <w:rFonts w:cs="Tahoma" w:ascii="Calibri" w:hAnsi="Calibri"/>
              </w:rPr>
              <w:t>-</w:t>
            </w:r>
            <w:r>
              <w:rPr>
                <w:rFonts w:cs="Tahoma" w:ascii="Calibri" w:hAnsi="Calibri"/>
                <w:lang w:val="sk-SK"/>
              </w:rPr>
              <w:t>960</w:t>
            </w:r>
          </w:p>
        </w:tc>
        <w:tc>
          <w:tcPr>
            <w:tcW w:w="12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right"/>
              <w:rPr/>
            </w:pPr>
            <w:r>
              <w:rPr>
                <w:rFonts w:cs="Tahoma" w:ascii="Calibri" w:hAnsi="Calibri"/>
              </w:rPr>
              <w:t xml:space="preserve">- </w:t>
            </w:r>
            <w:r>
              <w:rPr>
                <w:rFonts w:cs="Tahoma" w:ascii="Calibri" w:hAnsi="Calibri"/>
                <w:lang w:val="sk-SK"/>
              </w:rPr>
              <w:t>4 764</w:t>
            </w:r>
            <w:r>
              <w:rPr>
                <w:rFonts w:cs="Tahoma" w:ascii="Calibri" w:hAnsi="Calibri"/>
              </w:rPr>
              <w:t xml:space="preserve">                                                               </w:t>
            </w:r>
          </w:p>
        </w:tc>
      </w:tr>
      <w:tr>
        <w:trPr>
          <w:trHeight w:val="256" w:hRule="atLeast"/>
        </w:trPr>
        <w:tc>
          <w:tcPr>
            <w:tcW w:w="85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spacing w:before="0" w:after="240"/>
              <w:jc w:val="center"/>
              <w:rPr/>
            </w:pPr>
            <w:r>
              <w:rPr>
                <w:rFonts w:cs="Tahoma" w:ascii="Calibri" w:hAnsi="Calibri"/>
              </w:rPr>
              <w:t>431</w:t>
            </w:r>
          </w:p>
        </w:tc>
        <w:tc>
          <w:tcPr>
            <w:tcW w:w="26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keepNext/>
              <w:widowControl/>
              <w:bidi w:val="0"/>
              <w:spacing w:before="0" w:after="240"/>
              <w:jc w:val="both"/>
              <w:rPr/>
            </w:pPr>
            <w:r>
              <w:rPr>
                <w:rFonts w:cs="Tahoma" w:ascii="Calibri" w:hAnsi="Calibri"/>
              </w:rPr>
              <w:t>Výsledok hospodárenia za účtovné obdobie</w:t>
            </w:r>
          </w:p>
        </w:tc>
        <w:tc>
          <w:tcPr>
            <w:tcW w:w="140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right"/>
              <w:rPr/>
            </w:pPr>
            <w:r>
              <w:rPr>
                <w:rFonts w:cs="Tahoma" w:ascii="Calibri" w:hAnsi="Calibri"/>
              </w:rPr>
              <w:t>-</w:t>
            </w:r>
            <w:r>
              <w:rPr>
                <w:rFonts w:cs="Tahoma" w:ascii="Calibri" w:hAnsi="Calibri"/>
                <w:lang w:val="sk-SK"/>
              </w:rPr>
              <w:t>960</w:t>
            </w:r>
          </w:p>
        </w:tc>
        <w:tc>
          <w:tcPr>
            <w:tcW w:w="105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right"/>
              <w:rPr/>
            </w:pPr>
            <w:r>
              <w:rPr>
                <w:rFonts w:cs="Tahoma" w:ascii="Calibri" w:hAnsi="Calibri"/>
              </w:rPr>
              <w:t>-</w:t>
            </w:r>
            <w:r>
              <w:rPr>
                <w:rFonts w:cs="Tahoma" w:ascii="Calibri" w:hAnsi="Calibri"/>
                <w:lang w:val="sk-SK"/>
              </w:rPr>
              <w:t>480</w:t>
            </w:r>
          </w:p>
        </w:tc>
        <w:tc>
          <w:tcPr>
            <w:tcW w:w="8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right"/>
              <w:rPr/>
            </w:pPr>
            <w:r>
              <w:rPr>
                <w:rFonts w:cs="Tahoma" w:ascii="Calibri" w:hAnsi="Calibri"/>
              </w:rPr>
              <w:t>-</w:t>
            </w:r>
          </w:p>
        </w:tc>
        <w:tc>
          <w:tcPr>
            <w:tcW w:w="88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right"/>
              <w:rPr/>
            </w:pPr>
            <w:r>
              <w:rPr>
                <w:rFonts w:cs="Tahoma" w:ascii="Calibri" w:hAnsi="Calibri"/>
              </w:rPr>
              <w:t xml:space="preserve">960   </w:t>
            </w:r>
          </w:p>
        </w:tc>
        <w:tc>
          <w:tcPr>
            <w:tcW w:w="12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vAlign w:val="center"/>
          </w:tcPr>
          <w:p>
            <w:pPr>
              <w:pStyle w:val="Normal"/>
              <w:spacing w:before="0" w:after="240"/>
              <w:jc w:val="right"/>
              <w:rPr/>
            </w:pPr>
            <w:r>
              <w:rPr>
                <w:rFonts w:cs="Tahoma" w:ascii="Calibri" w:hAnsi="Calibri"/>
              </w:rPr>
              <w:t>-</w:t>
            </w:r>
            <w:r>
              <w:rPr>
                <w:rFonts w:cs="Tahoma" w:ascii="Calibri" w:hAnsi="Calibri"/>
                <w:lang w:val="sk-SK"/>
              </w:rPr>
              <w:t>480</w:t>
            </w:r>
          </w:p>
        </w:tc>
      </w:tr>
      <w:tr>
        <w:trPr>
          <w:trHeight w:val="256" w:hRule="atLeast"/>
        </w:trPr>
        <w:tc>
          <w:tcPr>
            <w:tcW w:w="85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spacing w:before="0" w:after="240"/>
              <w:jc w:val="right"/>
              <w:rPr>
                <w:rFonts w:ascii="Calibri" w:hAnsi="Calibri" w:cs="Tahoma"/>
                <w:b/>
                <w:b/>
              </w:rPr>
            </w:pPr>
            <w:r>
              <w:rPr>
                <w:rFonts w:cs="Tahoma" w:ascii="Calibri" w:hAnsi="Calibri"/>
                <w:b/>
              </w:rPr>
            </w:r>
          </w:p>
        </w:tc>
        <w:tc>
          <w:tcPr>
            <w:tcW w:w="26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keepNext/>
              <w:widowControl/>
              <w:bidi w:val="0"/>
              <w:spacing w:before="0" w:after="240"/>
              <w:jc w:val="both"/>
              <w:rPr/>
            </w:pPr>
            <w:r>
              <w:rPr>
                <w:rFonts w:cs="Tahoma" w:ascii="Calibri" w:hAnsi="Calibri"/>
                <w:b/>
              </w:rPr>
              <w:t>Spolu</w:t>
            </w:r>
          </w:p>
        </w:tc>
        <w:tc>
          <w:tcPr>
            <w:tcW w:w="140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spacing w:before="0" w:after="240"/>
              <w:jc w:val="right"/>
              <w:rPr>
                <w:lang w:val="sk-SK"/>
              </w:rPr>
            </w:pPr>
            <w:r>
              <w:rPr>
                <w:rFonts w:cs="Tahoma" w:ascii="Calibri" w:hAnsi="Calibri"/>
                <w:b/>
                <w:lang w:val="sk-SK"/>
              </w:rPr>
              <w:t>2 540</w:t>
            </w:r>
          </w:p>
        </w:tc>
        <w:tc>
          <w:tcPr>
            <w:tcW w:w="105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spacing w:before="0" w:after="240"/>
              <w:jc w:val="right"/>
              <w:rPr/>
            </w:pPr>
            <w:r>
              <w:rPr>
                <w:rFonts w:cs="Tahoma" w:ascii="Calibri" w:hAnsi="Calibri"/>
                <w:b/>
              </w:rPr>
              <w:t>-960</w:t>
            </w:r>
          </w:p>
        </w:tc>
        <w:tc>
          <w:tcPr>
            <w:tcW w:w="8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spacing w:before="0" w:after="240"/>
              <w:jc w:val="right"/>
              <w:rPr>
                <w:rFonts w:ascii="Calibri" w:hAnsi="Calibri" w:cs="Tahoma"/>
                <w:b/>
                <w:b/>
              </w:rPr>
            </w:pPr>
            <w:r>
              <w:rPr>
                <w:rFonts w:cs="Tahoma" w:ascii="Calibri" w:hAnsi="Calibri"/>
                <w:b/>
              </w:rPr>
            </w:r>
          </w:p>
        </w:tc>
        <w:tc>
          <w:tcPr>
            <w:tcW w:w="88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spacing w:before="0" w:after="240"/>
              <w:jc w:val="right"/>
              <w:rPr>
                <w:rFonts w:ascii="Calibri" w:hAnsi="Calibri" w:cs="Tahoma"/>
                <w:b/>
                <w:b/>
              </w:rPr>
            </w:pPr>
            <w:r>
              <w:rPr>
                <w:rFonts w:cs="Tahoma" w:ascii="Calibri" w:hAnsi="Calibri"/>
                <w:b/>
              </w:rPr>
            </w:r>
          </w:p>
        </w:tc>
        <w:tc>
          <w:tcPr>
            <w:tcW w:w="12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 w:type="dxa"/>
            </w:tcMar>
          </w:tcPr>
          <w:p>
            <w:pPr>
              <w:pStyle w:val="Normal"/>
              <w:spacing w:before="0" w:after="240"/>
              <w:jc w:val="right"/>
              <w:rPr>
                <w:lang w:val="sk-SK"/>
              </w:rPr>
            </w:pPr>
            <w:r>
              <w:rPr>
                <w:rFonts w:cs="Tahoma" w:ascii="Calibri" w:hAnsi="Calibri"/>
                <w:b/>
                <w:lang w:val="sk-SK"/>
              </w:rPr>
              <w:t>2 060</w:t>
            </w:r>
          </w:p>
        </w:tc>
      </w:tr>
    </w:tbl>
    <w:p>
      <w:pPr>
        <w:pStyle w:val="Heading1"/>
        <w:keepNext/>
        <w:numPr>
          <w:ilvl w:val="0"/>
          <w:numId w:val="0"/>
        </w:numPr>
        <w:shd w:val="clear" w:fill="FFFFFF"/>
        <w:rPr>
          <w:rFonts w:ascii="Calibri" w:hAnsi="Calibri" w:cs="Tahoma"/>
          <w:sz w:val="22"/>
          <w:szCs w:val="22"/>
        </w:rPr>
      </w:pPr>
      <w:r>
        <w:rPr>
          <w:rFonts w:cs="Tahoma" w:ascii="Calibri" w:hAnsi="Calibri"/>
          <w:sz w:val="22"/>
          <w:szCs w:val="22"/>
        </w:rPr>
      </w:r>
    </w:p>
    <w:p>
      <w:pPr>
        <w:pStyle w:val="Normal"/>
        <w:rPr/>
      </w:pPr>
      <w:r>
        <w:rPr>
          <w:rFonts w:cs="Calibri" w:ascii="Calibri" w:hAnsi="Calibri" w:asciiTheme="minorHAnsi" w:cstheme="minorHAnsi" w:hAnsiTheme="minorHAnsi"/>
          <w:b/>
          <w:sz w:val="22"/>
          <w:szCs w:val="22"/>
          <w:lang w:val="sk-SK"/>
        </w:rPr>
        <w:t>Dane z príjmov</w:t>
      </w:r>
    </w:p>
    <w:tbl>
      <w:tblPr>
        <w:tblW w:w="5000" w:type="pct"/>
        <w:jc w:val="left"/>
        <w:tblInd w:w="-1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93" w:type="dxa"/>
          <w:bottom w:w="0" w:type="dxa"/>
          <w:right w:w="108" w:type="dxa"/>
        </w:tblCellMar>
        <w:tblLook w:val="0000"/>
      </w:tblPr>
      <w:tblGrid>
        <w:gridCol w:w="5531"/>
        <w:gridCol w:w="1752"/>
        <w:gridCol w:w="1743"/>
      </w:tblGrid>
      <w:tr>
        <w:trPr>
          <w:cantSplit w:val="true"/>
        </w:trPr>
        <w:tc>
          <w:tcPr>
            <w:tcW w:w="55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tcPr>
          <w:p>
            <w:pPr>
              <w:pStyle w:val="Tableheader1"/>
              <w:jc w:val="left"/>
              <w:rPr>
                <w:rFonts w:ascii="Calibri" w:hAnsi="Calibri" w:eastAsia="Times New Roman" w:cs="Calibri"/>
                <w:sz w:val="22"/>
                <w:szCs w:val="22"/>
              </w:rPr>
            </w:pPr>
            <w:r>
              <w:rPr>
                <w:rFonts w:eastAsia="Times New Roman" w:cs="Calibri" w:ascii="Calibri" w:hAnsi="Calibri"/>
                <w:sz w:val="22"/>
                <w:szCs w:val="22"/>
              </w:rPr>
              <w:t>Položka</w:t>
            </w:r>
          </w:p>
        </w:tc>
        <w:tc>
          <w:tcPr>
            <w:tcW w:w="175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vAlign w:val="bottom"/>
          </w:tcPr>
          <w:p>
            <w:pPr>
              <w:pStyle w:val="Tableheader1"/>
              <w:rPr/>
            </w:pPr>
            <w:r>
              <w:rPr>
                <w:rFonts w:eastAsia="Times New Roman" w:cs="Calibri" w:ascii="Calibri" w:hAnsi="Calibri"/>
                <w:sz w:val="22"/>
                <w:szCs w:val="22"/>
              </w:rPr>
              <w:t>2017</w:t>
            </w:r>
          </w:p>
        </w:tc>
        <w:tc>
          <w:tcPr>
            <w:tcW w:w="17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vAlign w:val="bottom"/>
          </w:tcPr>
          <w:p>
            <w:pPr>
              <w:pStyle w:val="Tableheader1"/>
              <w:rPr/>
            </w:pPr>
            <w:r>
              <w:rPr>
                <w:rFonts w:eastAsia="Times New Roman" w:cs="Calibri" w:ascii="Calibri" w:hAnsi="Calibri"/>
                <w:sz w:val="22"/>
                <w:szCs w:val="22"/>
              </w:rPr>
              <w:t>2016</w:t>
            </w:r>
          </w:p>
        </w:tc>
      </w:tr>
      <w:tr>
        <w:trPr>
          <w:cantSplit w:val="true"/>
        </w:trPr>
        <w:tc>
          <w:tcPr>
            <w:tcW w:w="55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tcPr>
          <w:p>
            <w:pPr>
              <w:pStyle w:val="Normal1"/>
              <w:ind w:left="142" w:hanging="142"/>
              <w:jc w:val="both"/>
              <w:rPr>
                <w:rFonts w:ascii="Calibri" w:hAnsi="Calibri" w:cs="Calibri"/>
                <w:sz w:val="22"/>
                <w:szCs w:val="22"/>
              </w:rPr>
            </w:pPr>
            <w:r>
              <w:rPr>
                <w:rFonts w:cs="Calibri" w:ascii="Calibri" w:hAnsi="Calibri"/>
                <w:sz w:val="22"/>
                <w:szCs w:val="22"/>
              </w:rPr>
              <w:t>HV pred zdanením (+zisk/-strata)</w:t>
            </w:r>
          </w:p>
        </w:tc>
        <w:tc>
          <w:tcPr>
            <w:tcW w:w="175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vAlign w:val="bottom"/>
          </w:tcPr>
          <w:p>
            <w:pPr>
              <w:pStyle w:val="Normal1"/>
              <w:jc w:val="right"/>
              <w:rPr/>
            </w:pPr>
            <w:r>
              <w:rPr>
                <w:rFonts w:cs="Calibri" w:ascii="Calibri" w:hAnsi="Calibri"/>
                <w:sz w:val="22"/>
                <w:szCs w:val="22"/>
              </w:rPr>
              <w:t>0</w:t>
            </w:r>
          </w:p>
        </w:tc>
        <w:tc>
          <w:tcPr>
            <w:tcW w:w="17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vAlign w:val="bottom"/>
          </w:tcPr>
          <w:p>
            <w:pPr>
              <w:pStyle w:val="Normal1"/>
              <w:jc w:val="right"/>
              <w:rPr/>
            </w:pPr>
            <w:r>
              <w:rPr>
                <w:rFonts w:cs="Calibri" w:ascii="Calibri" w:hAnsi="Calibri"/>
                <w:sz w:val="22"/>
                <w:szCs w:val="22"/>
              </w:rPr>
              <w:t>0</w:t>
            </w:r>
          </w:p>
        </w:tc>
      </w:tr>
      <w:tr>
        <w:trPr>
          <w:cantSplit w:val="true"/>
        </w:trPr>
        <w:tc>
          <w:tcPr>
            <w:tcW w:w="55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tcPr>
          <w:p>
            <w:pPr>
              <w:pStyle w:val="Normal1"/>
              <w:ind w:left="142" w:hanging="142"/>
              <w:jc w:val="both"/>
              <w:rPr/>
            </w:pPr>
            <w:r>
              <w:rPr>
                <w:rFonts w:cs="Calibri" w:ascii="Calibri" w:hAnsi="Calibri"/>
                <w:sz w:val="22"/>
                <w:szCs w:val="22"/>
              </w:rPr>
              <w:t xml:space="preserve">Daň z príjmov pri sadzbe 22% </w:t>
            </w:r>
          </w:p>
        </w:tc>
        <w:tc>
          <w:tcPr>
            <w:tcW w:w="175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vAlign w:val="bottom"/>
          </w:tcPr>
          <w:p>
            <w:pPr>
              <w:pStyle w:val="Normal1"/>
              <w:jc w:val="right"/>
              <w:rPr>
                <w:rFonts w:ascii="Calibri" w:hAnsi="Calibri" w:cs="Calibri"/>
                <w:sz w:val="22"/>
                <w:szCs w:val="22"/>
              </w:rPr>
            </w:pPr>
            <w:r>
              <w:rPr>
                <w:rFonts w:cs="Calibri" w:ascii="Calibri" w:hAnsi="Calibri"/>
                <w:sz w:val="22"/>
                <w:szCs w:val="22"/>
              </w:rPr>
            </w:r>
          </w:p>
        </w:tc>
        <w:tc>
          <w:tcPr>
            <w:tcW w:w="17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vAlign w:val="bottom"/>
          </w:tcPr>
          <w:p>
            <w:pPr>
              <w:pStyle w:val="Normal1"/>
              <w:jc w:val="right"/>
              <w:rPr>
                <w:rFonts w:ascii="Calibri" w:hAnsi="Calibri" w:cs="Calibri"/>
                <w:sz w:val="22"/>
                <w:szCs w:val="22"/>
              </w:rPr>
            </w:pPr>
            <w:r>
              <w:rPr>
                <w:rFonts w:cs="Calibri" w:ascii="Calibri" w:hAnsi="Calibri"/>
                <w:sz w:val="22"/>
                <w:szCs w:val="22"/>
              </w:rPr>
            </w:r>
          </w:p>
        </w:tc>
      </w:tr>
      <w:tr>
        <w:trPr>
          <w:cantSplit w:val="true"/>
        </w:trPr>
        <w:tc>
          <w:tcPr>
            <w:tcW w:w="55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tcPr>
          <w:p>
            <w:pPr>
              <w:pStyle w:val="Normal1"/>
              <w:ind w:left="142" w:hanging="142"/>
              <w:jc w:val="both"/>
              <w:rPr>
                <w:rFonts w:ascii="Calibri" w:hAnsi="Calibri" w:cs="Calibri"/>
                <w:sz w:val="22"/>
                <w:szCs w:val="22"/>
              </w:rPr>
            </w:pPr>
            <w:r>
              <w:rPr>
                <w:rFonts w:cs="Calibri" w:ascii="Calibri" w:hAnsi="Calibri"/>
                <w:sz w:val="22"/>
                <w:szCs w:val="22"/>
              </w:rPr>
              <w:t>Vplyv upravujúcich položiek:</w:t>
            </w:r>
          </w:p>
        </w:tc>
        <w:tc>
          <w:tcPr>
            <w:tcW w:w="175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tcPr>
          <w:p>
            <w:pPr>
              <w:pStyle w:val="Normal1"/>
              <w:jc w:val="right"/>
              <w:rPr>
                <w:rFonts w:ascii="Calibri" w:hAnsi="Calibri" w:cs="Calibri"/>
                <w:sz w:val="22"/>
                <w:szCs w:val="22"/>
              </w:rPr>
            </w:pPr>
            <w:r>
              <w:rPr>
                <w:rFonts w:cs="Calibri" w:ascii="Calibri" w:hAnsi="Calibri"/>
                <w:sz w:val="22"/>
                <w:szCs w:val="22"/>
              </w:rPr>
            </w:r>
          </w:p>
        </w:tc>
        <w:tc>
          <w:tcPr>
            <w:tcW w:w="17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tcPr>
          <w:p>
            <w:pPr>
              <w:pStyle w:val="Normal1"/>
              <w:jc w:val="right"/>
              <w:rPr>
                <w:rFonts w:ascii="Calibri" w:hAnsi="Calibri" w:cs="Calibri"/>
                <w:sz w:val="22"/>
                <w:szCs w:val="22"/>
              </w:rPr>
            </w:pPr>
            <w:r>
              <w:rPr>
                <w:rFonts w:cs="Calibri" w:ascii="Calibri" w:hAnsi="Calibri"/>
                <w:sz w:val="22"/>
                <w:szCs w:val="22"/>
              </w:rPr>
            </w:r>
          </w:p>
        </w:tc>
      </w:tr>
      <w:tr>
        <w:trPr>
          <w:cantSplit w:val="true"/>
        </w:trPr>
        <w:tc>
          <w:tcPr>
            <w:tcW w:w="55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tcPr>
          <w:p>
            <w:pPr>
              <w:pStyle w:val="Normal1"/>
              <w:ind w:firstLine="176"/>
              <w:jc w:val="both"/>
              <w:rPr>
                <w:rFonts w:ascii="Calibri" w:hAnsi="Calibri" w:cs="Calibri"/>
                <w:sz w:val="22"/>
                <w:szCs w:val="22"/>
              </w:rPr>
            </w:pPr>
            <w:r>
              <w:rPr>
                <w:rFonts w:cs="Calibri" w:ascii="Calibri" w:hAnsi="Calibri"/>
                <w:sz w:val="22"/>
                <w:szCs w:val="22"/>
              </w:rPr>
              <w:t xml:space="preserve">odpočítateľné položky  </w:t>
            </w:r>
          </w:p>
        </w:tc>
        <w:tc>
          <w:tcPr>
            <w:tcW w:w="175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vAlign w:val="bottom"/>
          </w:tcPr>
          <w:p>
            <w:pPr>
              <w:pStyle w:val="Normal1"/>
              <w:jc w:val="right"/>
              <w:rPr>
                <w:rFonts w:ascii="Calibri" w:hAnsi="Calibri" w:cs="Calibri"/>
                <w:sz w:val="22"/>
                <w:szCs w:val="22"/>
              </w:rPr>
            </w:pPr>
            <w:r>
              <w:rPr>
                <w:rFonts w:cs="Calibri" w:ascii="Calibri" w:hAnsi="Calibri"/>
                <w:sz w:val="22"/>
                <w:szCs w:val="22"/>
              </w:rPr>
            </w:r>
          </w:p>
        </w:tc>
        <w:tc>
          <w:tcPr>
            <w:tcW w:w="17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vAlign w:val="bottom"/>
          </w:tcPr>
          <w:p>
            <w:pPr>
              <w:pStyle w:val="Normal1"/>
              <w:jc w:val="right"/>
              <w:rPr>
                <w:rFonts w:ascii="Calibri" w:hAnsi="Calibri" w:cs="Calibri"/>
                <w:sz w:val="22"/>
                <w:szCs w:val="22"/>
              </w:rPr>
            </w:pPr>
            <w:r>
              <w:rPr>
                <w:rFonts w:cs="Calibri" w:ascii="Calibri" w:hAnsi="Calibri"/>
                <w:sz w:val="22"/>
                <w:szCs w:val="22"/>
              </w:rPr>
            </w:r>
          </w:p>
        </w:tc>
      </w:tr>
      <w:tr>
        <w:trPr>
          <w:cantSplit w:val="true"/>
        </w:trPr>
        <w:tc>
          <w:tcPr>
            <w:tcW w:w="55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tcPr>
          <w:p>
            <w:pPr>
              <w:pStyle w:val="Normal1"/>
              <w:ind w:firstLine="176"/>
              <w:jc w:val="both"/>
              <w:rPr>
                <w:rFonts w:ascii="Calibri" w:hAnsi="Calibri" w:cs="Calibri"/>
                <w:sz w:val="22"/>
                <w:szCs w:val="22"/>
              </w:rPr>
            </w:pPr>
            <w:r>
              <w:rPr>
                <w:rFonts w:cs="Calibri" w:ascii="Calibri" w:hAnsi="Calibri"/>
                <w:sz w:val="22"/>
                <w:szCs w:val="22"/>
              </w:rPr>
              <w:t xml:space="preserve">pripočítateľné položky  </w:t>
            </w:r>
          </w:p>
        </w:tc>
        <w:tc>
          <w:tcPr>
            <w:tcW w:w="175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vAlign w:val="bottom"/>
          </w:tcPr>
          <w:p>
            <w:pPr>
              <w:pStyle w:val="Normal1"/>
              <w:jc w:val="right"/>
              <w:rPr>
                <w:rFonts w:ascii="Calibri" w:hAnsi="Calibri" w:cs="Calibri"/>
                <w:sz w:val="22"/>
                <w:szCs w:val="22"/>
              </w:rPr>
            </w:pPr>
            <w:r>
              <w:rPr>
                <w:rFonts w:cs="Calibri" w:ascii="Calibri" w:hAnsi="Calibri"/>
                <w:sz w:val="22"/>
                <w:szCs w:val="22"/>
              </w:rPr>
            </w:r>
          </w:p>
        </w:tc>
        <w:tc>
          <w:tcPr>
            <w:tcW w:w="17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vAlign w:val="bottom"/>
          </w:tcPr>
          <w:p>
            <w:pPr>
              <w:pStyle w:val="Normal1"/>
              <w:jc w:val="right"/>
              <w:rPr>
                <w:rFonts w:ascii="Calibri" w:hAnsi="Calibri" w:cs="Calibri"/>
                <w:sz w:val="22"/>
                <w:szCs w:val="22"/>
              </w:rPr>
            </w:pPr>
            <w:r>
              <w:rPr>
                <w:rFonts w:cs="Calibri" w:ascii="Calibri" w:hAnsi="Calibri"/>
                <w:sz w:val="22"/>
                <w:szCs w:val="22"/>
              </w:rPr>
            </w:r>
          </w:p>
        </w:tc>
      </w:tr>
      <w:tr>
        <w:trPr>
          <w:cantSplit w:val="true"/>
        </w:trPr>
        <w:tc>
          <w:tcPr>
            <w:tcW w:w="55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tcPr>
          <w:p>
            <w:pPr>
              <w:pStyle w:val="Normal1"/>
              <w:ind w:left="142" w:hanging="142"/>
              <w:jc w:val="both"/>
              <w:rPr/>
            </w:pPr>
            <w:r>
              <w:rPr>
                <w:rFonts w:cs="Calibri" w:ascii="Calibri" w:hAnsi="Calibri"/>
                <w:sz w:val="22"/>
                <w:szCs w:val="22"/>
              </w:rPr>
              <w:t>Daňová licencia (1.1.2017 – 30.6.2017)</w:t>
            </w:r>
          </w:p>
        </w:tc>
        <w:tc>
          <w:tcPr>
            <w:tcW w:w="175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tcPr>
          <w:p>
            <w:pPr>
              <w:pStyle w:val="Normal1"/>
              <w:jc w:val="right"/>
              <w:rPr/>
            </w:pPr>
            <w:r>
              <w:rPr>
                <w:rFonts w:cs="Calibri" w:ascii="Calibri" w:hAnsi="Calibri"/>
                <w:sz w:val="22"/>
                <w:szCs w:val="22"/>
              </w:rPr>
              <w:t>480</w:t>
            </w:r>
          </w:p>
        </w:tc>
        <w:tc>
          <w:tcPr>
            <w:tcW w:w="17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tcPr>
          <w:p>
            <w:pPr>
              <w:pStyle w:val="Normal1"/>
              <w:jc w:val="right"/>
              <w:rPr/>
            </w:pPr>
            <w:r>
              <w:rPr>
                <w:rFonts w:cs="Calibri" w:ascii="Calibri" w:hAnsi="Calibri"/>
                <w:sz w:val="22"/>
                <w:szCs w:val="22"/>
              </w:rPr>
              <w:t>960</w:t>
            </w:r>
          </w:p>
        </w:tc>
      </w:tr>
      <w:tr>
        <w:trPr>
          <w:cantSplit w:val="true"/>
        </w:trPr>
        <w:tc>
          <w:tcPr>
            <w:tcW w:w="55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tcPr>
          <w:p>
            <w:pPr>
              <w:pStyle w:val="Normal1"/>
              <w:ind w:left="142" w:hanging="142"/>
              <w:jc w:val="both"/>
              <w:rPr>
                <w:rFonts w:ascii="Calibri" w:hAnsi="Calibri" w:cs="Calibri"/>
                <w:b/>
                <w:b/>
                <w:bCs/>
                <w:sz w:val="22"/>
                <w:szCs w:val="22"/>
              </w:rPr>
            </w:pPr>
            <w:r>
              <w:rPr>
                <w:rFonts w:cs="Calibri" w:ascii="Calibri" w:hAnsi="Calibri"/>
                <w:b/>
                <w:bCs/>
                <w:sz w:val="22"/>
                <w:szCs w:val="22"/>
              </w:rPr>
              <w:t>Daň na úhradu</w:t>
            </w:r>
          </w:p>
        </w:tc>
        <w:tc>
          <w:tcPr>
            <w:tcW w:w="175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vAlign w:val="bottom"/>
          </w:tcPr>
          <w:p>
            <w:pPr>
              <w:pStyle w:val="Normal1"/>
              <w:jc w:val="right"/>
              <w:rPr/>
            </w:pPr>
            <w:r>
              <w:rPr>
                <w:rFonts w:cs="Calibri" w:ascii="Calibri" w:hAnsi="Calibri"/>
                <w:b/>
                <w:bCs/>
                <w:sz w:val="22"/>
                <w:szCs w:val="22"/>
              </w:rPr>
              <w:t>480</w:t>
            </w:r>
          </w:p>
        </w:tc>
        <w:tc>
          <w:tcPr>
            <w:tcW w:w="17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93" w:type="dxa"/>
            </w:tcMar>
            <w:vAlign w:val="bottom"/>
          </w:tcPr>
          <w:p>
            <w:pPr>
              <w:pStyle w:val="Normal1"/>
              <w:jc w:val="right"/>
              <w:rPr/>
            </w:pPr>
            <w:r>
              <w:rPr>
                <w:rFonts w:cs="Calibri" w:ascii="Calibri" w:hAnsi="Calibri"/>
                <w:b/>
                <w:bCs/>
                <w:sz w:val="22"/>
                <w:szCs w:val="22"/>
              </w:rPr>
              <w:t>960</w:t>
            </w:r>
          </w:p>
        </w:tc>
      </w:tr>
    </w:tbl>
    <w:p>
      <w:pPr>
        <w:pStyle w:val="Heading1"/>
        <w:keepNext/>
        <w:numPr>
          <w:ilvl w:val="0"/>
          <w:numId w:val="0"/>
        </w:numPr>
        <w:shd w:val="clear" w:fill="FFFFFF"/>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Heading1"/>
        <w:numPr>
          <w:ilvl w:val="0"/>
          <w:numId w:val="1"/>
        </w:numPr>
        <w:shd w:val="clear" w:fill="FFFFFF"/>
        <w:rPr/>
      </w:pPr>
      <w:r>
        <w:rPr>
          <w:rFonts w:cs="Calibri" w:ascii="Calibri" w:hAnsi="Calibri" w:asciiTheme="minorHAnsi" w:cstheme="minorHAnsi" w:hAnsiTheme="minorHAnsi"/>
          <w:sz w:val="22"/>
          <w:szCs w:val="22"/>
          <w:lang w:val="sk-SK"/>
        </w:rPr>
        <w:t>Významné udalosti, ktoré nastali po DnI, KU KTORému sa zostavuje účtovná závierka</w:t>
      </w:r>
    </w:p>
    <w:p>
      <w:pPr>
        <w:pStyle w:val="Odstavecbezcisla"/>
        <w:ind w:left="0" w:hanging="0"/>
        <w:rPr>
          <w:rFonts w:ascii="Calibri" w:hAnsi="Calibri" w:cs="Calibri" w:asciiTheme="minorHAnsi" w:cstheme="minorHAnsi" w:hAnsiTheme="minorHAnsi"/>
          <w:iCs w:val="false"/>
          <w:sz w:val="22"/>
          <w:szCs w:val="22"/>
          <w:lang w:eastAsia="en-US"/>
        </w:rPr>
      </w:pPr>
      <w:r>
        <w:rPr>
          <w:rFonts w:cs="Calibri" w:cstheme="minorHAnsi" w:ascii="Calibri" w:hAnsi="Calibri"/>
          <w:iCs w:val="false"/>
          <w:sz w:val="22"/>
          <w:szCs w:val="22"/>
          <w:lang w:eastAsia="en-US"/>
        </w:rPr>
      </w:r>
    </w:p>
    <w:p>
      <w:pPr>
        <w:pStyle w:val="Odstavecbezcisla"/>
        <w:ind w:left="0" w:hanging="0"/>
        <w:rPr/>
      </w:pPr>
      <w:r>
        <w:rPr>
          <w:rFonts w:cs="Calibri" w:ascii="Calibri" w:hAnsi="Calibri" w:asciiTheme="minorHAnsi" w:cstheme="minorHAnsi" w:hAnsiTheme="minorHAnsi"/>
          <w:iCs w:val="false"/>
          <w:sz w:val="22"/>
          <w:szCs w:val="22"/>
          <w:lang w:eastAsia="en-US"/>
        </w:rPr>
        <w:t>1.7.2017 vstúpila spoločnosť do likvidácie.</w:t>
      </w:r>
    </w:p>
    <w:p>
      <w:pPr>
        <w:pStyle w:val="Odstavecbezcisla"/>
        <w:ind w:left="0" w:hanging="0"/>
        <w:rPr>
          <w:rFonts w:ascii="Calibri" w:hAnsi="Calibri" w:cs="Calibri" w:asciiTheme="minorHAnsi" w:cstheme="minorHAnsi" w:hAnsiTheme="minorHAnsi"/>
          <w:iCs w:val="false"/>
          <w:sz w:val="22"/>
          <w:szCs w:val="22"/>
          <w:lang w:eastAsia="en-US"/>
        </w:rPr>
      </w:pPr>
      <w:r>
        <w:rPr>
          <w:rFonts w:cs="Calibri" w:cstheme="minorHAnsi" w:ascii="Calibri" w:hAnsi="Calibri"/>
          <w:iCs w:val="false"/>
          <w:sz w:val="22"/>
          <w:szCs w:val="22"/>
          <w:lang w:eastAsia="en-US"/>
        </w:rPr>
      </w:r>
    </w:p>
    <w:p>
      <w:pPr>
        <w:pStyle w:val="Normal"/>
        <w:keepNext/>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Normal"/>
        <w:keepNext/>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Normal"/>
        <w:keepNext/>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Normal"/>
        <w:keepNext/>
        <w:spacing w:before="0" w:after="240"/>
        <w:rPr/>
      </w:pPr>
      <w:r>
        <w:rPr/>
      </w:r>
    </w:p>
    <w:sectPr>
      <w:footerReference w:type="default" r:id="rId2"/>
      <w:type w:val="nextPage"/>
      <w:pgSz w:w="11906" w:h="16838"/>
      <w:pgMar w:left="1440" w:right="1440" w:header="0" w:top="482" w:footer="567" w:bottom="1588" w:gutter="0"/>
      <w:pgNumType w:fmt="decimal"/>
      <w:formProt w:val="false"/>
      <w:textDirection w:val="lrTb"/>
      <w:docGrid w:type="default" w:linePitch="249" w:charSpace="20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Arial Narrow">
    <w:charset w:val="ee"/>
    <w:family w:val="roman"/>
    <w:pitch w:val="variable"/>
  </w:font>
  <w:font w:name="Calibri">
    <w:charset w:val="ee"/>
    <w:family w:val="roman"/>
    <w:pitch w:val="variable"/>
  </w:font>
  <w:font w:name="Liberation Sans">
    <w:altName w:val="Arial"/>
    <w:charset w:val="ee"/>
    <w:family w:val="roman"/>
    <w:pitch w:val="variable"/>
  </w:font>
  <w:font w:name="Tahoma">
    <w:charset w:val="ee"/>
    <w:family w:val="roman"/>
    <w:pitch w:val="variable"/>
  </w:font>
  <w:font w:name="Arial">
    <w:charset w:val="ee"/>
    <w:family w:val="roman"/>
    <w:pitch w:val="variable"/>
  </w:font>
  <w:font w:name="Arial Unicode MS">
    <w:charset w:val="ee"/>
    <w:family w:val="roman"/>
    <w:pitch w:val="variable"/>
  </w:font>
  <w:font w:name="Verdana">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ooter"/>
      <w:spacing w:before="0" w:after="120"/>
      <w:ind w:firstLine="360"/>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454"/>
        </w:tabs>
        <w:ind w:left="454" w:hanging="454"/>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decimal"/>
      <w:suff w:val="nothing"/>
      <w:lvlText w:val=""/>
      <w:lvlJc w:val="left"/>
      <w:pPr>
        <w:tabs>
          <w:tab w:val="num" w:pos="432"/>
        </w:tabs>
        <w:ind w:left="432" w:hanging="432"/>
      </w:pPr>
    </w:lvl>
    <w:lvl w:ilvl="1">
      <w:start w:val="1"/>
      <w:numFmt w:val="decimal"/>
      <w:suff w:val="nothing"/>
      <w:lvlText w:val=""/>
      <w:lvlJc w:val="left"/>
      <w:pPr>
        <w:tabs>
          <w:tab w:val="num" w:pos="576"/>
        </w:tabs>
        <w:ind w:left="576" w:hanging="576"/>
      </w:pPr>
    </w:lvl>
    <w:lvl w:ilvl="2">
      <w:start w:val="1"/>
      <w:numFmt w:val="decimal"/>
      <w:suff w:val="nothing"/>
      <w:lvlText w:val=""/>
      <w:lvlJc w:val="left"/>
      <w:pPr>
        <w:tabs>
          <w:tab w:val="num" w:pos="720"/>
        </w:tabs>
        <w:ind w:left="720" w:hanging="720"/>
      </w:pPr>
    </w:lvl>
    <w:lvl w:ilvl="3">
      <w:start w:val="1"/>
      <w:numFmt w:val="decimal"/>
      <w:suff w:val="nothing"/>
      <w:lvlText w:val=""/>
      <w:lvlJc w:val="left"/>
      <w:pPr>
        <w:tabs>
          <w:tab w:val="num" w:pos="864"/>
        </w:tabs>
        <w:ind w:left="864" w:hanging="864"/>
      </w:pPr>
    </w:lvl>
    <w:lvl w:ilvl="4">
      <w:start w:val="1"/>
      <w:numFmt w:val="decimal"/>
      <w:suff w:val="nothing"/>
      <w:lvlText w:val=""/>
      <w:lvlJc w:val="left"/>
      <w:pPr>
        <w:tabs>
          <w:tab w:val="num" w:pos="1008"/>
        </w:tabs>
        <w:ind w:left="1008" w:hanging="1008"/>
      </w:pPr>
    </w:lvl>
    <w:lvl w:ilvl="5">
      <w:start w:val="1"/>
      <w:numFmt w:val="decimal"/>
      <w:suff w:val="nothing"/>
      <w:lvlText w:val=""/>
      <w:lvlJc w:val="left"/>
      <w:pPr>
        <w:tabs>
          <w:tab w:val="num" w:pos="1152"/>
        </w:tabs>
        <w:ind w:left="1152" w:hanging="1152"/>
      </w:pPr>
    </w:lvl>
    <w:lvl w:ilvl="6">
      <w:start w:val="1"/>
      <w:numFmt w:val="decimal"/>
      <w:suff w:val="nothing"/>
      <w:lvlText w:val=""/>
      <w:lvlJc w:val="left"/>
      <w:pPr>
        <w:tabs>
          <w:tab w:val="num" w:pos="1296"/>
        </w:tabs>
        <w:ind w:left="1296" w:hanging="1296"/>
      </w:pPr>
    </w:lvl>
    <w:lvl w:ilvl="7">
      <w:start w:val="1"/>
      <w:numFmt w:val="decimal"/>
      <w:suff w:val="nothing"/>
      <w:lvlText w:val=""/>
      <w:lvlJc w:val="left"/>
      <w:pPr>
        <w:tabs>
          <w:tab w:val="num" w:pos="1440"/>
        </w:tabs>
        <w:ind w:left="1440" w:hanging="1440"/>
      </w:pPr>
    </w:lvl>
    <w:lvl w:ilvl="8">
      <w:start w:val="1"/>
      <w:numFmt w:val="decimal"/>
      <w:suff w:val="nothing"/>
      <w:lvlText w:val=""/>
      <w:lvlJc w:val="left"/>
      <w:pPr>
        <w:tabs>
          <w:tab w:val="num" w:pos="1584"/>
        </w:tabs>
        <w:ind w:left="1584" w:hanging="1584"/>
      </w:pPr>
    </w:lvl>
  </w:abstractNum>
  <w:num w:numId="1">
    <w:abstractNumId w:val="1"/>
  </w:num>
  <w:num w:numId="2">
    <w:abstractNumId w:val="2"/>
  </w:num>
</w:numbering>
</file>

<file path=word/settings.xml><?xml version="1.0" encoding="utf-8"?>
<w:settings xmlns:w="http://schemas.openxmlformats.org/wordprocessingml/2006/main">
  <w:zoom w:percent="100"/>
  <w:embedSystemFonts/>
  <w:defaultTabStop w:val="709"/>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atentStyles>
  <w:style w:type="paragraph" w:styleId="Normal" w:default="1">
    <w:name w:val="Normal"/>
    <w:qFormat/>
    <w:rsid w:val="00ae1613"/>
    <w:pPr>
      <w:keepNext/>
      <w:widowControl/>
      <w:suppressAutoHyphens w:val="true"/>
      <w:bidi w:val="0"/>
      <w:spacing w:before="0" w:after="240"/>
      <w:jc w:val="both"/>
    </w:pPr>
    <w:rPr>
      <w:rFonts w:ascii="Times New Roman" w:hAnsi="Times New Roman" w:eastAsia="Times New Roman" w:cs="Times New Roman"/>
      <w:color w:val="00000A"/>
      <w:sz w:val="20"/>
      <w:szCs w:val="20"/>
      <w:lang w:val="cs-CZ" w:eastAsia="en-US" w:bidi="ar-SA"/>
    </w:rPr>
  </w:style>
  <w:style w:type="paragraph" w:styleId="Heading1">
    <w:name w:val="Heading 1"/>
    <w:basedOn w:val="Normal"/>
    <w:qFormat/>
    <w:rsid w:val="00f22856"/>
    <w:pPr>
      <w:shd w:val="solid" w:color="FFFFFF" w:fill="FFFFFF"/>
      <w:spacing w:before="360" w:after="240"/>
      <w:outlineLvl w:val="0"/>
    </w:pPr>
    <w:rPr>
      <w:b/>
      <w:caps/>
      <w:u w:val="single"/>
    </w:rPr>
  </w:style>
  <w:style w:type="paragraph" w:styleId="Heading2">
    <w:name w:val="Heading 2"/>
    <w:basedOn w:val="Normal"/>
    <w:qFormat/>
    <w:rsid w:val="00f22856"/>
    <w:pPr/>
    <w:rPr>
      <w:b/>
    </w:rPr>
  </w:style>
  <w:style w:type="paragraph" w:styleId="Heading3">
    <w:name w:val="Heading 3"/>
    <w:basedOn w:val="Normal"/>
    <w:qFormat/>
    <w:rsid w:val="00f22856"/>
    <w:pPr>
      <w:outlineLvl w:val="2"/>
    </w:pPr>
    <w:rPr>
      <w:i/>
    </w:rPr>
  </w:style>
  <w:style w:type="paragraph" w:styleId="Heading4">
    <w:name w:val="Heading 4"/>
    <w:basedOn w:val="Normal"/>
    <w:qFormat/>
    <w:rsid w:val="00f22856"/>
    <w:pPr>
      <w:outlineLvl w:val="3"/>
    </w:pPr>
    <w:rPr>
      <w:b/>
    </w:rPr>
  </w:style>
  <w:style w:type="paragraph" w:styleId="Heading5">
    <w:name w:val="Heading 5"/>
    <w:basedOn w:val="Normal"/>
    <w:qFormat/>
    <w:rsid w:val="00f22856"/>
    <w:pPr>
      <w:spacing w:before="0" w:after="120"/>
      <w:outlineLvl w:val="4"/>
    </w:pPr>
    <w:rPr>
      <w:b/>
    </w:rPr>
  </w:style>
  <w:style w:type="paragraph" w:styleId="Heading6">
    <w:name w:val="Heading 6"/>
    <w:basedOn w:val="Normal"/>
    <w:qFormat/>
    <w:rsid w:val="00f22856"/>
    <w:pPr>
      <w:outlineLvl w:val="5"/>
    </w:pPr>
    <w:rPr>
      <w:sz w:val="24"/>
    </w:rPr>
  </w:style>
  <w:style w:type="paragraph" w:styleId="Heading7">
    <w:name w:val="Heading 7"/>
    <w:basedOn w:val="Normal"/>
    <w:qFormat/>
    <w:rsid w:val="00f22856"/>
    <w:pPr>
      <w:spacing w:before="1680" w:after="360"/>
      <w:outlineLvl w:val="6"/>
    </w:pPr>
    <w:rPr>
      <w:b/>
      <w:sz w:val="28"/>
    </w:rPr>
  </w:style>
  <w:style w:type="paragraph" w:styleId="Heading8">
    <w:name w:val="Heading 8"/>
    <w:basedOn w:val="Normal"/>
    <w:qFormat/>
    <w:rsid w:val="00f22856"/>
    <w:pPr>
      <w:spacing w:before="0" w:after="0"/>
      <w:outlineLvl w:val="7"/>
    </w:pPr>
    <w:rPr>
      <w:i/>
      <w:sz w:val="14"/>
    </w:rPr>
  </w:style>
  <w:style w:type="paragraph" w:styleId="Heading9">
    <w:name w:val="Heading 9"/>
    <w:basedOn w:val="Normal"/>
    <w:qFormat/>
    <w:rsid w:val="00f22856"/>
    <w:pPr>
      <w:spacing w:before="0" w:after="0"/>
      <w:outlineLvl w:val="8"/>
    </w:pPr>
    <w:rPr>
      <w:i/>
      <w:sz w:val="14"/>
      <w:lang w:val="en-GB"/>
    </w:rPr>
  </w:style>
  <w:style w:type="character" w:styleId="DefaultParagraphFont" w:default="1">
    <w:name w:val="Default Paragraph Font"/>
    <w:uiPriority w:val="1"/>
    <w:semiHidden/>
    <w:unhideWhenUsed/>
    <w:qFormat/>
    <w:rPr/>
  </w:style>
  <w:style w:type="character" w:styleId="Footnotereference">
    <w:name w:val="footnote reference"/>
    <w:basedOn w:val="DefaultParagraphFont"/>
    <w:semiHidden/>
    <w:qFormat/>
    <w:rsid w:val="00063304"/>
    <w:rPr>
      <w:vertAlign w:val="superscript"/>
    </w:rPr>
  </w:style>
  <w:style w:type="character" w:styleId="OdstavecbezcislaChar" w:customStyle="1">
    <w:name w:val="odstavecbezcisla Char"/>
    <w:basedOn w:val="DefaultParagraphFont"/>
    <w:link w:val="odstavecbezcisla"/>
    <w:qFormat/>
    <w:rsid w:val="000a5a10"/>
    <w:rPr>
      <w:iCs/>
      <w:szCs w:val="24"/>
      <w:lang w:val="sk-SK" w:eastAsia="sk-SK" w:bidi="ar-SA"/>
    </w:rPr>
  </w:style>
  <w:style w:type="character" w:styleId="StyleodstavecbezcislaItalicRedChar" w:customStyle="1">
    <w:name w:val="Style odstavecbezcisla + Italic Red Char"/>
    <w:basedOn w:val="OdstavecbezcislaChar"/>
    <w:link w:val="StyleodstavecbezcislaItalicRed"/>
    <w:qFormat/>
    <w:rsid w:val="008b5be2"/>
    <w:rPr>
      <w:iCs/>
      <w:color w:val="333399"/>
      <w:szCs w:val="24"/>
      <w:lang w:val="sk-SK" w:eastAsia="sk-SK" w:bidi="ar-SA"/>
    </w:rPr>
  </w:style>
  <w:style w:type="character" w:styleId="NzovChar" w:customStyle="1">
    <w:name w:val="Názov Char"/>
    <w:basedOn w:val="DefaultParagraphFont"/>
    <w:link w:val="Nzov"/>
    <w:uiPriority w:val="99"/>
    <w:qFormat/>
    <w:rsid w:val="003d4520"/>
    <w:rPr>
      <w:rFonts w:ascii="Arial Narrow" w:hAnsi="Arial Narrow"/>
      <w:b/>
      <w:bCs/>
      <w:sz w:val="22"/>
      <w:szCs w:val="32"/>
      <w:lang w:eastAsia="en-US"/>
    </w:rPr>
  </w:style>
  <w:style w:type="character" w:styleId="ListLabel1">
    <w:name w:val="ListLabel 1"/>
    <w:qFormat/>
    <w:rPr>
      <w:rFonts w:cs="Courier New"/>
    </w:rPr>
  </w:style>
  <w:style w:type="character" w:styleId="ListLabel2">
    <w:name w:val="ListLabel 2"/>
    <w:qFormat/>
    <w:rPr>
      <w:rFonts w:eastAsia="Times New Roman" w:cs="Times New Roman"/>
    </w:rPr>
  </w:style>
  <w:style w:type="character" w:styleId="ListLabel3">
    <w:name w:val="ListLabel 3"/>
    <w:qFormat/>
    <w:rPr>
      <w:rFonts w:ascii="Calibri" w:hAnsi="Calibri" w:cs="Symbol"/>
      <w:sz w:val="22"/>
    </w:rPr>
  </w:style>
  <w:style w:type="character" w:styleId="ListLabel4">
    <w:name w:val="ListLabel 4"/>
    <w:qFormat/>
    <w:rPr>
      <w:rFonts w:ascii="Calibri" w:hAnsi="Calibri" w:cs="Symbol"/>
      <w:sz w:val="22"/>
    </w:rPr>
  </w:style>
  <w:style w:type="character" w:styleId="StrongEmphasis">
    <w:name w:val="Strong Emphasis"/>
    <w:rPr>
      <w:b/>
      <w:bCs/>
    </w:rPr>
  </w:style>
  <w:style w:type="paragraph" w:styleId="Heading">
    <w:name w:val="Heading"/>
    <w:basedOn w:val="Normal"/>
    <w:next w:val="TextBody"/>
    <w:qFormat/>
    <w:pPr>
      <w:keepNext/>
      <w:spacing w:before="240" w:after="120"/>
    </w:pPr>
    <w:rPr>
      <w:rFonts w:ascii="Liberation Sans" w:hAnsi="Liberation Sans" w:eastAsia="Microsoft YaHei" w:cs="Arial"/>
      <w:sz w:val="28"/>
      <w:szCs w:val="28"/>
    </w:rPr>
  </w:style>
  <w:style w:type="paragraph" w:styleId="TextBody">
    <w:name w:val="Text Body"/>
    <w:basedOn w:val="Normal"/>
    <w:rsid w:val="00f22856"/>
    <w:pPr>
      <w:jc w:val="left"/>
    </w:pPr>
    <w:rPr/>
  </w:style>
  <w:style w:type="paragraph" w:styleId="List">
    <w:name w:val="List"/>
    <w:basedOn w:val="TextBody"/>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Footer">
    <w:name w:val="Footer"/>
    <w:basedOn w:val="Normal"/>
    <w:rsid w:val="00f22856"/>
    <w:pPr>
      <w:tabs>
        <w:tab w:val="center" w:pos="4536" w:leader="none"/>
        <w:tab w:val="right" w:pos="9072" w:leader="none"/>
      </w:tabs>
      <w:spacing w:before="0" w:after="120"/>
    </w:pPr>
    <w:rPr>
      <w:sz w:val="18"/>
    </w:rPr>
  </w:style>
  <w:style w:type="paragraph" w:styleId="Header">
    <w:name w:val="Header"/>
    <w:basedOn w:val="Normal"/>
    <w:rsid w:val="00f22856"/>
    <w:pPr>
      <w:tabs>
        <w:tab w:val="center" w:pos="4536" w:leader="none"/>
        <w:tab w:val="right" w:pos="9072" w:leader="none"/>
      </w:tabs>
    </w:pPr>
    <w:rPr/>
  </w:style>
  <w:style w:type="paragraph" w:styleId="TableHeader" w:customStyle="1">
    <w:name w:val="Table Header"/>
    <w:basedOn w:val="Normal"/>
    <w:qFormat/>
    <w:rsid w:val="00f22856"/>
    <w:pPr>
      <w:spacing w:before="0" w:after="0"/>
      <w:jc w:val="center"/>
    </w:pPr>
    <w:rPr>
      <w:sz w:val="16"/>
    </w:rPr>
  </w:style>
  <w:style w:type="paragraph" w:styleId="Tablemiddleline" w:customStyle="1">
    <w:name w:val="Table middle line"/>
    <w:basedOn w:val="Normal"/>
    <w:qFormat/>
    <w:rsid w:val="00f22856"/>
    <w:pPr>
      <w:spacing w:before="0" w:after="0"/>
      <w:jc w:val="left"/>
    </w:pPr>
    <w:rPr>
      <w:iCs/>
      <w:sz w:val="16"/>
    </w:rPr>
  </w:style>
  <w:style w:type="paragraph" w:styleId="TableFirstLine" w:customStyle="1">
    <w:name w:val="Table First Line"/>
    <w:basedOn w:val="Normal"/>
    <w:qFormat/>
    <w:rsid w:val="00f22856"/>
    <w:pPr>
      <w:spacing w:before="0" w:after="120"/>
      <w:jc w:val="left"/>
    </w:pPr>
    <w:rPr>
      <w:sz w:val="16"/>
    </w:rPr>
  </w:style>
  <w:style w:type="paragraph" w:styleId="TableLastLine" w:customStyle="1">
    <w:name w:val="Table Last Line"/>
    <w:basedOn w:val="Normal"/>
    <w:qFormat/>
    <w:rsid w:val="00f22856"/>
    <w:pPr>
      <w:spacing w:before="120" w:after="120"/>
      <w:jc w:val="left"/>
    </w:pPr>
    <w:rPr>
      <w:sz w:val="16"/>
    </w:rPr>
  </w:style>
  <w:style w:type="paragraph" w:styleId="Table" w:customStyle="1">
    <w:name w:val="table"/>
    <w:basedOn w:val="Normal"/>
    <w:qFormat/>
    <w:rsid w:val="00f22856"/>
    <w:pPr>
      <w:spacing w:before="0" w:after="0"/>
      <w:jc w:val="left"/>
    </w:pPr>
    <w:rPr>
      <w:sz w:val="16"/>
    </w:rPr>
  </w:style>
  <w:style w:type="paragraph" w:styleId="Heading2b" w:customStyle="1">
    <w:name w:val="heading 2b"/>
    <w:basedOn w:val="Normal"/>
    <w:qFormat/>
    <w:rsid w:val="00f22856"/>
    <w:pPr>
      <w:spacing w:before="0" w:after="120"/>
    </w:pPr>
    <w:rPr/>
  </w:style>
  <w:style w:type="paragraph" w:styleId="Normalitalic" w:customStyle="1">
    <w:name w:val="Normal_italic"/>
    <w:basedOn w:val="Normal"/>
    <w:qFormat/>
    <w:rsid w:val="00f22856"/>
    <w:pPr/>
    <w:rPr>
      <w:i/>
    </w:rPr>
  </w:style>
  <w:style w:type="paragraph" w:styleId="Tableindent" w:customStyle="1">
    <w:name w:val="Table indent"/>
    <w:basedOn w:val="TableFirstLine"/>
    <w:qFormat/>
    <w:rsid w:val="00f22856"/>
    <w:pPr>
      <w:ind w:left="170" w:hanging="0"/>
    </w:pPr>
    <w:rPr/>
  </w:style>
  <w:style w:type="paragraph" w:styleId="BalloonText">
    <w:name w:val="Balloon Text"/>
    <w:basedOn w:val="Normal"/>
    <w:semiHidden/>
    <w:qFormat/>
    <w:rsid w:val="00f22856"/>
    <w:pPr/>
    <w:rPr>
      <w:rFonts w:ascii="Tahoma" w:hAnsi="Tahoma" w:cs="Tahoma"/>
      <w:sz w:val="16"/>
      <w:szCs w:val="16"/>
    </w:rPr>
  </w:style>
  <w:style w:type="paragraph" w:styleId="BodyText2">
    <w:name w:val="Body Text 2"/>
    <w:basedOn w:val="Normal"/>
    <w:qFormat/>
    <w:rsid w:val="00742cd3"/>
    <w:pPr>
      <w:keepNext/>
      <w:spacing w:lineRule="atLeast" w:line="240" w:before="120" w:after="0"/>
    </w:pPr>
    <w:rPr>
      <w:rFonts w:ascii="Arial" w:hAnsi="Arial"/>
      <w:i/>
      <w:sz w:val="24"/>
      <w:u w:val="single"/>
      <w:lang w:val="sk-SK" w:eastAsia="sk-SK"/>
    </w:rPr>
  </w:style>
  <w:style w:type="paragraph" w:styleId="Dotabulky" w:customStyle="1">
    <w:name w:val="do tabulky"/>
    <w:basedOn w:val="TextBody"/>
    <w:qFormat/>
    <w:rsid w:val="00742cd3"/>
    <w:pPr>
      <w:keepNext/>
      <w:spacing w:before="40" w:after="0"/>
    </w:pPr>
    <w:rPr>
      <w:sz w:val="24"/>
      <w:szCs w:val="24"/>
      <w:lang w:val="sk-SK" w:eastAsia="sk-SK"/>
    </w:rPr>
  </w:style>
  <w:style w:type="paragraph" w:styleId="Lines" w:customStyle="1">
    <w:name w:val="line_s"/>
    <w:basedOn w:val="Normal"/>
    <w:autoRedefine/>
    <w:qFormat/>
    <w:rsid w:val="00e7199a"/>
    <w:pPr>
      <w:keepNext/>
      <w:pBdr>
        <w:bottom w:val="single" w:sz="4" w:space="0" w:color="00000A"/>
      </w:pBdr>
      <w:spacing w:before="0" w:after="0"/>
      <w:jc w:val="left"/>
    </w:pPr>
    <w:rPr>
      <w:rFonts w:ascii="Arial" w:hAnsi="Arial" w:cs="Arial"/>
      <w:b/>
      <w:i/>
      <w:szCs w:val="24"/>
      <w:lang w:val="sk-SK" w:eastAsia="sk-SK"/>
    </w:rPr>
  </w:style>
  <w:style w:type="paragraph" w:styleId="BodyTextIndent3">
    <w:name w:val="Body Text Indent 3"/>
    <w:basedOn w:val="Normal"/>
    <w:qFormat/>
    <w:rsid w:val="004d0bd2"/>
    <w:pPr>
      <w:spacing w:before="0" w:after="120"/>
      <w:ind w:left="283" w:hanging="0"/>
    </w:pPr>
    <w:rPr>
      <w:sz w:val="16"/>
      <w:szCs w:val="16"/>
    </w:rPr>
  </w:style>
  <w:style w:type="paragraph" w:styleId="Odstavecbezcisla" w:customStyle="1">
    <w:name w:val="odstavecbezcisla"/>
    <w:link w:val="odstavecbezcislaChar"/>
    <w:qFormat/>
    <w:rsid w:val="004d0bd2"/>
    <w:pPr>
      <w:keepNext/>
      <w:widowControl w:val="false"/>
      <w:suppressAutoHyphens w:val="true"/>
      <w:bidi w:val="0"/>
      <w:spacing w:before="0" w:after="0"/>
      <w:ind w:left="426" w:hanging="0"/>
      <w:jc w:val="left"/>
    </w:pPr>
    <w:rPr>
      <w:rFonts w:ascii="Times New Roman" w:hAnsi="Times New Roman" w:eastAsia="Times New Roman" w:cs="Times New Roman"/>
      <w:iCs/>
      <w:color w:val="00000A"/>
      <w:sz w:val="20"/>
      <w:szCs w:val="24"/>
      <w:lang w:val="sk-SK" w:eastAsia="sk-SK" w:bidi="ar-SA"/>
    </w:rPr>
  </w:style>
  <w:style w:type="paragraph" w:styleId="BodyText3">
    <w:name w:val="Body Text 3"/>
    <w:basedOn w:val="Normal"/>
    <w:qFormat/>
    <w:rsid w:val="004d0bd2"/>
    <w:pPr>
      <w:spacing w:before="0" w:after="120"/>
    </w:pPr>
    <w:rPr>
      <w:sz w:val="16"/>
      <w:szCs w:val="16"/>
    </w:rPr>
  </w:style>
  <w:style w:type="paragraph" w:styleId="Normal8pt" w:customStyle="1">
    <w:name w:val="Normal + 8 pt"/>
    <w:basedOn w:val="Normal"/>
    <w:qFormat/>
    <w:rsid w:val="000f5f56"/>
    <w:pPr>
      <w:keepNext/>
      <w:spacing w:before="0" w:after="0"/>
      <w:jc w:val="right"/>
    </w:pPr>
    <w:rPr>
      <w:b/>
      <w:bCs/>
      <w:sz w:val="16"/>
      <w:szCs w:val="16"/>
      <w:lang w:val="sk-SK" w:eastAsia="sk-SK"/>
    </w:rPr>
  </w:style>
  <w:style w:type="paragraph" w:styleId="Xl79" w:customStyle="1">
    <w:name w:val="xl79"/>
    <w:basedOn w:val="Normal"/>
    <w:qFormat/>
    <w:rsid w:val="00d97508"/>
    <w:pPr>
      <w:keepNext/>
      <w:spacing w:beforeAutospacing="1" w:afterAutospacing="1"/>
      <w:jc w:val="right"/>
    </w:pPr>
    <w:rPr>
      <w:rFonts w:ascii="Arial Unicode MS" w:hAnsi="Arial Unicode MS" w:eastAsia="Arial Unicode MS" w:cs="Tahoma"/>
      <w:sz w:val="24"/>
      <w:szCs w:val="24"/>
      <w:lang w:val="sk-SK" w:eastAsia="sk-SK"/>
    </w:rPr>
  </w:style>
  <w:style w:type="paragraph" w:styleId="TextBodyIndent">
    <w:name w:val="Text Body Indent"/>
    <w:basedOn w:val="Normal"/>
    <w:rsid w:val="00063304"/>
    <w:pPr>
      <w:spacing w:before="0" w:after="120"/>
      <w:ind w:left="283" w:hanging="0"/>
    </w:pPr>
    <w:rPr/>
  </w:style>
  <w:style w:type="paragraph" w:styleId="Footnotetext">
    <w:name w:val="footnote text"/>
    <w:basedOn w:val="Normal"/>
    <w:semiHidden/>
    <w:qFormat/>
    <w:rsid w:val="00063304"/>
    <w:pPr>
      <w:keepNext/>
      <w:spacing w:before="0" w:after="0"/>
      <w:jc w:val="left"/>
    </w:pPr>
    <w:rPr>
      <w:lang w:val="sk-SK" w:eastAsia="sk-SK"/>
    </w:rPr>
  </w:style>
  <w:style w:type="paragraph" w:styleId="StyleStyleodstavecbezcislaItalicRedLeft075cmItalic" w:customStyle="1">
    <w:name w:val="Style Style odstavecbezcisla + Italic Red Left:  075 cm + Italic"/>
    <w:basedOn w:val="Normal"/>
    <w:qFormat/>
    <w:rsid w:val="000a5a10"/>
    <w:pPr>
      <w:keepNext/>
      <w:spacing w:before="0" w:after="0"/>
      <w:ind w:left="425" w:hanging="0"/>
    </w:pPr>
    <w:rPr>
      <w:iCs/>
      <w:color w:val="333399"/>
      <w:lang w:val="sk-SK" w:eastAsia="sk-SK"/>
    </w:rPr>
  </w:style>
  <w:style w:type="paragraph" w:styleId="StyleodstavecbezcislaItalicRed" w:customStyle="1">
    <w:name w:val="Style odstavecbezcisla + Italic Red"/>
    <w:basedOn w:val="Odstavecbezcisla"/>
    <w:link w:val="StyleodstavecbezcislaItalicRedChar"/>
    <w:qFormat/>
    <w:rsid w:val="008b5be2"/>
    <w:pPr/>
    <w:rPr>
      <w:color w:val="333399"/>
    </w:rPr>
  </w:style>
  <w:style w:type="paragraph" w:styleId="Zkladntext" w:customStyle="1">
    <w:name w:val="Základní text"/>
    <w:qFormat/>
    <w:rsid w:val="00ff7782"/>
    <w:pPr>
      <w:widowControl/>
      <w:suppressAutoHyphens w:val="true"/>
      <w:bidi w:val="0"/>
      <w:spacing w:before="144" w:after="144"/>
      <w:ind w:firstLine="709"/>
      <w:jc w:val="both"/>
    </w:pPr>
    <w:rPr>
      <w:rFonts w:ascii="Times New Roman" w:hAnsi="Times New Roman" w:eastAsia="Times New Roman" w:cs="Times New Roman"/>
      <w:color w:val="000000"/>
      <w:sz w:val="24"/>
      <w:szCs w:val="20"/>
      <w:lang w:val="sk-SK" w:eastAsia="sk-SK" w:bidi="ar-SA"/>
    </w:rPr>
  </w:style>
  <w:style w:type="paragraph" w:styleId="Pismenka" w:customStyle="1">
    <w:name w:val="Pismenka"/>
    <w:basedOn w:val="TextBody"/>
    <w:qFormat/>
    <w:rsid w:val="00295714"/>
    <w:pPr>
      <w:keepNext/>
      <w:tabs>
        <w:tab w:val="left" w:pos="426" w:leader="none"/>
        <w:tab w:val="left" w:pos="454" w:leader="none"/>
      </w:tabs>
      <w:spacing w:before="0" w:after="0"/>
      <w:ind w:left="426" w:hanging="426"/>
      <w:jc w:val="both"/>
    </w:pPr>
    <w:rPr>
      <w:b/>
      <w:sz w:val="18"/>
      <w:lang w:val="sk-SK"/>
    </w:rPr>
  </w:style>
  <w:style w:type="paragraph" w:styleId="Tabulka" w:customStyle="1">
    <w:name w:val="Tabulka"/>
    <w:basedOn w:val="Normal"/>
    <w:qFormat/>
    <w:rsid w:val="00955f91"/>
    <w:pPr>
      <w:keepNext/>
      <w:spacing w:before="0" w:after="0"/>
      <w:jc w:val="left"/>
    </w:pPr>
    <w:rPr>
      <w:color w:val="000000"/>
      <w:sz w:val="18"/>
      <w:lang w:val="sk-SK"/>
    </w:rPr>
  </w:style>
  <w:style w:type="paragraph" w:styleId="Title">
    <w:name w:val="Title"/>
    <w:basedOn w:val="Normal"/>
    <w:link w:val="NzovChar"/>
    <w:uiPriority w:val="99"/>
    <w:qFormat/>
    <w:rsid w:val="003d4520"/>
    <w:pPr>
      <w:spacing w:beforeAutospacing="1" w:after="220"/>
      <w:jc w:val="center"/>
      <w:outlineLvl w:val="0"/>
    </w:pPr>
    <w:rPr>
      <w:rFonts w:ascii="Arial Narrow" w:hAnsi="Arial Narrow"/>
      <w:b/>
      <w:bCs/>
      <w:sz w:val="22"/>
      <w:szCs w:val="32"/>
      <w:lang w:val="sk-SK"/>
    </w:rPr>
  </w:style>
  <w:style w:type="paragraph" w:styleId="Normal1" w:customStyle="1">
    <w:name w:val="Normal1"/>
    <w:basedOn w:val="Normal"/>
    <w:qFormat/>
    <w:rsid w:val="00901d05"/>
    <w:pPr>
      <w:keepNext/>
      <w:widowControl w:val="false"/>
      <w:suppressAutoHyphens w:val="true"/>
      <w:spacing w:before="0" w:after="0"/>
      <w:jc w:val="left"/>
    </w:pPr>
    <w:rPr>
      <w:lang w:val="sk-SK" w:eastAsia="sk-SK" w:bidi="sk-SK"/>
    </w:rPr>
  </w:style>
  <w:style w:type="paragraph" w:styleId="Tableheader1" w:customStyle="1">
    <w:name w:val="table header"/>
    <w:basedOn w:val="Normal1"/>
    <w:qFormat/>
    <w:rsid w:val="00901d05"/>
    <w:pPr>
      <w:jc w:val="center"/>
    </w:pPr>
    <w:rPr>
      <w:rFonts w:ascii="Verdana" w:hAnsi="Verdana" w:eastAsia="Verdana" w:cs="Verdana"/>
      <w:b/>
      <w:bCs/>
      <w:i/>
      <w:iCs/>
      <w:sz w:val="15"/>
      <w:szCs w:val="15"/>
    </w:rPr>
  </w:style>
  <w:style w:type="paragraph" w:styleId="FrameContents">
    <w:name w:val="Frame Contents"/>
    <w:basedOn w:val="Normal"/>
    <w:qFormat/>
    <w:pPr/>
    <w:rPr/>
  </w:style>
  <w:style w:type="paragraph" w:styleId="Quotations">
    <w:name w:val="Quotations"/>
    <w:basedOn w:val="Normal"/>
    <w:qFormat/>
    <w:pPr/>
    <w:rPr/>
  </w:style>
  <w:style w:type="paragraph" w:styleId="Subtitle">
    <w:name w:val="Subtitle"/>
    <w:basedOn w:val="Heading"/>
    <w:qFormat/>
    <w:pPr/>
    <w:rPr/>
  </w:style>
  <w:style w:type="paragraph" w:styleId="TableContents">
    <w:name w:val="Table Contents"/>
    <w:basedOn w:val="Normal"/>
    <w:qFormat/>
    <w:pPr/>
    <w:rPr/>
  </w:style>
  <w:style w:type="paragraph" w:styleId="TableHeading">
    <w:name w:val="Table Heading"/>
    <w:basedOn w:val="TableContents"/>
    <w:qFormat/>
    <w:pPr/>
    <w:rPr/>
  </w:style>
  <w:style w:type="numbering" w:styleId="NoList" w:default="1">
    <w:name w:val="No List"/>
    <w:uiPriority w:val="99"/>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table" w:styleId="Mriekatabuky">
    <w:name w:val="Table Grid"/>
    <w:basedOn w:val="Normlnatabuka"/>
    <w:uiPriority w:val="59"/>
    <w:rsid w:val="00a50e87"/>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1BFAA0-B016-4BD1-8C56-CB5A4E50DA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2</TotalTime>
  <Application>LibreOffice/4.4.4.3$Windows_x86 LibreOffice_project/2c39ebcf046445232b798108aa8a7e7d89552ea8</Application>
  <Paragraphs>145</Paragraphs>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2012-03-22T08:10:00Z</dcterms:created>
  <dc:creator>Ernst &amp; Young</dc:creator>
  <dc:language>sk-SK</dc:language>
  <cp:lastPrinted>2012-03-27T14:23:00Z</cp:lastPrinted>
  <dcterms:modified xsi:type="dcterms:W3CDTF">2017-07-25T15:54:27Z</dcterms:modified>
  <cp:revision>89</cp:revision>
  <dc:title>účetní jednotka</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