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4945" w:rsidRDefault="00CE4945"/>
    <w:p w:rsidR="00DA221C" w:rsidRDefault="00DA221C" w:rsidP="00DA221C">
      <w:pPr>
        <w:spacing w:after="0" w:line="240" w:lineRule="auto"/>
        <w:rPr>
          <w:b/>
          <w:sz w:val="24"/>
          <w:szCs w:val="24"/>
          <w:u w:val="single"/>
        </w:rPr>
      </w:pPr>
      <w:r w:rsidRPr="00DA221C">
        <w:rPr>
          <w:b/>
          <w:sz w:val="24"/>
          <w:szCs w:val="24"/>
          <w:u w:val="single"/>
        </w:rPr>
        <w:t>Poznámky k 30.04.201</w:t>
      </w:r>
      <w:r w:rsidR="00BB1ABC">
        <w:rPr>
          <w:b/>
          <w:sz w:val="24"/>
          <w:szCs w:val="24"/>
          <w:u w:val="single"/>
        </w:rPr>
        <w:t>7</w:t>
      </w:r>
    </w:p>
    <w:p w:rsidR="00DA221C" w:rsidRDefault="00DA221C" w:rsidP="00DA221C">
      <w:pPr>
        <w:spacing w:after="0" w:line="240" w:lineRule="auto"/>
        <w:rPr>
          <w:b/>
          <w:sz w:val="24"/>
          <w:szCs w:val="24"/>
          <w:u w:val="single"/>
        </w:rPr>
      </w:pPr>
    </w:p>
    <w:p w:rsidR="00DA221C" w:rsidRPr="0011246B" w:rsidRDefault="00DA221C" w:rsidP="00DA221C">
      <w:pPr>
        <w:spacing w:after="0" w:line="240" w:lineRule="auto"/>
        <w:rPr>
          <w:b/>
          <w:sz w:val="24"/>
          <w:szCs w:val="24"/>
          <w:u w:val="single"/>
        </w:rPr>
      </w:pPr>
      <w:r w:rsidRPr="0011246B">
        <w:rPr>
          <w:b/>
          <w:sz w:val="24"/>
          <w:szCs w:val="24"/>
          <w:u w:val="single"/>
        </w:rPr>
        <w:t xml:space="preserve">A. </w:t>
      </w:r>
      <w:r w:rsidR="0036244B" w:rsidRPr="0011246B">
        <w:rPr>
          <w:b/>
          <w:sz w:val="24"/>
          <w:szCs w:val="24"/>
          <w:u w:val="single"/>
        </w:rPr>
        <w:t>VŠEOBECNÉ INFORMÁCIE</w:t>
      </w:r>
    </w:p>
    <w:p w:rsidR="00DA221C" w:rsidRDefault="00DA221C" w:rsidP="00DA221C">
      <w:pPr>
        <w:spacing w:after="0" w:line="240" w:lineRule="auto"/>
        <w:rPr>
          <w:b/>
          <w:sz w:val="24"/>
          <w:szCs w:val="24"/>
        </w:rPr>
      </w:pPr>
    </w:p>
    <w:p w:rsidR="00DA221C" w:rsidRDefault="00DA221C" w:rsidP="00505DFB">
      <w:pPr>
        <w:spacing w:after="0" w:line="240" w:lineRule="auto"/>
        <w:jc w:val="both"/>
        <w:rPr>
          <w:b/>
          <w:sz w:val="24"/>
          <w:szCs w:val="24"/>
        </w:rPr>
      </w:pPr>
      <w:r>
        <w:rPr>
          <w:b/>
          <w:sz w:val="24"/>
          <w:szCs w:val="24"/>
        </w:rPr>
        <w:t>1. Obchodné meno a sídlo spoločnosti</w:t>
      </w:r>
    </w:p>
    <w:p w:rsidR="00DA221C" w:rsidRDefault="00DA221C" w:rsidP="00505DFB">
      <w:pPr>
        <w:spacing w:after="0" w:line="240" w:lineRule="auto"/>
        <w:jc w:val="both"/>
        <w:rPr>
          <w:sz w:val="24"/>
          <w:szCs w:val="24"/>
        </w:rPr>
      </w:pPr>
      <w:r>
        <w:rPr>
          <w:sz w:val="24"/>
          <w:szCs w:val="24"/>
        </w:rPr>
        <w:t>VT – Real, s.r.o.</w:t>
      </w:r>
    </w:p>
    <w:p w:rsidR="00DA221C" w:rsidRDefault="00DA221C" w:rsidP="00505DFB">
      <w:pPr>
        <w:spacing w:after="0" w:line="240" w:lineRule="auto"/>
        <w:jc w:val="both"/>
        <w:rPr>
          <w:sz w:val="24"/>
          <w:szCs w:val="24"/>
        </w:rPr>
      </w:pPr>
      <w:r>
        <w:rPr>
          <w:sz w:val="24"/>
          <w:szCs w:val="24"/>
        </w:rPr>
        <w:t>Rusovská cesta 16</w:t>
      </w:r>
    </w:p>
    <w:p w:rsidR="00DA221C" w:rsidRDefault="00DA221C" w:rsidP="00505DFB">
      <w:pPr>
        <w:spacing w:after="0" w:line="240" w:lineRule="auto"/>
        <w:jc w:val="both"/>
        <w:rPr>
          <w:sz w:val="24"/>
          <w:szCs w:val="24"/>
        </w:rPr>
      </w:pPr>
      <w:r>
        <w:rPr>
          <w:sz w:val="24"/>
          <w:szCs w:val="24"/>
        </w:rPr>
        <w:t>851 01 Bratislava</w:t>
      </w:r>
    </w:p>
    <w:p w:rsidR="00DA221C" w:rsidRDefault="00DA221C" w:rsidP="00505DFB">
      <w:pPr>
        <w:spacing w:after="0" w:line="240" w:lineRule="auto"/>
        <w:jc w:val="both"/>
        <w:rPr>
          <w:sz w:val="24"/>
          <w:szCs w:val="24"/>
        </w:rPr>
      </w:pPr>
    </w:p>
    <w:p w:rsidR="00DA221C" w:rsidRDefault="00DA221C" w:rsidP="00505DFB">
      <w:pPr>
        <w:spacing w:after="0" w:line="240" w:lineRule="auto"/>
        <w:jc w:val="both"/>
        <w:rPr>
          <w:sz w:val="24"/>
          <w:szCs w:val="24"/>
        </w:rPr>
      </w:pPr>
      <w:r>
        <w:rPr>
          <w:sz w:val="24"/>
          <w:szCs w:val="24"/>
        </w:rPr>
        <w:t>Spoločnosť VT – Real, s.r.o. bola založená a do obchodného registra zapísaná 15.04.2014 (Obchodný register Okresného súdu Bratislava I v Bratislave, Vložka číslo: 98493/B).</w:t>
      </w:r>
    </w:p>
    <w:p w:rsidR="00DA221C" w:rsidRDefault="00DA221C" w:rsidP="00505DFB">
      <w:pPr>
        <w:spacing w:after="0" w:line="240" w:lineRule="auto"/>
        <w:jc w:val="both"/>
        <w:rPr>
          <w:sz w:val="24"/>
          <w:szCs w:val="24"/>
        </w:rPr>
      </w:pPr>
    </w:p>
    <w:p w:rsidR="00DA221C" w:rsidRPr="0036244B" w:rsidRDefault="00DA221C" w:rsidP="00505DFB">
      <w:pPr>
        <w:spacing w:after="0" w:line="240" w:lineRule="auto"/>
        <w:jc w:val="both"/>
        <w:rPr>
          <w:b/>
          <w:sz w:val="24"/>
          <w:szCs w:val="24"/>
        </w:rPr>
      </w:pPr>
      <w:r w:rsidRPr="0036244B">
        <w:rPr>
          <w:b/>
          <w:sz w:val="24"/>
          <w:szCs w:val="24"/>
        </w:rPr>
        <w:t>Hlavnými činnosťami Spoločnosti sú:</w:t>
      </w:r>
    </w:p>
    <w:p w:rsidR="00DA221C" w:rsidRDefault="00DA221C" w:rsidP="00505DFB">
      <w:pPr>
        <w:spacing w:after="0" w:line="240" w:lineRule="auto"/>
        <w:jc w:val="both"/>
        <w:rPr>
          <w:sz w:val="24"/>
          <w:szCs w:val="24"/>
        </w:rPr>
      </w:pPr>
      <w:r>
        <w:rPr>
          <w:sz w:val="24"/>
          <w:szCs w:val="24"/>
        </w:rPr>
        <w:t>- sprostredkovateľská činnosť v oblasti obchodu a služieb,</w:t>
      </w:r>
    </w:p>
    <w:p w:rsidR="00DA221C" w:rsidRDefault="00DA221C" w:rsidP="00505DFB">
      <w:pPr>
        <w:spacing w:after="0" w:line="240" w:lineRule="auto"/>
        <w:jc w:val="both"/>
        <w:rPr>
          <w:sz w:val="24"/>
          <w:szCs w:val="24"/>
        </w:rPr>
      </w:pPr>
      <w:r>
        <w:rPr>
          <w:sz w:val="24"/>
          <w:szCs w:val="24"/>
        </w:rPr>
        <w:t>- prenájom</w:t>
      </w:r>
      <w:r w:rsidR="00FD0BCD">
        <w:rPr>
          <w:sz w:val="24"/>
          <w:szCs w:val="24"/>
        </w:rPr>
        <w:t xml:space="preserve"> </w:t>
      </w:r>
      <w:r>
        <w:rPr>
          <w:sz w:val="24"/>
          <w:szCs w:val="24"/>
        </w:rPr>
        <w:t>nehnuteľností spojený s poskytovaním iných než základných služieb spojených s prenájmom,</w:t>
      </w:r>
    </w:p>
    <w:p w:rsidR="00DA221C" w:rsidRDefault="00DA221C" w:rsidP="00505DFB">
      <w:pPr>
        <w:spacing w:after="0" w:line="240" w:lineRule="auto"/>
        <w:jc w:val="both"/>
        <w:rPr>
          <w:sz w:val="24"/>
          <w:szCs w:val="24"/>
        </w:rPr>
      </w:pPr>
      <w:r>
        <w:rPr>
          <w:sz w:val="24"/>
          <w:szCs w:val="24"/>
        </w:rPr>
        <w:t>- prenájom nehnuteľných vecí.</w:t>
      </w:r>
    </w:p>
    <w:p w:rsidR="00DA221C" w:rsidRDefault="00DA221C" w:rsidP="00505DFB">
      <w:pPr>
        <w:spacing w:after="0" w:line="240" w:lineRule="auto"/>
        <w:jc w:val="both"/>
        <w:rPr>
          <w:sz w:val="24"/>
          <w:szCs w:val="24"/>
        </w:rPr>
      </w:pPr>
    </w:p>
    <w:p w:rsidR="00DA221C" w:rsidRDefault="00DA221C" w:rsidP="00505DFB">
      <w:pPr>
        <w:spacing w:after="0" w:line="240" w:lineRule="auto"/>
        <w:jc w:val="both"/>
        <w:rPr>
          <w:b/>
          <w:sz w:val="24"/>
          <w:szCs w:val="24"/>
        </w:rPr>
      </w:pPr>
      <w:r w:rsidRPr="00DA221C">
        <w:rPr>
          <w:b/>
          <w:sz w:val="24"/>
          <w:szCs w:val="24"/>
        </w:rPr>
        <w:t>2. Dátum schválenia účtovnej závierky za predchádzajúce účtovné obdobie</w:t>
      </w:r>
    </w:p>
    <w:p w:rsidR="00DA221C" w:rsidRDefault="00DA221C" w:rsidP="00505DFB">
      <w:pPr>
        <w:spacing w:after="0" w:line="240" w:lineRule="auto"/>
        <w:jc w:val="both"/>
        <w:rPr>
          <w:sz w:val="24"/>
          <w:szCs w:val="24"/>
        </w:rPr>
      </w:pPr>
      <w:r>
        <w:rPr>
          <w:sz w:val="24"/>
          <w:szCs w:val="24"/>
        </w:rPr>
        <w:t>Účtovná závierka za obdobie 0</w:t>
      </w:r>
      <w:r w:rsidR="00BB1ABC">
        <w:rPr>
          <w:sz w:val="24"/>
          <w:szCs w:val="24"/>
        </w:rPr>
        <w:t>5/2015</w:t>
      </w:r>
      <w:r>
        <w:rPr>
          <w:sz w:val="24"/>
          <w:szCs w:val="24"/>
        </w:rPr>
        <w:t>-04/201</w:t>
      </w:r>
      <w:r w:rsidR="00BB1ABC">
        <w:rPr>
          <w:sz w:val="24"/>
          <w:szCs w:val="24"/>
        </w:rPr>
        <w:t>6</w:t>
      </w:r>
      <w:r>
        <w:rPr>
          <w:sz w:val="24"/>
          <w:szCs w:val="24"/>
        </w:rPr>
        <w:t xml:space="preserve"> bola schválená </w:t>
      </w:r>
      <w:r w:rsidR="004E1448">
        <w:rPr>
          <w:sz w:val="24"/>
          <w:szCs w:val="24"/>
        </w:rPr>
        <w:t xml:space="preserve">valným zhromaždením Spoločnosti dňa </w:t>
      </w:r>
      <w:r w:rsidR="00BB1ABC" w:rsidRPr="00A604CB">
        <w:rPr>
          <w:sz w:val="24"/>
          <w:szCs w:val="24"/>
        </w:rPr>
        <w:t>07</w:t>
      </w:r>
      <w:r w:rsidR="004E1448" w:rsidRPr="00A604CB">
        <w:rPr>
          <w:sz w:val="24"/>
          <w:szCs w:val="24"/>
        </w:rPr>
        <w:t>.</w:t>
      </w:r>
      <w:r w:rsidR="00BB1ABC" w:rsidRPr="00A604CB">
        <w:rPr>
          <w:sz w:val="24"/>
          <w:szCs w:val="24"/>
        </w:rPr>
        <w:t>09</w:t>
      </w:r>
      <w:r w:rsidR="004E1448" w:rsidRPr="00A604CB">
        <w:rPr>
          <w:sz w:val="24"/>
          <w:szCs w:val="24"/>
        </w:rPr>
        <w:t>.201</w:t>
      </w:r>
      <w:r w:rsidR="00BB1ABC" w:rsidRPr="00A604CB">
        <w:rPr>
          <w:sz w:val="24"/>
          <w:szCs w:val="24"/>
        </w:rPr>
        <w:t>6</w:t>
      </w:r>
      <w:r w:rsidR="004E1448">
        <w:rPr>
          <w:sz w:val="24"/>
          <w:szCs w:val="24"/>
        </w:rPr>
        <w:t>.</w:t>
      </w:r>
    </w:p>
    <w:p w:rsidR="004E1448" w:rsidRDefault="004E1448" w:rsidP="00505DFB">
      <w:pPr>
        <w:spacing w:after="0" w:line="240" w:lineRule="auto"/>
        <w:jc w:val="both"/>
        <w:rPr>
          <w:sz w:val="24"/>
          <w:szCs w:val="24"/>
        </w:rPr>
      </w:pPr>
    </w:p>
    <w:p w:rsidR="004E1448" w:rsidRPr="004E1448" w:rsidRDefault="004E1448" w:rsidP="00505DFB">
      <w:pPr>
        <w:spacing w:after="0" w:line="240" w:lineRule="auto"/>
        <w:jc w:val="both"/>
        <w:rPr>
          <w:b/>
          <w:sz w:val="24"/>
          <w:szCs w:val="24"/>
        </w:rPr>
      </w:pPr>
      <w:r w:rsidRPr="004E1448">
        <w:rPr>
          <w:b/>
          <w:sz w:val="24"/>
          <w:szCs w:val="24"/>
        </w:rPr>
        <w:t>3. Právny dôvod na zostavenie účtovnej závierky</w:t>
      </w:r>
    </w:p>
    <w:p w:rsidR="004E1448" w:rsidRDefault="004E1448" w:rsidP="00505DFB">
      <w:pPr>
        <w:spacing w:after="0" w:line="240" w:lineRule="auto"/>
        <w:jc w:val="both"/>
        <w:rPr>
          <w:sz w:val="24"/>
          <w:szCs w:val="24"/>
        </w:rPr>
      </w:pPr>
      <w:r>
        <w:rPr>
          <w:sz w:val="24"/>
          <w:szCs w:val="24"/>
        </w:rPr>
        <w:t>Účtovná závierka Spoločnosti k 30.04.201</w:t>
      </w:r>
      <w:r w:rsidR="00BB1ABC">
        <w:rPr>
          <w:sz w:val="24"/>
          <w:szCs w:val="24"/>
        </w:rPr>
        <w:t>7</w:t>
      </w:r>
      <w:r>
        <w:rPr>
          <w:sz w:val="24"/>
          <w:szCs w:val="24"/>
        </w:rPr>
        <w:t xml:space="preserve"> je zostavená ako riadna účtovná závierka poda §17 odst. 6 zákona NR SR č. 431/2002 Z. z. o účtovníctve za účtovné obdobie od 01.05.201</w:t>
      </w:r>
      <w:r w:rsidR="00BB1ABC">
        <w:rPr>
          <w:sz w:val="24"/>
          <w:szCs w:val="24"/>
        </w:rPr>
        <w:t>6</w:t>
      </w:r>
      <w:r>
        <w:rPr>
          <w:sz w:val="24"/>
          <w:szCs w:val="24"/>
        </w:rPr>
        <w:t xml:space="preserve"> do 30.04.201</w:t>
      </w:r>
      <w:r w:rsidR="00BB1ABC">
        <w:rPr>
          <w:sz w:val="24"/>
          <w:szCs w:val="24"/>
        </w:rPr>
        <w:t>7</w:t>
      </w:r>
      <w:r>
        <w:rPr>
          <w:sz w:val="24"/>
          <w:szCs w:val="24"/>
        </w:rPr>
        <w:t>.</w:t>
      </w:r>
    </w:p>
    <w:p w:rsidR="004E1448" w:rsidRDefault="004E1448" w:rsidP="00505DFB">
      <w:pPr>
        <w:spacing w:after="0" w:line="240" w:lineRule="auto"/>
        <w:jc w:val="both"/>
        <w:rPr>
          <w:sz w:val="24"/>
          <w:szCs w:val="24"/>
        </w:rPr>
      </w:pPr>
    </w:p>
    <w:p w:rsidR="004E1448" w:rsidRPr="0036244B" w:rsidRDefault="004E1448" w:rsidP="00505DFB">
      <w:pPr>
        <w:spacing w:after="0" w:line="240" w:lineRule="auto"/>
        <w:jc w:val="both"/>
        <w:rPr>
          <w:b/>
          <w:sz w:val="24"/>
          <w:szCs w:val="24"/>
        </w:rPr>
      </w:pPr>
      <w:r w:rsidRPr="0036244B">
        <w:rPr>
          <w:b/>
          <w:sz w:val="24"/>
          <w:szCs w:val="24"/>
        </w:rPr>
        <w:t>4. Informácie o skupine</w:t>
      </w:r>
    </w:p>
    <w:p w:rsidR="004E1448" w:rsidRDefault="004E1448" w:rsidP="00505DFB">
      <w:pPr>
        <w:spacing w:after="0" w:line="240" w:lineRule="auto"/>
        <w:jc w:val="both"/>
        <w:rPr>
          <w:sz w:val="24"/>
          <w:szCs w:val="24"/>
        </w:rPr>
      </w:pPr>
      <w:r>
        <w:rPr>
          <w:sz w:val="24"/>
          <w:szCs w:val="24"/>
        </w:rPr>
        <w:t>Spoločnosť je súčasťou konsolidovaného celku. Zahŕňa</w:t>
      </w:r>
      <w:r w:rsidR="0036244B">
        <w:rPr>
          <w:sz w:val="24"/>
          <w:szCs w:val="24"/>
        </w:rPr>
        <w:t xml:space="preserve"> sa do konsolidovanej účtovnej závierky spoločnosti VALBEK-EU, a.s., Vaňurova 505/17, 460 07 Liberec III – Jeřáb. Konsolidovanú účtovnú závierku je možné dostať priamo v sídle uvedenej spoločnosti.</w:t>
      </w:r>
    </w:p>
    <w:p w:rsidR="0036244B" w:rsidRDefault="0036244B" w:rsidP="00505DFB">
      <w:pPr>
        <w:spacing w:after="0" w:line="240" w:lineRule="auto"/>
        <w:jc w:val="both"/>
        <w:rPr>
          <w:sz w:val="24"/>
          <w:szCs w:val="24"/>
        </w:rPr>
      </w:pPr>
    </w:p>
    <w:p w:rsidR="0036244B" w:rsidRPr="0036244B" w:rsidRDefault="0036244B" w:rsidP="00505DFB">
      <w:pPr>
        <w:spacing w:after="0" w:line="240" w:lineRule="auto"/>
        <w:jc w:val="both"/>
        <w:rPr>
          <w:b/>
          <w:sz w:val="24"/>
          <w:szCs w:val="24"/>
        </w:rPr>
      </w:pPr>
      <w:r w:rsidRPr="0036244B">
        <w:rPr>
          <w:b/>
          <w:sz w:val="24"/>
          <w:szCs w:val="24"/>
        </w:rPr>
        <w:t>5. Priemerný prepočítaný počet zamestnancov</w:t>
      </w:r>
    </w:p>
    <w:p w:rsidR="0036244B" w:rsidRDefault="0036244B" w:rsidP="00505DFB">
      <w:pPr>
        <w:spacing w:after="0" w:line="240" w:lineRule="auto"/>
        <w:jc w:val="both"/>
        <w:rPr>
          <w:sz w:val="24"/>
          <w:szCs w:val="24"/>
        </w:rPr>
      </w:pPr>
      <w:r>
        <w:rPr>
          <w:sz w:val="24"/>
          <w:szCs w:val="24"/>
        </w:rPr>
        <w:t>Spoločnosť počas obdobia od 01.05.201</w:t>
      </w:r>
      <w:r w:rsidR="00BB1ABC">
        <w:rPr>
          <w:sz w:val="24"/>
          <w:szCs w:val="24"/>
        </w:rPr>
        <w:t>6</w:t>
      </w:r>
      <w:r>
        <w:rPr>
          <w:sz w:val="24"/>
          <w:szCs w:val="24"/>
        </w:rPr>
        <w:t xml:space="preserve"> – 30.04.201</w:t>
      </w:r>
      <w:r w:rsidR="00BB1ABC">
        <w:rPr>
          <w:sz w:val="24"/>
          <w:szCs w:val="24"/>
        </w:rPr>
        <w:t>7</w:t>
      </w:r>
      <w:r>
        <w:rPr>
          <w:sz w:val="24"/>
          <w:szCs w:val="24"/>
        </w:rPr>
        <w:t xml:space="preserve"> nemala žiadnych zamestnancov.</w:t>
      </w:r>
    </w:p>
    <w:p w:rsidR="0036244B" w:rsidRDefault="0036244B" w:rsidP="00505DFB">
      <w:pPr>
        <w:spacing w:after="0" w:line="240" w:lineRule="auto"/>
        <w:jc w:val="both"/>
        <w:rPr>
          <w:sz w:val="24"/>
          <w:szCs w:val="24"/>
        </w:rPr>
      </w:pPr>
    </w:p>
    <w:p w:rsidR="0036244B" w:rsidRPr="0011246B" w:rsidRDefault="0036244B" w:rsidP="00505DFB">
      <w:pPr>
        <w:spacing w:after="0" w:line="240" w:lineRule="auto"/>
        <w:jc w:val="both"/>
        <w:rPr>
          <w:b/>
          <w:sz w:val="24"/>
          <w:szCs w:val="24"/>
          <w:u w:val="single"/>
        </w:rPr>
      </w:pPr>
      <w:r w:rsidRPr="0011246B">
        <w:rPr>
          <w:b/>
          <w:sz w:val="24"/>
          <w:szCs w:val="24"/>
          <w:u w:val="single"/>
        </w:rPr>
        <w:t>B. INFORMÁCIE O ORGÁNOCH ÚČTOVNEJ JEDNOTKY</w:t>
      </w:r>
    </w:p>
    <w:p w:rsidR="0036244B" w:rsidRDefault="0036244B" w:rsidP="00505DFB">
      <w:pPr>
        <w:spacing w:after="0" w:line="240" w:lineRule="auto"/>
        <w:jc w:val="both"/>
        <w:rPr>
          <w:b/>
          <w:sz w:val="24"/>
          <w:szCs w:val="24"/>
        </w:rPr>
      </w:pPr>
    </w:p>
    <w:p w:rsidR="0036244B" w:rsidRDefault="0036244B" w:rsidP="00505DFB">
      <w:pPr>
        <w:spacing w:after="0" w:line="240" w:lineRule="auto"/>
        <w:jc w:val="both"/>
        <w:rPr>
          <w:b/>
          <w:sz w:val="24"/>
          <w:szCs w:val="24"/>
        </w:rPr>
      </w:pPr>
      <w:r>
        <w:rPr>
          <w:b/>
          <w:sz w:val="24"/>
          <w:szCs w:val="24"/>
        </w:rPr>
        <w:t>Konatelia:</w:t>
      </w:r>
    </w:p>
    <w:p w:rsidR="0036244B" w:rsidRDefault="0036244B" w:rsidP="00505DFB">
      <w:pPr>
        <w:spacing w:after="0" w:line="240" w:lineRule="auto"/>
        <w:jc w:val="both"/>
        <w:rPr>
          <w:sz w:val="24"/>
          <w:szCs w:val="24"/>
        </w:rPr>
      </w:pPr>
      <w:r>
        <w:rPr>
          <w:sz w:val="24"/>
          <w:szCs w:val="24"/>
        </w:rPr>
        <w:t>Ing. Ľubomír Turinič</w:t>
      </w:r>
    </w:p>
    <w:p w:rsidR="0036244B" w:rsidRDefault="0036244B" w:rsidP="00505DFB">
      <w:pPr>
        <w:spacing w:after="0" w:line="240" w:lineRule="auto"/>
        <w:jc w:val="both"/>
        <w:rPr>
          <w:sz w:val="24"/>
          <w:szCs w:val="24"/>
        </w:rPr>
      </w:pPr>
      <w:r>
        <w:rPr>
          <w:sz w:val="24"/>
          <w:szCs w:val="24"/>
        </w:rPr>
        <w:t>Ing. Roman Lenner</w:t>
      </w:r>
    </w:p>
    <w:p w:rsidR="0036244B" w:rsidRDefault="0036244B" w:rsidP="00505DFB">
      <w:pPr>
        <w:spacing w:after="0" w:line="240" w:lineRule="auto"/>
        <w:jc w:val="both"/>
        <w:rPr>
          <w:sz w:val="24"/>
          <w:szCs w:val="24"/>
        </w:rPr>
      </w:pPr>
    </w:p>
    <w:p w:rsidR="0036244B" w:rsidRDefault="0036244B" w:rsidP="00505DFB">
      <w:pPr>
        <w:spacing w:after="0" w:line="240" w:lineRule="auto"/>
        <w:jc w:val="both"/>
        <w:rPr>
          <w:sz w:val="24"/>
          <w:szCs w:val="24"/>
        </w:rPr>
      </w:pPr>
      <w:r>
        <w:rPr>
          <w:sz w:val="24"/>
          <w:szCs w:val="24"/>
        </w:rPr>
        <w:t>Členom štatutárneho orgánu neboli v období od 01.05.201</w:t>
      </w:r>
      <w:r w:rsidR="00BB1ABC">
        <w:rPr>
          <w:sz w:val="24"/>
          <w:szCs w:val="24"/>
        </w:rPr>
        <w:t>6</w:t>
      </w:r>
      <w:r>
        <w:rPr>
          <w:sz w:val="24"/>
          <w:szCs w:val="24"/>
        </w:rPr>
        <w:t xml:space="preserve"> do 30.04.201</w:t>
      </w:r>
      <w:r w:rsidR="00BB1ABC">
        <w:rPr>
          <w:sz w:val="24"/>
          <w:szCs w:val="24"/>
        </w:rPr>
        <w:t>7</w:t>
      </w:r>
      <w:r>
        <w:rPr>
          <w:sz w:val="24"/>
          <w:szCs w:val="24"/>
        </w:rPr>
        <w:t xml:space="preserve"> poskytnuté žiadne pôžičky, záruky alebo iné formy zabezpečenia, ani finančné prostriedky alebo iné plnenia na súkromné účely členov, ktoré sa vyúč</w:t>
      </w:r>
      <w:r w:rsidR="00FD0BCD">
        <w:rPr>
          <w:sz w:val="24"/>
          <w:szCs w:val="24"/>
        </w:rPr>
        <w:t>t</w:t>
      </w:r>
      <w:r>
        <w:rPr>
          <w:sz w:val="24"/>
          <w:szCs w:val="24"/>
        </w:rPr>
        <w:t>ovávajú.</w:t>
      </w:r>
    </w:p>
    <w:p w:rsidR="0036244B" w:rsidRDefault="0036244B" w:rsidP="00505DFB">
      <w:pPr>
        <w:spacing w:after="0" w:line="240" w:lineRule="auto"/>
        <w:jc w:val="both"/>
        <w:rPr>
          <w:sz w:val="24"/>
          <w:szCs w:val="24"/>
        </w:rPr>
      </w:pPr>
    </w:p>
    <w:p w:rsidR="00FD0BCD" w:rsidRDefault="00FD0BCD" w:rsidP="00505DFB">
      <w:pPr>
        <w:spacing w:after="0" w:line="240" w:lineRule="auto"/>
        <w:jc w:val="both"/>
        <w:rPr>
          <w:b/>
          <w:sz w:val="24"/>
          <w:szCs w:val="24"/>
          <w:u w:val="single"/>
        </w:rPr>
      </w:pPr>
    </w:p>
    <w:p w:rsidR="00FD0BCD" w:rsidRDefault="00FD0BCD" w:rsidP="00505DFB">
      <w:pPr>
        <w:spacing w:after="0" w:line="240" w:lineRule="auto"/>
        <w:jc w:val="both"/>
        <w:rPr>
          <w:b/>
          <w:sz w:val="24"/>
          <w:szCs w:val="24"/>
          <w:u w:val="single"/>
        </w:rPr>
      </w:pPr>
    </w:p>
    <w:p w:rsidR="0036244B" w:rsidRPr="0011246B" w:rsidRDefault="0036244B" w:rsidP="00505DFB">
      <w:pPr>
        <w:spacing w:after="0" w:line="240" w:lineRule="auto"/>
        <w:jc w:val="both"/>
        <w:rPr>
          <w:b/>
          <w:sz w:val="24"/>
          <w:szCs w:val="24"/>
          <w:u w:val="single"/>
        </w:rPr>
      </w:pPr>
      <w:r w:rsidRPr="0011246B">
        <w:rPr>
          <w:b/>
          <w:sz w:val="24"/>
          <w:szCs w:val="24"/>
          <w:u w:val="single"/>
        </w:rPr>
        <w:t>C. INFORMÁCIE O PRIJATÝCH POSTUPOCH</w:t>
      </w:r>
    </w:p>
    <w:p w:rsidR="00C905EA" w:rsidRDefault="00C905EA" w:rsidP="00505DFB">
      <w:pPr>
        <w:spacing w:after="0" w:line="240" w:lineRule="auto"/>
        <w:jc w:val="both"/>
        <w:rPr>
          <w:b/>
          <w:sz w:val="24"/>
          <w:szCs w:val="24"/>
        </w:rPr>
      </w:pPr>
    </w:p>
    <w:p w:rsidR="0036244B" w:rsidRPr="004A6D0F" w:rsidRDefault="0036244B" w:rsidP="00505DFB">
      <w:pPr>
        <w:spacing w:after="0" w:line="240" w:lineRule="auto"/>
        <w:jc w:val="both"/>
        <w:rPr>
          <w:b/>
          <w:sz w:val="24"/>
          <w:szCs w:val="24"/>
        </w:rPr>
      </w:pPr>
      <w:r w:rsidRPr="004A6D0F">
        <w:rPr>
          <w:b/>
          <w:sz w:val="24"/>
          <w:szCs w:val="24"/>
        </w:rPr>
        <w:t>1. Východiská pre zostavenie účtovnej závierky</w:t>
      </w:r>
    </w:p>
    <w:p w:rsidR="0036244B" w:rsidRDefault="0036244B" w:rsidP="00505DFB">
      <w:pPr>
        <w:spacing w:after="0" w:line="240" w:lineRule="auto"/>
        <w:jc w:val="both"/>
        <w:rPr>
          <w:sz w:val="24"/>
          <w:szCs w:val="24"/>
        </w:rPr>
      </w:pPr>
      <w:r>
        <w:rPr>
          <w:sz w:val="24"/>
          <w:szCs w:val="24"/>
        </w:rPr>
        <w:t>Účtovná závierka bola zostavená za predpokladu, že Spoločnosť bude nepretržite pokračovať vo svojej činnosti.</w:t>
      </w:r>
    </w:p>
    <w:p w:rsidR="00940A86" w:rsidRDefault="00940A86" w:rsidP="00505DFB">
      <w:pPr>
        <w:spacing w:after="0" w:line="240" w:lineRule="auto"/>
        <w:jc w:val="both"/>
        <w:rPr>
          <w:sz w:val="24"/>
          <w:szCs w:val="24"/>
        </w:rPr>
      </w:pPr>
    </w:p>
    <w:p w:rsidR="00940A86" w:rsidRDefault="00940A86" w:rsidP="00505DFB">
      <w:pPr>
        <w:spacing w:after="0" w:line="240" w:lineRule="auto"/>
        <w:jc w:val="both"/>
        <w:rPr>
          <w:sz w:val="24"/>
          <w:szCs w:val="24"/>
        </w:rPr>
      </w:pPr>
      <w:r>
        <w:rPr>
          <w:sz w:val="24"/>
          <w:szCs w:val="24"/>
        </w:rPr>
        <w:t>Účtovné metódy a všeobecné účtovné zásady boli účtovnou jednotkou konzistentne aplikované. V dôsledku zmeny zákona o dani z príjmov je rezerva na overenie účtovnej závierky k 30.04.201</w:t>
      </w:r>
      <w:r w:rsidR="00BB1ABC">
        <w:rPr>
          <w:sz w:val="24"/>
          <w:szCs w:val="24"/>
        </w:rPr>
        <w:t>7</w:t>
      </w:r>
      <w:r>
        <w:rPr>
          <w:sz w:val="24"/>
          <w:szCs w:val="24"/>
        </w:rPr>
        <w:t xml:space="preserve"> vykázaná ako kratkodobá ostatná rezerva</w:t>
      </w:r>
      <w:r w:rsidR="00BB1ABC">
        <w:rPr>
          <w:sz w:val="24"/>
          <w:szCs w:val="24"/>
        </w:rPr>
        <w:t>, rovnako aj rezerva na daň z nehnuteľností pre kalendárny rok 2017.</w:t>
      </w:r>
    </w:p>
    <w:p w:rsidR="00940A86" w:rsidRDefault="00940A86" w:rsidP="00505DFB">
      <w:pPr>
        <w:spacing w:after="0" w:line="240" w:lineRule="auto"/>
        <w:jc w:val="both"/>
        <w:rPr>
          <w:sz w:val="24"/>
          <w:szCs w:val="24"/>
        </w:rPr>
      </w:pPr>
    </w:p>
    <w:p w:rsidR="00940A86" w:rsidRDefault="00940A86" w:rsidP="00505DFB">
      <w:pPr>
        <w:spacing w:after="0" w:line="240" w:lineRule="auto"/>
        <w:jc w:val="both"/>
        <w:rPr>
          <w:b/>
          <w:sz w:val="24"/>
          <w:szCs w:val="24"/>
        </w:rPr>
      </w:pPr>
      <w:r w:rsidRPr="004A6D0F">
        <w:rPr>
          <w:b/>
          <w:sz w:val="24"/>
          <w:szCs w:val="24"/>
        </w:rPr>
        <w:t>2. Informácie o charaktere a účele transakcií, ktoré sa neuvádzajú v súvahe.</w:t>
      </w:r>
    </w:p>
    <w:p w:rsidR="004A6D0F" w:rsidRPr="00C905EA" w:rsidRDefault="004A6D0F" w:rsidP="00505DFB">
      <w:pPr>
        <w:spacing w:after="0" w:line="240" w:lineRule="auto"/>
        <w:jc w:val="both"/>
        <w:rPr>
          <w:sz w:val="24"/>
          <w:szCs w:val="24"/>
        </w:rPr>
      </w:pPr>
      <w:r w:rsidRPr="00C905EA">
        <w:rPr>
          <w:sz w:val="24"/>
          <w:szCs w:val="24"/>
        </w:rPr>
        <w:t>Účtovná jednotka nemá náplň pre tento bod.</w:t>
      </w:r>
    </w:p>
    <w:p w:rsidR="004A6D0F" w:rsidRDefault="004A6D0F" w:rsidP="00505DFB">
      <w:pPr>
        <w:spacing w:after="0" w:line="240" w:lineRule="auto"/>
        <w:jc w:val="both"/>
        <w:rPr>
          <w:color w:val="FF0000"/>
          <w:sz w:val="24"/>
          <w:szCs w:val="24"/>
        </w:rPr>
      </w:pPr>
    </w:p>
    <w:p w:rsidR="004A6D0F" w:rsidRPr="00FD0BCD" w:rsidRDefault="004A6D0F" w:rsidP="00505DFB">
      <w:pPr>
        <w:spacing w:after="0" w:line="240" w:lineRule="auto"/>
        <w:jc w:val="both"/>
        <w:rPr>
          <w:b/>
          <w:sz w:val="24"/>
          <w:szCs w:val="24"/>
        </w:rPr>
      </w:pPr>
      <w:r w:rsidRPr="00FD0BCD">
        <w:rPr>
          <w:b/>
          <w:sz w:val="24"/>
          <w:szCs w:val="24"/>
        </w:rPr>
        <w:t>3. Použitie odhadov a úsudkov</w:t>
      </w:r>
    </w:p>
    <w:p w:rsidR="0036244B" w:rsidRPr="00C905EA" w:rsidRDefault="00C905EA" w:rsidP="00505DFB">
      <w:pPr>
        <w:spacing w:after="0" w:line="240" w:lineRule="auto"/>
        <w:jc w:val="both"/>
        <w:rPr>
          <w:sz w:val="24"/>
          <w:szCs w:val="24"/>
        </w:rPr>
      </w:pPr>
      <w:r w:rsidRPr="00C905EA">
        <w:rPr>
          <w:sz w:val="24"/>
          <w:szCs w:val="24"/>
        </w:rPr>
        <w:t>Účtovná jednotka nemá náplň pre tento bod.</w:t>
      </w:r>
    </w:p>
    <w:p w:rsidR="00DA221C" w:rsidRDefault="00DA221C" w:rsidP="00505DFB">
      <w:pPr>
        <w:spacing w:after="0" w:line="240" w:lineRule="auto"/>
        <w:jc w:val="both"/>
        <w:rPr>
          <w:sz w:val="24"/>
          <w:szCs w:val="24"/>
        </w:rPr>
      </w:pPr>
    </w:p>
    <w:p w:rsidR="00DA221C" w:rsidRPr="00505DFB" w:rsidRDefault="004A6D0F" w:rsidP="00505DFB">
      <w:pPr>
        <w:spacing w:after="0" w:line="240" w:lineRule="auto"/>
        <w:jc w:val="both"/>
        <w:rPr>
          <w:b/>
          <w:sz w:val="24"/>
          <w:szCs w:val="24"/>
        </w:rPr>
      </w:pPr>
      <w:r w:rsidRPr="00505DFB">
        <w:rPr>
          <w:b/>
          <w:sz w:val="24"/>
          <w:szCs w:val="24"/>
        </w:rPr>
        <w:t>4. Dlhodobý dlhodobý hmotný majetok</w:t>
      </w:r>
    </w:p>
    <w:p w:rsidR="004A6D0F" w:rsidRDefault="004A6D0F" w:rsidP="00505DFB">
      <w:pPr>
        <w:spacing w:after="0" w:line="240" w:lineRule="auto"/>
        <w:jc w:val="both"/>
        <w:rPr>
          <w:sz w:val="24"/>
          <w:szCs w:val="24"/>
        </w:rPr>
      </w:pPr>
      <w:r>
        <w:rPr>
          <w:sz w:val="24"/>
          <w:szCs w:val="24"/>
        </w:rPr>
        <w:t>Dlhodobý majetok nakupovaný sa oceňuje obstarávacou cenou, ktorá zahŕňa cenu obstarania a náklady súvisiace s obstaraním (clo, prepravu, montáž, poistné a pod.), zníženú o dobropisy, skontá, rabaty, zľavy z ceny, bonusy a pod.</w:t>
      </w:r>
    </w:p>
    <w:p w:rsidR="004A6D0F" w:rsidRDefault="004A6D0F" w:rsidP="00505DFB">
      <w:pPr>
        <w:spacing w:after="0" w:line="240" w:lineRule="auto"/>
        <w:jc w:val="both"/>
        <w:rPr>
          <w:sz w:val="24"/>
          <w:szCs w:val="24"/>
        </w:rPr>
      </w:pPr>
    </w:p>
    <w:p w:rsidR="004A6D0F" w:rsidRDefault="004A6D0F" w:rsidP="00505DFB">
      <w:pPr>
        <w:spacing w:after="0" w:line="240" w:lineRule="auto"/>
        <w:jc w:val="both"/>
        <w:rPr>
          <w:sz w:val="24"/>
          <w:szCs w:val="24"/>
        </w:rPr>
      </w:pPr>
      <w:r>
        <w:rPr>
          <w:sz w:val="24"/>
          <w:szCs w:val="24"/>
        </w:rPr>
        <w:t>Súčasťou obstarávacej ceny dlhodobého majteku nie sú úroky z úverov, ktoré vznikli do momentu uvedenia dlhodobého majetku do používania.</w:t>
      </w:r>
    </w:p>
    <w:p w:rsidR="00505DFB" w:rsidRDefault="00505DFB" w:rsidP="00505DFB">
      <w:pPr>
        <w:spacing w:after="0" w:line="240" w:lineRule="auto"/>
        <w:jc w:val="both"/>
        <w:rPr>
          <w:sz w:val="24"/>
          <w:szCs w:val="24"/>
        </w:rPr>
      </w:pPr>
    </w:p>
    <w:p w:rsidR="00505DFB" w:rsidRDefault="00505DFB" w:rsidP="00505DFB">
      <w:pPr>
        <w:spacing w:after="0" w:line="240" w:lineRule="auto"/>
        <w:jc w:val="both"/>
        <w:rPr>
          <w:sz w:val="24"/>
          <w:szCs w:val="24"/>
        </w:rPr>
      </w:pPr>
      <w:r>
        <w:rPr>
          <w:sz w:val="24"/>
          <w:szCs w:val="24"/>
        </w:rPr>
        <w:t>Odpisy dlhodobého majetku sú stanovené v Konsolidačných a účtovných pravidlách materskej spoločnosti VALBEK-EU, a.s.</w:t>
      </w:r>
      <w:r w:rsidR="00FD0BCD">
        <w:rPr>
          <w:sz w:val="24"/>
          <w:szCs w:val="24"/>
        </w:rPr>
        <w:t>.</w:t>
      </w:r>
      <w:r>
        <w:rPr>
          <w:sz w:val="24"/>
          <w:szCs w:val="24"/>
        </w:rPr>
        <w:t xml:space="preserve"> Spoločnosť sa zaoberá predovšetkým prenájmom nehnuteľností, odpisový plán nehnuteľnosti je stanovený na 30 rokov zrýchlene. Odpisovať sa začína prvým dňom mesiaca nasledujúceho po uvedení dlhodobého majetku do používania. Drobný majetok, ktorého obstarávacia cena vrátane nákladov vynaložených na obstaranie je nižšia ako 1700 Eur ale vyššia ako </w:t>
      </w:r>
      <w:r w:rsidR="00BB1ABC">
        <w:rPr>
          <w:sz w:val="24"/>
          <w:szCs w:val="24"/>
        </w:rPr>
        <w:t>4</w:t>
      </w:r>
      <w:r>
        <w:rPr>
          <w:sz w:val="24"/>
          <w:szCs w:val="24"/>
        </w:rPr>
        <w:t>00 Eur</w:t>
      </w:r>
      <w:r w:rsidR="00FD0BCD">
        <w:rPr>
          <w:sz w:val="24"/>
          <w:szCs w:val="24"/>
        </w:rPr>
        <w:t>,</w:t>
      </w:r>
      <w:r>
        <w:rPr>
          <w:sz w:val="24"/>
          <w:szCs w:val="24"/>
        </w:rPr>
        <w:t xml:space="preserve"> sa odpisuje v súlade s Konsolidačnými a účtovnými pravidlami. Drobný majetok do </w:t>
      </w:r>
      <w:r w:rsidR="00BB1ABC">
        <w:rPr>
          <w:sz w:val="24"/>
          <w:szCs w:val="24"/>
        </w:rPr>
        <w:t>4</w:t>
      </w:r>
      <w:r>
        <w:rPr>
          <w:sz w:val="24"/>
          <w:szCs w:val="24"/>
        </w:rPr>
        <w:t>00 Eur sa účtuje priamo do nákladov spoločnosti – účet 501.</w:t>
      </w:r>
    </w:p>
    <w:p w:rsidR="00505DFB" w:rsidRDefault="00505DFB" w:rsidP="00505DFB">
      <w:pPr>
        <w:spacing w:after="0" w:line="240" w:lineRule="auto"/>
        <w:jc w:val="both"/>
        <w:rPr>
          <w:sz w:val="24"/>
          <w:szCs w:val="24"/>
        </w:rPr>
      </w:pPr>
    </w:p>
    <w:p w:rsidR="00505DFB" w:rsidRDefault="00505DFB" w:rsidP="00505DFB">
      <w:pPr>
        <w:spacing w:after="0" w:line="240" w:lineRule="auto"/>
        <w:jc w:val="both"/>
        <w:rPr>
          <w:sz w:val="24"/>
          <w:szCs w:val="24"/>
        </w:rPr>
      </w:pPr>
      <w:r>
        <w:rPr>
          <w:sz w:val="24"/>
          <w:szCs w:val="24"/>
        </w:rPr>
        <w:t>Odpisy dlhodobého hmotného majetku sú stanovené vychádzajúc z predpokladanej doby jeho používania a predpokladaného priebehu jeho opotrebenia.</w:t>
      </w:r>
    </w:p>
    <w:p w:rsidR="00505DFB" w:rsidRDefault="00505DFB" w:rsidP="00505DFB">
      <w:pPr>
        <w:spacing w:after="0" w:line="240" w:lineRule="auto"/>
        <w:jc w:val="both"/>
        <w:rPr>
          <w:sz w:val="24"/>
          <w:szCs w:val="24"/>
        </w:rPr>
      </w:pPr>
      <w:r>
        <w:rPr>
          <w:sz w:val="24"/>
          <w:szCs w:val="24"/>
        </w:rPr>
        <w:t>Pozemky sa neodpisujú.</w:t>
      </w:r>
    </w:p>
    <w:p w:rsidR="00505DFB" w:rsidRDefault="00505DFB" w:rsidP="00505DFB">
      <w:pPr>
        <w:spacing w:after="0" w:line="240" w:lineRule="auto"/>
        <w:jc w:val="both"/>
        <w:rPr>
          <w:sz w:val="24"/>
          <w:szCs w:val="24"/>
        </w:rPr>
      </w:pPr>
    </w:p>
    <w:p w:rsidR="0011246B" w:rsidRPr="004552C8" w:rsidRDefault="0011246B" w:rsidP="00505DFB">
      <w:pPr>
        <w:spacing w:after="0" w:line="240" w:lineRule="auto"/>
        <w:jc w:val="both"/>
        <w:rPr>
          <w:b/>
          <w:sz w:val="24"/>
          <w:szCs w:val="24"/>
        </w:rPr>
      </w:pPr>
      <w:r w:rsidRPr="004552C8">
        <w:rPr>
          <w:b/>
          <w:sz w:val="24"/>
          <w:szCs w:val="24"/>
        </w:rPr>
        <w:t>Posúdenie zníženia hodnoty majetku</w:t>
      </w:r>
    </w:p>
    <w:p w:rsidR="0011246B" w:rsidRDefault="0011246B" w:rsidP="00505DFB">
      <w:pPr>
        <w:spacing w:after="0" w:line="240" w:lineRule="auto"/>
        <w:jc w:val="both"/>
        <w:rPr>
          <w:sz w:val="24"/>
          <w:szCs w:val="24"/>
        </w:rPr>
      </w:pPr>
      <w:r>
        <w:rPr>
          <w:sz w:val="24"/>
          <w:szCs w:val="24"/>
        </w:rPr>
        <w:t>Opravné položky sa tvoria na základe zásady opatrnosti, ak je opodstatnené predpokladať, že došlo k zníženiu hodnoty majetku oproti jeho oceneniu v účtovníctve. Opravná položka sa účtuje v sume opodstatneného predpokladu</w:t>
      </w:r>
      <w:r w:rsidR="004552C8">
        <w:rPr>
          <w:sz w:val="24"/>
          <w:szCs w:val="24"/>
        </w:rPr>
        <w:t xml:space="preserve"> zníženia hodnoty majetku oproti jeho oceneniu v účtovníctve.</w:t>
      </w:r>
    </w:p>
    <w:p w:rsidR="00366F35" w:rsidRDefault="00366F35" w:rsidP="00505DFB">
      <w:pPr>
        <w:spacing w:after="0" w:line="240" w:lineRule="auto"/>
        <w:jc w:val="both"/>
        <w:rPr>
          <w:sz w:val="24"/>
          <w:szCs w:val="24"/>
        </w:rPr>
      </w:pPr>
    </w:p>
    <w:p w:rsidR="00366F35" w:rsidRDefault="00366F35" w:rsidP="00505DFB">
      <w:pPr>
        <w:spacing w:after="0" w:line="240" w:lineRule="auto"/>
        <w:jc w:val="both"/>
        <w:rPr>
          <w:sz w:val="24"/>
          <w:szCs w:val="24"/>
        </w:rPr>
      </w:pPr>
    </w:p>
    <w:p w:rsidR="00FD0BCD" w:rsidRDefault="00FD0BCD" w:rsidP="00505DFB">
      <w:pPr>
        <w:spacing w:after="0" w:line="240" w:lineRule="auto"/>
        <w:jc w:val="both"/>
        <w:rPr>
          <w:sz w:val="24"/>
          <w:szCs w:val="24"/>
        </w:rPr>
      </w:pPr>
    </w:p>
    <w:p w:rsidR="00366F35" w:rsidRDefault="00366F35" w:rsidP="00505DFB">
      <w:pPr>
        <w:spacing w:after="0" w:line="240" w:lineRule="auto"/>
        <w:jc w:val="both"/>
        <w:rPr>
          <w:sz w:val="24"/>
          <w:szCs w:val="24"/>
        </w:rPr>
      </w:pPr>
    </w:p>
    <w:p w:rsidR="00FD0BCD" w:rsidRDefault="00FD0BCD" w:rsidP="00505DFB">
      <w:pPr>
        <w:spacing w:after="0" w:line="240" w:lineRule="auto"/>
        <w:jc w:val="both"/>
        <w:rPr>
          <w:b/>
          <w:sz w:val="24"/>
          <w:szCs w:val="24"/>
        </w:rPr>
      </w:pPr>
    </w:p>
    <w:p w:rsidR="00366F35" w:rsidRPr="00C905EA" w:rsidRDefault="0033228F" w:rsidP="00505DFB">
      <w:pPr>
        <w:spacing w:after="0" w:line="240" w:lineRule="auto"/>
        <w:jc w:val="both"/>
        <w:rPr>
          <w:b/>
          <w:sz w:val="24"/>
          <w:szCs w:val="24"/>
        </w:rPr>
      </w:pPr>
      <w:r w:rsidRPr="00C905EA">
        <w:rPr>
          <w:b/>
          <w:sz w:val="24"/>
          <w:szCs w:val="24"/>
        </w:rPr>
        <w:t>5</w:t>
      </w:r>
      <w:r w:rsidR="00366F35" w:rsidRPr="00C905EA">
        <w:rPr>
          <w:b/>
          <w:sz w:val="24"/>
          <w:szCs w:val="24"/>
        </w:rPr>
        <w:t>. Zásoby</w:t>
      </w:r>
    </w:p>
    <w:p w:rsidR="00C905EA" w:rsidRDefault="00366F35" w:rsidP="00FD0BCD">
      <w:pPr>
        <w:spacing w:after="0" w:line="240" w:lineRule="auto"/>
        <w:jc w:val="both"/>
        <w:rPr>
          <w:sz w:val="24"/>
          <w:szCs w:val="24"/>
        </w:rPr>
      </w:pPr>
      <w:r w:rsidRPr="00C905EA">
        <w:rPr>
          <w:sz w:val="24"/>
          <w:szCs w:val="24"/>
        </w:rPr>
        <w:t xml:space="preserve">Zásoby sa oceňujú obstarávacou cenou. Obstarávacia cena zahŕňa cenu, za ktorú sa zásoby obstarali a náklady súvisiace s obstaraním (clo, prepravu, poistné, provízie a pod.), zníženú </w:t>
      </w:r>
    </w:p>
    <w:p w:rsidR="00366F35" w:rsidRPr="00C905EA" w:rsidRDefault="00366F35" w:rsidP="00FD0BCD">
      <w:pPr>
        <w:spacing w:after="0" w:line="240" w:lineRule="auto"/>
        <w:jc w:val="both"/>
        <w:rPr>
          <w:sz w:val="24"/>
          <w:szCs w:val="24"/>
        </w:rPr>
      </w:pPr>
      <w:r w:rsidRPr="00C905EA">
        <w:rPr>
          <w:sz w:val="24"/>
          <w:szCs w:val="24"/>
        </w:rPr>
        <w:t>o dobropisy, skontá, rabaty, zľavy z ceny, bonusy a pod. Úroky z úverov nie sú súčasťou obstrávacej ceny.</w:t>
      </w:r>
    </w:p>
    <w:p w:rsidR="00C905EA" w:rsidRPr="00C905EA" w:rsidRDefault="00C905EA" w:rsidP="00505DFB">
      <w:pPr>
        <w:spacing w:after="0" w:line="240" w:lineRule="auto"/>
        <w:jc w:val="both"/>
        <w:rPr>
          <w:sz w:val="24"/>
          <w:szCs w:val="24"/>
        </w:rPr>
      </w:pPr>
      <w:r w:rsidRPr="00C905EA">
        <w:rPr>
          <w:sz w:val="24"/>
          <w:szCs w:val="24"/>
        </w:rPr>
        <w:t>Spoločnosť účtuje zásoby zjednodušeným spôsobom B – pri obstaraní rovno do spotreby (priamo do nákladov).</w:t>
      </w:r>
    </w:p>
    <w:p w:rsidR="00C905EA" w:rsidRDefault="00C905EA" w:rsidP="00505DFB">
      <w:pPr>
        <w:spacing w:after="0" w:line="240" w:lineRule="auto"/>
        <w:jc w:val="both"/>
        <w:rPr>
          <w:color w:val="FF0000"/>
          <w:sz w:val="24"/>
          <w:szCs w:val="24"/>
        </w:rPr>
      </w:pPr>
    </w:p>
    <w:p w:rsidR="00366F35" w:rsidRDefault="0033228F" w:rsidP="00505DFB">
      <w:pPr>
        <w:spacing w:after="0" w:line="240" w:lineRule="auto"/>
        <w:jc w:val="both"/>
        <w:rPr>
          <w:b/>
          <w:sz w:val="24"/>
          <w:szCs w:val="24"/>
        </w:rPr>
      </w:pPr>
      <w:r>
        <w:rPr>
          <w:b/>
          <w:sz w:val="24"/>
          <w:szCs w:val="24"/>
        </w:rPr>
        <w:t>6</w:t>
      </w:r>
      <w:r w:rsidR="00366F35" w:rsidRPr="00366F35">
        <w:rPr>
          <w:b/>
          <w:sz w:val="24"/>
          <w:szCs w:val="24"/>
        </w:rPr>
        <w:t>. Pohľadávky</w:t>
      </w:r>
    </w:p>
    <w:p w:rsidR="00366F35" w:rsidRPr="00366F35" w:rsidRDefault="00366F35" w:rsidP="00505DFB">
      <w:pPr>
        <w:spacing w:after="0" w:line="240" w:lineRule="auto"/>
        <w:jc w:val="both"/>
        <w:rPr>
          <w:sz w:val="24"/>
          <w:szCs w:val="24"/>
        </w:rPr>
      </w:pPr>
      <w:r w:rsidRPr="00366F35">
        <w:rPr>
          <w:sz w:val="24"/>
          <w:szCs w:val="24"/>
        </w:rPr>
        <w:t xml:space="preserve">Pohľadávky sa </w:t>
      </w:r>
      <w:r>
        <w:rPr>
          <w:sz w:val="24"/>
          <w:szCs w:val="24"/>
        </w:rPr>
        <w:t>pri ich vzniku oceňujú ich menovitou hodnotou</w:t>
      </w:r>
      <w:r w:rsidR="0033228F">
        <w:rPr>
          <w:sz w:val="24"/>
          <w:szCs w:val="24"/>
        </w:rPr>
        <w:t xml:space="preserve">. </w:t>
      </w:r>
    </w:p>
    <w:p w:rsidR="00366F35" w:rsidRDefault="00366F35" w:rsidP="00505DFB">
      <w:pPr>
        <w:spacing w:after="0" w:line="240" w:lineRule="auto"/>
        <w:jc w:val="both"/>
        <w:rPr>
          <w:sz w:val="24"/>
          <w:szCs w:val="24"/>
        </w:rPr>
      </w:pPr>
    </w:p>
    <w:p w:rsidR="0033228F" w:rsidRPr="0033228F" w:rsidRDefault="0033228F" w:rsidP="00505DFB">
      <w:pPr>
        <w:spacing w:after="0" w:line="240" w:lineRule="auto"/>
        <w:jc w:val="both"/>
        <w:rPr>
          <w:b/>
          <w:sz w:val="24"/>
          <w:szCs w:val="24"/>
        </w:rPr>
      </w:pPr>
      <w:r w:rsidRPr="0033228F">
        <w:rPr>
          <w:b/>
          <w:sz w:val="24"/>
          <w:szCs w:val="24"/>
        </w:rPr>
        <w:t>7. Finančné účty</w:t>
      </w:r>
    </w:p>
    <w:p w:rsidR="0033228F" w:rsidRDefault="0033228F" w:rsidP="00505DFB">
      <w:pPr>
        <w:spacing w:after="0" w:line="240" w:lineRule="auto"/>
        <w:jc w:val="both"/>
        <w:rPr>
          <w:sz w:val="24"/>
          <w:szCs w:val="24"/>
        </w:rPr>
      </w:pPr>
      <w:r>
        <w:rPr>
          <w:sz w:val="24"/>
          <w:szCs w:val="24"/>
        </w:rPr>
        <w:t>Finančné účty tvorí peňažná hotovosť, ceniny, zostatky na bankovom účte a oceňujú sa menovitou hodnotou. Zníženie ich hodnoty sa vyjadruje opravnou položkou.</w:t>
      </w:r>
    </w:p>
    <w:p w:rsidR="0033228F" w:rsidRDefault="0033228F" w:rsidP="00505DFB">
      <w:pPr>
        <w:spacing w:after="0" w:line="240" w:lineRule="auto"/>
        <w:jc w:val="both"/>
        <w:rPr>
          <w:sz w:val="24"/>
          <w:szCs w:val="24"/>
        </w:rPr>
      </w:pPr>
    </w:p>
    <w:p w:rsidR="0033228F" w:rsidRPr="0033228F" w:rsidRDefault="0033228F" w:rsidP="00505DFB">
      <w:pPr>
        <w:spacing w:after="0" w:line="240" w:lineRule="auto"/>
        <w:jc w:val="both"/>
        <w:rPr>
          <w:b/>
          <w:sz w:val="24"/>
          <w:szCs w:val="24"/>
        </w:rPr>
      </w:pPr>
      <w:r w:rsidRPr="0033228F">
        <w:rPr>
          <w:b/>
          <w:sz w:val="24"/>
          <w:szCs w:val="24"/>
        </w:rPr>
        <w:t>8. Náklady budúcich období a príjmy budúcich období</w:t>
      </w:r>
    </w:p>
    <w:p w:rsidR="00505DFB" w:rsidRDefault="0033228F" w:rsidP="00505DFB">
      <w:pPr>
        <w:spacing w:after="0" w:line="240" w:lineRule="auto"/>
        <w:jc w:val="both"/>
        <w:rPr>
          <w:sz w:val="24"/>
          <w:szCs w:val="24"/>
        </w:rPr>
      </w:pPr>
      <w:r>
        <w:rPr>
          <w:sz w:val="24"/>
          <w:szCs w:val="24"/>
        </w:rPr>
        <w:t>Náklady budúcich období a príjmy budúcich období sa vykazujú vo výške, ktorá je potrebná na dodržanie zásady vecnej a časovej súvislosti s účtovným obdobím.</w:t>
      </w:r>
    </w:p>
    <w:p w:rsidR="0033228F" w:rsidRDefault="0033228F" w:rsidP="00505DFB">
      <w:pPr>
        <w:spacing w:after="0" w:line="240" w:lineRule="auto"/>
        <w:jc w:val="both"/>
        <w:rPr>
          <w:sz w:val="24"/>
          <w:szCs w:val="24"/>
        </w:rPr>
      </w:pPr>
    </w:p>
    <w:p w:rsidR="0033228F" w:rsidRPr="0033228F" w:rsidRDefault="0033228F" w:rsidP="00505DFB">
      <w:pPr>
        <w:spacing w:after="0" w:line="240" w:lineRule="auto"/>
        <w:jc w:val="both"/>
        <w:rPr>
          <w:b/>
          <w:sz w:val="24"/>
          <w:szCs w:val="24"/>
        </w:rPr>
      </w:pPr>
      <w:r w:rsidRPr="0033228F">
        <w:rPr>
          <w:b/>
          <w:sz w:val="24"/>
          <w:szCs w:val="24"/>
        </w:rPr>
        <w:t>9. Zníženie hodnoty majetku a opravné položky</w:t>
      </w:r>
    </w:p>
    <w:p w:rsidR="0033228F" w:rsidRDefault="0033228F" w:rsidP="00505DFB">
      <w:pPr>
        <w:spacing w:after="0" w:line="240" w:lineRule="auto"/>
        <w:jc w:val="both"/>
        <w:rPr>
          <w:sz w:val="24"/>
          <w:szCs w:val="24"/>
        </w:rPr>
      </w:pPr>
      <w:r>
        <w:rPr>
          <w:sz w:val="24"/>
          <w:szCs w:val="24"/>
        </w:rPr>
        <w:t>Opravné položky sa tvoria na základe zásady opatrnosti, ak je opodstatnené predpokladať, že došlo k zníženiu hodnoty majetku oproti jeho oceneniu v účtovníctve. Opravné položky sa zrušia alebo zmení sa ich výška, ak nastane zmena predpokladu zníženia hodnoty.</w:t>
      </w:r>
    </w:p>
    <w:p w:rsidR="00EA73F9" w:rsidRDefault="00EA73F9" w:rsidP="00505DFB">
      <w:pPr>
        <w:spacing w:after="0" w:line="240" w:lineRule="auto"/>
        <w:jc w:val="both"/>
        <w:rPr>
          <w:sz w:val="24"/>
          <w:szCs w:val="24"/>
        </w:rPr>
      </w:pPr>
    </w:p>
    <w:p w:rsidR="00EA73F9" w:rsidRPr="00EA73F9" w:rsidRDefault="00EA73F9" w:rsidP="00505DFB">
      <w:pPr>
        <w:spacing w:after="0" w:line="240" w:lineRule="auto"/>
        <w:jc w:val="both"/>
        <w:rPr>
          <w:b/>
          <w:sz w:val="24"/>
          <w:szCs w:val="24"/>
        </w:rPr>
      </w:pPr>
      <w:r w:rsidRPr="00EA73F9">
        <w:rPr>
          <w:b/>
          <w:sz w:val="24"/>
          <w:szCs w:val="24"/>
        </w:rPr>
        <w:t>10. Záväzky</w:t>
      </w:r>
    </w:p>
    <w:p w:rsidR="00EA73F9" w:rsidRPr="00EA73F9" w:rsidRDefault="00EA73F9" w:rsidP="00EA73F9">
      <w:pPr>
        <w:pStyle w:val="Zkladntext"/>
        <w:ind w:left="0"/>
        <w:rPr>
          <w:rFonts w:asciiTheme="minorHAnsi" w:hAnsiTheme="minorHAnsi"/>
          <w:sz w:val="22"/>
          <w:szCs w:val="22"/>
        </w:rPr>
      </w:pPr>
      <w:r w:rsidRPr="00EA73F9">
        <w:rPr>
          <w:rFonts w:asciiTheme="minorHAnsi" w:hAnsiTheme="minorHAnsi"/>
          <w:sz w:val="22"/>
          <w:szCs w:val="22"/>
        </w:rPr>
        <w:t>Záväzky pri ich vzniku sa oceňujú menovitou hodnotou. Záväzky pri ich prevzatí sa oceňujú obstarávacou cenou.</w:t>
      </w:r>
      <w:r w:rsidR="00FD0BCD">
        <w:rPr>
          <w:rFonts w:asciiTheme="minorHAnsi" w:hAnsiTheme="minorHAnsi"/>
          <w:sz w:val="22"/>
          <w:szCs w:val="22"/>
        </w:rPr>
        <w:t xml:space="preserve"> </w:t>
      </w:r>
      <w:r w:rsidRPr="00EA73F9">
        <w:rPr>
          <w:rFonts w:asciiTheme="minorHAnsi" w:hAnsiTheme="minorHAnsi"/>
          <w:sz w:val="22"/>
          <w:szCs w:val="22"/>
        </w:rPr>
        <w:t xml:space="preserve"> Ak sa pri inventarizácii zistí, že suma záväzkov je iná ako ich výška v účtovníctve, uvedú sa záväzky v účtovníctve a v účtovnej závierke v tomto zistenom ocenení. </w:t>
      </w:r>
    </w:p>
    <w:p w:rsidR="00505DFB" w:rsidRDefault="00505DFB" w:rsidP="00DA221C">
      <w:pPr>
        <w:spacing w:after="0" w:line="240" w:lineRule="auto"/>
        <w:rPr>
          <w:color w:val="FF0000"/>
          <w:sz w:val="24"/>
          <w:szCs w:val="24"/>
        </w:rPr>
      </w:pPr>
    </w:p>
    <w:p w:rsidR="00EA73F9" w:rsidRDefault="00EA73F9" w:rsidP="00DA221C">
      <w:pPr>
        <w:spacing w:after="0" w:line="240" w:lineRule="auto"/>
        <w:rPr>
          <w:b/>
          <w:sz w:val="24"/>
          <w:szCs w:val="24"/>
        </w:rPr>
      </w:pPr>
      <w:r w:rsidRPr="00EA73F9">
        <w:rPr>
          <w:b/>
          <w:sz w:val="24"/>
          <w:szCs w:val="24"/>
        </w:rPr>
        <w:t>11. Rezervy</w:t>
      </w:r>
    </w:p>
    <w:p w:rsidR="00EA73F9" w:rsidRPr="00EA73F9" w:rsidRDefault="00EA73F9" w:rsidP="00EA73F9">
      <w:pPr>
        <w:pStyle w:val="Zkladntext"/>
        <w:ind w:left="0"/>
        <w:rPr>
          <w:rFonts w:asciiTheme="minorHAnsi" w:hAnsiTheme="minorHAnsi"/>
          <w:b/>
          <w:sz w:val="22"/>
          <w:szCs w:val="22"/>
        </w:rPr>
      </w:pPr>
      <w:r w:rsidRPr="00EA73F9">
        <w:rPr>
          <w:rFonts w:asciiTheme="minorHAnsi" w:hAnsi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EA73F9" w:rsidRPr="00EA73F9" w:rsidRDefault="00EA73F9" w:rsidP="00EA73F9">
      <w:pPr>
        <w:pStyle w:val="Zkladntext"/>
        <w:rPr>
          <w:rFonts w:asciiTheme="minorHAnsi" w:hAnsiTheme="minorHAnsi"/>
          <w:b/>
          <w:sz w:val="22"/>
          <w:szCs w:val="22"/>
        </w:rPr>
      </w:pPr>
    </w:p>
    <w:p w:rsidR="00EA73F9" w:rsidRPr="00EA73F9" w:rsidRDefault="00EA73F9" w:rsidP="00EA73F9">
      <w:pPr>
        <w:pStyle w:val="Zkladntext"/>
        <w:ind w:left="0"/>
        <w:rPr>
          <w:rFonts w:asciiTheme="minorHAnsi" w:hAnsiTheme="minorHAnsi"/>
          <w:b/>
          <w:sz w:val="22"/>
          <w:szCs w:val="22"/>
        </w:rPr>
      </w:pPr>
      <w:r w:rsidRPr="00EA73F9">
        <w:rPr>
          <w:rFonts w:asciiTheme="minorHAnsi" w:hAnsiTheme="minorHAnsi"/>
          <w:sz w:val="22"/>
          <w:szCs w:val="22"/>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EA73F9" w:rsidRPr="00EA73F9" w:rsidRDefault="00EA73F9" w:rsidP="00EA73F9">
      <w:pPr>
        <w:pStyle w:val="Zkladntext"/>
        <w:rPr>
          <w:rFonts w:asciiTheme="minorHAnsi" w:hAnsiTheme="minorHAnsi"/>
          <w:b/>
          <w:sz w:val="22"/>
          <w:szCs w:val="22"/>
        </w:rPr>
      </w:pPr>
    </w:p>
    <w:p w:rsidR="00EA73F9" w:rsidRPr="00EA73F9" w:rsidRDefault="00EA73F9" w:rsidP="00EA73F9">
      <w:pPr>
        <w:pStyle w:val="Zkladntext"/>
        <w:ind w:left="0"/>
        <w:jc w:val="left"/>
        <w:rPr>
          <w:rFonts w:asciiTheme="minorHAnsi" w:hAnsiTheme="minorHAnsi"/>
          <w:b/>
          <w:sz w:val="24"/>
          <w:szCs w:val="24"/>
        </w:rPr>
      </w:pPr>
      <w:r w:rsidRPr="00EA73F9">
        <w:rPr>
          <w:rFonts w:asciiTheme="minorHAnsi" w:hAnsiTheme="minorHAnsi"/>
          <w:b/>
          <w:sz w:val="24"/>
          <w:szCs w:val="24"/>
        </w:rPr>
        <w:t>Nevyfakturované dodávky majetku</w:t>
      </w:r>
    </w:p>
    <w:p w:rsidR="00EA73F9" w:rsidRDefault="00EA73F9" w:rsidP="00EA73F9">
      <w:pPr>
        <w:pStyle w:val="Zkladntext"/>
        <w:ind w:left="0"/>
        <w:rPr>
          <w:rFonts w:asciiTheme="minorHAnsi" w:hAnsiTheme="minorHAnsi"/>
          <w:sz w:val="24"/>
          <w:szCs w:val="24"/>
        </w:rPr>
      </w:pPr>
      <w:r w:rsidRPr="00EA73F9">
        <w:rPr>
          <w:rFonts w:asciiTheme="minorHAnsi" w:hAnsiTheme="minorHAnsi"/>
          <w:sz w:val="24"/>
          <w:szCs w:val="24"/>
        </w:rPr>
        <w:t>Rezervy na nevyfakturované dodávky majetku sa nevykazujú s vplyvom na výsledok hospodárenia a oceňujú sa v odhadovanej výške záväzku.</w:t>
      </w:r>
    </w:p>
    <w:p w:rsidR="00EA73F9" w:rsidRDefault="00EA73F9" w:rsidP="00EA73F9">
      <w:pPr>
        <w:pStyle w:val="Zkladntext"/>
        <w:ind w:left="0"/>
        <w:rPr>
          <w:rFonts w:asciiTheme="minorHAnsi" w:hAnsiTheme="minorHAnsi"/>
          <w:sz w:val="24"/>
          <w:szCs w:val="24"/>
        </w:rPr>
      </w:pPr>
    </w:p>
    <w:p w:rsidR="00EA73F9" w:rsidRDefault="00EA73F9" w:rsidP="00EA73F9">
      <w:pPr>
        <w:pStyle w:val="Zkladntext"/>
        <w:ind w:left="0"/>
        <w:rPr>
          <w:rFonts w:asciiTheme="minorHAnsi" w:hAnsiTheme="minorHAnsi"/>
          <w:sz w:val="24"/>
          <w:szCs w:val="24"/>
        </w:rPr>
      </w:pPr>
    </w:p>
    <w:p w:rsidR="00EA73F9" w:rsidRDefault="00EA73F9" w:rsidP="00EA73F9">
      <w:pPr>
        <w:pStyle w:val="Zkladntext"/>
        <w:ind w:left="0"/>
        <w:rPr>
          <w:rFonts w:asciiTheme="minorHAnsi" w:hAnsiTheme="minorHAnsi"/>
          <w:sz w:val="24"/>
          <w:szCs w:val="24"/>
        </w:rPr>
      </w:pPr>
    </w:p>
    <w:p w:rsidR="00EA73F9" w:rsidRDefault="00EA73F9" w:rsidP="00EA73F9">
      <w:pPr>
        <w:pStyle w:val="Zkladntext"/>
        <w:ind w:left="0"/>
        <w:rPr>
          <w:rFonts w:asciiTheme="minorHAnsi" w:hAnsiTheme="minorHAnsi"/>
          <w:sz w:val="24"/>
          <w:szCs w:val="24"/>
        </w:rPr>
      </w:pPr>
    </w:p>
    <w:p w:rsidR="00C905EA" w:rsidRDefault="00C905EA" w:rsidP="00EA73F9">
      <w:pPr>
        <w:pStyle w:val="Zkladntext"/>
        <w:ind w:left="0"/>
        <w:rPr>
          <w:rFonts w:asciiTheme="minorHAnsi" w:hAnsiTheme="minorHAnsi"/>
          <w:sz w:val="24"/>
          <w:szCs w:val="24"/>
        </w:rPr>
      </w:pPr>
    </w:p>
    <w:p w:rsidR="00C905EA" w:rsidRDefault="00C905EA" w:rsidP="00EA73F9">
      <w:pPr>
        <w:pStyle w:val="Pismenka"/>
        <w:numPr>
          <w:ilvl w:val="0"/>
          <w:numId w:val="0"/>
        </w:numPr>
        <w:ind w:left="360" w:hanging="360"/>
        <w:rPr>
          <w:rFonts w:asciiTheme="minorHAnsi" w:hAnsiTheme="minorHAnsi"/>
          <w:sz w:val="24"/>
          <w:szCs w:val="24"/>
        </w:rPr>
      </w:pPr>
    </w:p>
    <w:p w:rsidR="00EA73F9" w:rsidRPr="00EA73F9" w:rsidRDefault="00EA73F9" w:rsidP="00EA73F9">
      <w:pPr>
        <w:pStyle w:val="Pismenka"/>
        <w:numPr>
          <w:ilvl w:val="0"/>
          <w:numId w:val="0"/>
        </w:numPr>
        <w:ind w:left="360" w:hanging="360"/>
        <w:rPr>
          <w:rFonts w:asciiTheme="minorHAnsi" w:hAnsiTheme="minorHAnsi"/>
          <w:sz w:val="24"/>
          <w:szCs w:val="24"/>
        </w:rPr>
      </w:pPr>
      <w:r w:rsidRPr="00EA73F9">
        <w:rPr>
          <w:rFonts w:asciiTheme="minorHAnsi" w:hAnsiTheme="minorHAnsi"/>
          <w:sz w:val="24"/>
          <w:szCs w:val="24"/>
        </w:rPr>
        <w:t>12. Výdavky budúcich období a výnosy budúcich období</w:t>
      </w:r>
    </w:p>
    <w:p w:rsidR="00EA73F9" w:rsidRDefault="00EA73F9" w:rsidP="00EA73F9">
      <w:pPr>
        <w:pStyle w:val="Zkladntext"/>
        <w:ind w:left="0"/>
        <w:rPr>
          <w:rFonts w:asciiTheme="minorHAnsi" w:hAnsiTheme="minorHAnsi"/>
          <w:sz w:val="24"/>
          <w:szCs w:val="24"/>
        </w:rPr>
      </w:pPr>
      <w:r w:rsidRPr="00EA73F9">
        <w:rPr>
          <w:rFonts w:asciiTheme="minorHAnsi" w:hAnsiTheme="minorHAnsi"/>
          <w:sz w:val="24"/>
          <w:szCs w:val="24"/>
        </w:rPr>
        <w:t>Výdavky budúcich období a výnosy budúcich období sa vykazujú vo výške, ktorá je potrebná na dodržanie zásady vecnej a časovej súvislosti s účtovným obdobím.</w:t>
      </w:r>
    </w:p>
    <w:p w:rsidR="00EA73F9" w:rsidRDefault="00EA73F9" w:rsidP="00EA73F9">
      <w:pPr>
        <w:pStyle w:val="Zkladntext"/>
        <w:ind w:left="0"/>
        <w:rPr>
          <w:rFonts w:asciiTheme="minorHAnsi" w:hAnsiTheme="minorHAnsi"/>
          <w:sz w:val="24"/>
          <w:szCs w:val="24"/>
        </w:rPr>
      </w:pPr>
    </w:p>
    <w:p w:rsidR="00EA73F9" w:rsidRDefault="00EA73F9" w:rsidP="00EA73F9">
      <w:pPr>
        <w:pStyle w:val="Zkladntext"/>
        <w:ind w:left="0"/>
        <w:rPr>
          <w:rFonts w:asciiTheme="minorHAnsi" w:hAnsiTheme="minorHAnsi"/>
          <w:b/>
          <w:sz w:val="24"/>
          <w:szCs w:val="24"/>
        </w:rPr>
      </w:pPr>
      <w:r w:rsidRPr="00EA73F9">
        <w:rPr>
          <w:rFonts w:asciiTheme="minorHAnsi" w:hAnsiTheme="minorHAnsi"/>
          <w:b/>
          <w:sz w:val="24"/>
          <w:szCs w:val="24"/>
        </w:rPr>
        <w:t>13. Cudzia mena</w:t>
      </w:r>
    </w:p>
    <w:p w:rsidR="00EA73F9" w:rsidRPr="00EA73F9" w:rsidRDefault="00EA73F9" w:rsidP="00EA73F9">
      <w:pPr>
        <w:pStyle w:val="Zkladntext"/>
        <w:ind w:left="0"/>
        <w:rPr>
          <w:rFonts w:asciiTheme="minorHAnsi" w:hAnsiTheme="minorHAnsi"/>
          <w:sz w:val="24"/>
          <w:szCs w:val="24"/>
        </w:rPr>
      </w:pPr>
      <w:r w:rsidRPr="00EA73F9">
        <w:rPr>
          <w:rFonts w:asciiTheme="minorHAnsi" w:hAnsiTheme="minorHAnsi"/>
          <w:sz w:val="24"/>
          <w:szCs w:val="24"/>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EA73F9" w:rsidRPr="00EA73F9" w:rsidRDefault="00EA73F9" w:rsidP="00EA73F9">
      <w:pPr>
        <w:pStyle w:val="Zkladntext"/>
        <w:rPr>
          <w:rFonts w:asciiTheme="minorHAnsi" w:hAnsiTheme="minorHAnsi"/>
          <w:sz w:val="24"/>
          <w:szCs w:val="24"/>
        </w:rPr>
      </w:pPr>
    </w:p>
    <w:p w:rsidR="00EA73F9" w:rsidRPr="00EA73F9" w:rsidRDefault="00EA73F9" w:rsidP="00EA73F9">
      <w:pPr>
        <w:pStyle w:val="Zkladntext"/>
        <w:ind w:left="0"/>
        <w:rPr>
          <w:rFonts w:asciiTheme="minorHAnsi" w:hAnsiTheme="minorHAnsi"/>
          <w:sz w:val="24"/>
          <w:szCs w:val="24"/>
        </w:rPr>
      </w:pPr>
      <w:r w:rsidRPr="00EA73F9">
        <w:rPr>
          <w:rFonts w:asciiTheme="minorHAnsi" w:hAnsiTheme="minorHAnsi"/>
          <w:sz w:val="24"/>
          <w:szCs w:val="24"/>
        </w:rPr>
        <w:t>Na ocenenie prírastku cudzej meny nakúpenej za euro sa použije kurz, za ktorý bola táto cudzia mena nakúpená.</w:t>
      </w:r>
    </w:p>
    <w:p w:rsidR="00EA73F9" w:rsidRPr="00EA73F9" w:rsidRDefault="00EA73F9" w:rsidP="00EA73F9">
      <w:pPr>
        <w:pStyle w:val="Zkladntext"/>
        <w:rPr>
          <w:rFonts w:asciiTheme="minorHAnsi" w:hAnsiTheme="minorHAnsi"/>
          <w:sz w:val="24"/>
          <w:szCs w:val="24"/>
        </w:rPr>
      </w:pPr>
    </w:p>
    <w:p w:rsidR="00EA73F9" w:rsidRDefault="00EA73F9" w:rsidP="00EA73F9">
      <w:pPr>
        <w:pStyle w:val="Zkladntext"/>
        <w:ind w:left="0"/>
        <w:rPr>
          <w:rFonts w:asciiTheme="minorHAnsi" w:hAnsiTheme="minorHAnsi"/>
          <w:sz w:val="24"/>
          <w:szCs w:val="24"/>
        </w:rPr>
      </w:pPr>
      <w:r w:rsidRPr="00EA73F9">
        <w:rPr>
          <w:rFonts w:asciiTheme="minorHAnsi" w:hAnsiTheme="minorHAnsi"/>
          <w:sz w:val="24"/>
          <w:szCs w:val="24"/>
        </w:rPr>
        <w:t xml:space="preserve">Na ocenenie prírastku cudzej meny nakúpenej za inú cudziu menu sa použije hodnota inej cudzej meny v eurách alebo na ocenenie prírastku cudzej meny v eurách sa použije referenčný kurz v deň uzavretia obchodu. </w:t>
      </w:r>
    </w:p>
    <w:p w:rsidR="00EA73F9" w:rsidRDefault="00EA73F9" w:rsidP="00EA73F9">
      <w:pPr>
        <w:pStyle w:val="Zkladntext"/>
        <w:ind w:left="0"/>
        <w:rPr>
          <w:rFonts w:asciiTheme="minorHAnsi" w:hAnsiTheme="minorHAnsi"/>
          <w:sz w:val="24"/>
          <w:szCs w:val="24"/>
        </w:rPr>
      </w:pPr>
    </w:p>
    <w:p w:rsidR="00EA73F9" w:rsidRPr="00EA73F9" w:rsidRDefault="00EA73F9" w:rsidP="00EA73F9">
      <w:pPr>
        <w:pStyle w:val="Zkladntext"/>
        <w:ind w:left="0"/>
        <w:rPr>
          <w:rFonts w:asciiTheme="minorHAnsi" w:hAnsiTheme="minorHAnsi"/>
          <w:sz w:val="24"/>
          <w:szCs w:val="24"/>
        </w:rPr>
      </w:pPr>
      <w:r w:rsidRPr="00EA73F9">
        <w:rPr>
          <w:rFonts w:asciiTheme="minorHAnsi" w:hAnsiTheme="minorHAnsi"/>
          <w:sz w:val="24"/>
          <w:szCs w:val="24"/>
        </w:rPr>
        <w:t>Na úbytok rovnakej cudzej meny v hotovosti alebo z devízového účtu sa na prepočet cudzej meny na eurá použije</w:t>
      </w:r>
      <w:r w:rsidR="00FD0BCD">
        <w:rPr>
          <w:rFonts w:asciiTheme="minorHAnsi" w:hAnsiTheme="minorHAnsi"/>
          <w:sz w:val="24"/>
          <w:szCs w:val="24"/>
        </w:rPr>
        <w:t xml:space="preserve"> </w:t>
      </w:r>
      <w:r w:rsidRPr="00EA73F9">
        <w:rPr>
          <w:rFonts w:asciiTheme="minorHAnsi" w:hAnsiTheme="minorHAnsi"/>
          <w:sz w:val="24"/>
          <w:szCs w:val="24"/>
        </w:rPr>
        <w:t>referenčný výmenný kurz určený a vyhlásený Európskou centrálnou bankou alebo Národnou bankou Slovenska v deň predchádzajúci dňu</w:t>
      </w:r>
      <w:r w:rsidR="00FD0BCD">
        <w:rPr>
          <w:rFonts w:asciiTheme="minorHAnsi" w:hAnsiTheme="minorHAnsi"/>
          <w:sz w:val="24"/>
          <w:szCs w:val="24"/>
        </w:rPr>
        <w:t xml:space="preserve"> uskutočnenia účtovného prípadu.</w:t>
      </w:r>
    </w:p>
    <w:p w:rsidR="00EA73F9" w:rsidRDefault="00EA73F9" w:rsidP="00EA73F9">
      <w:pPr>
        <w:pStyle w:val="Zkladntext"/>
        <w:ind w:left="0"/>
        <w:rPr>
          <w:rFonts w:asciiTheme="minorHAnsi" w:hAnsiTheme="minorHAnsi"/>
          <w:sz w:val="24"/>
          <w:szCs w:val="24"/>
        </w:rPr>
      </w:pPr>
    </w:p>
    <w:p w:rsidR="00434525" w:rsidRDefault="00434525" w:rsidP="00FD0BCD">
      <w:pPr>
        <w:pStyle w:val="Pismenka"/>
        <w:numPr>
          <w:ilvl w:val="0"/>
          <w:numId w:val="0"/>
        </w:numPr>
        <w:ind w:left="360" w:hanging="360"/>
        <w:rPr>
          <w:rFonts w:asciiTheme="minorHAnsi" w:hAnsiTheme="minorHAnsi"/>
          <w:b w:val="0"/>
          <w:sz w:val="24"/>
          <w:szCs w:val="24"/>
        </w:rPr>
      </w:pPr>
      <w:r w:rsidRPr="00434525">
        <w:rPr>
          <w:rFonts w:asciiTheme="minorHAnsi" w:hAnsiTheme="minorHAnsi"/>
          <w:b w:val="0"/>
          <w:sz w:val="24"/>
          <w:szCs w:val="24"/>
        </w:rPr>
        <w:t>Prijaté a poskytnuté preddavky v cudzej mene prostredníctvom účtu vedeného v tejto cudzej</w:t>
      </w:r>
    </w:p>
    <w:p w:rsidR="00434525" w:rsidRDefault="00434525" w:rsidP="00FD0BCD">
      <w:pPr>
        <w:pStyle w:val="Pismenka"/>
        <w:numPr>
          <w:ilvl w:val="0"/>
          <w:numId w:val="0"/>
        </w:numPr>
        <w:ind w:left="360" w:hanging="360"/>
        <w:rPr>
          <w:rFonts w:asciiTheme="minorHAnsi" w:hAnsiTheme="minorHAnsi"/>
          <w:b w:val="0"/>
          <w:sz w:val="24"/>
          <w:szCs w:val="24"/>
        </w:rPr>
      </w:pPr>
      <w:r w:rsidRPr="00434525">
        <w:rPr>
          <w:rFonts w:asciiTheme="minorHAnsi" w:hAnsiTheme="minorHAnsi"/>
          <w:b w:val="0"/>
          <w:sz w:val="24"/>
          <w:szCs w:val="24"/>
        </w:rPr>
        <w:t>mene sa prepočítavajú na menu euro refe</w:t>
      </w:r>
      <w:r>
        <w:rPr>
          <w:rFonts w:asciiTheme="minorHAnsi" w:hAnsiTheme="minorHAnsi"/>
          <w:b w:val="0"/>
          <w:sz w:val="24"/>
          <w:szCs w:val="24"/>
        </w:rPr>
        <w:t>renčným výmenným kurzom určeným</w:t>
      </w:r>
    </w:p>
    <w:p w:rsidR="00434525" w:rsidRDefault="00434525" w:rsidP="00FD0BCD">
      <w:pPr>
        <w:pStyle w:val="Pismenka"/>
        <w:numPr>
          <w:ilvl w:val="0"/>
          <w:numId w:val="0"/>
        </w:numPr>
        <w:ind w:left="360" w:hanging="360"/>
        <w:rPr>
          <w:rFonts w:asciiTheme="minorHAnsi" w:hAnsiTheme="minorHAnsi"/>
          <w:b w:val="0"/>
          <w:sz w:val="24"/>
          <w:szCs w:val="24"/>
        </w:rPr>
      </w:pPr>
      <w:r>
        <w:rPr>
          <w:rFonts w:asciiTheme="minorHAnsi" w:hAnsiTheme="minorHAnsi"/>
          <w:b w:val="0"/>
          <w:sz w:val="24"/>
          <w:szCs w:val="24"/>
        </w:rPr>
        <w:t>a</w:t>
      </w:r>
      <w:r w:rsidRPr="00434525">
        <w:rPr>
          <w:rFonts w:asciiTheme="minorHAnsi" w:hAnsiTheme="minorHAnsi"/>
          <w:b w:val="0"/>
          <w:sz w:val="24"/>
          <w:szCs w:val="24"/>
        </w:rPr>
        <w:t xml:space="preserve"> vyhláseným Európskou centrálnou bankou alebo </w:t>
      </w:r>
      <w:r>
        <w:rPr>
          <w:rFonts w:asciiTheme="minorHAnsi" w:hAnsiTheme="minorHAnsi"/>
          <w:b w:val="0"/>
          <w:sz w:val="24"/>
          <w:szCs w:val="24"/>
        </w:rPr>
        <w:t>Národnou bankou Slovenska v deň</w:t>
      </w:r>
    </w:p>
    <w:p w:rsidR="00434525" w:rsidRDefault="00434525" w:rsidP="00FD0BCD">
      <w:pPr>
        <w:pStyle w:val="Pismenka"/>
        <w:numPr>
          <w:ilvl w:val="0"/>
          <w:numId w:val="0"/>
        </w:numPr>
        <w:ind w:left="360" w:hanging="360"/>
        <w:rPr>
          <w:rFonts w:asciiTheme="minorHAnsi" w:hAnsiTheme="minorHAnsi"/>
          <w:b w:val="0"/>
          <w:sz w:val="24"/>
          <w:szCs w:val="24"/>
        </w:rPr>
      </w:pPr>
      <w:r w:rsidRPr="00434525">
        <w:rPr>
          <w:rFonts w:asciiTheme="minorHAnsi" w:hAnsiTheme="minorHAnsi"/>
          <w:b w:val="0"/>
          <w:sz w:val="24"/>
          <w:szCs w:val="24"/>
        </w:rPr>
        <w:t xml:space="preserve">predchádzajúci dňu uskutočnenia účtovného prípadu. </w:t>
      </w:r>
    </w:p>
    <w:p w:rsidR="00434525" w:rsidRDefault="00434525" w:rsidP="00434525">
      <w:pPr>
        <w:pStyle w:val="Pismenka"/>
        <w:numPr>
          <w:ilvl w:val="0"/>
          <w:numId w:val="0"/>
        </w:numPr>
        <w:ind w:left="360" w:hanging="360"/>
        <w:rPr>
          <w:rFonts w:asciiTheme="minorHAnsi" w:hAnsiTheme="minorHAnsi"/>
          <w:b w:val="0"/>
          <w:sz w:val="24"/>
          <w:szCs w:val="24"/>
        </w:rPr>
      </w:pPr>
    </w:p>
    <w:p w:rsidR="00434525" w:rsidRDefault="00434525" w:rsidP="00434525">
      <w:pPr>
        <w:pStyle w:val="Pismenka"/>
        <w:numPr>
          <w:ilvl w:val="0"/>
          <w:numId w:val="0"/>
        </w:numPr>
        <w:ind w:left="360" w:hanging="360"/>
        <w:rPr>
          <w:rFonts w:asciiTheme="minorHAnsi" w:hAnsiTheme="minorHAnsi"/>
          <w:b w:val="0"/>
          <w:sz w:val="24"/>
          <w:szCs w:val="24"/>
        </w:rPr>
      </w:pPr>
      <w:r w:rsidRPr="00434525">
        <w:rPr>
          <w:rFonts w:asciiTheme="minorHAnsi" w:hAnsiTheme="minorHAnsi"/>
          <w:b w:val="0"/>
          <w:sz w:val="24"/>
          <w:szCs w:val="24"/>
        </w:rPr>
        <w:t>Prijaté a poskytnuté preddavky v cudzej mene na účet zriadený v eurách a z účtu zriadené</w:t>
      </w:r>
      <w:r>
        <w:rPr>
          <w:rFonts w:asciiTheme="minorHAnsi" w:hAnsiTheme="minorHAnsi"/>
          <w:b w:val="0"/>
          <w:sz w:val="24"/>
          <w:szCs w:val="24"/>
        </w:rPr>
        <w:t>ho</w:t>
      </w:r>
    </w:p>
    <w:p w:rsidR="00434525" w:rsidRDefault="00434525" w:rsidP="00434525">
      <w:pPr>
        <w:pStyle w:val="Pismenka"/>
        <w:numPr>
          <w:ilvl w:val="0"/>
          <w:numId w:val="0"/>
        </w:numPr>
        <w:ind w:left="360" w:hanging="360"/>
        <w:rPr>
          <w:rFonts w:asciiTheme="minorHAnsi" w:hAnsiTheme="minorHAnsi"/>
          <w:b w:val="0"/>
          <w:sz w:val="24"/>
          <w:szCs w:val="24"/>
        </w:rPr>
      </w:pPr>
      <w:r w:rsidRPr="00434525">
        <w:rPr>
          <w:rFonts w:asciiTheme="minorHAnsi" w:hAnsiTheme="minorHAnsi"/>
          <w:b w:val="0"/>
          <w:sz w:val="24"/>
          <w:szCs w:val="24"/>
        </w:rPr>
        <w:t>v eurách sa prepočítavajú na</w:t>
      </w:r>
      <w:r>
        <w:rPr>
          <w:rFonts w:asciiTheme="minorHAnsi" w:hAnsiTheme="minorHAnsi"/>
          <w:b w:val="0"/>
          <w:sz w:val="24"/>
          <w:szCs w:val="24"/>
        </w:rPr>
        <w:t xml:space="preserve"> </w:t>
      </w:r>
      <w:r w:rsidRPr="00434525">
        <w:rPr>
          <w:rFonts w:asciiTheme="minorHAnsi" w:hAnsiTheme="minorHAnsi"/>
          <w:b w:val="0"/>
          <w:sz w:val="24"/>
          <w:szCs w:val="24"/>
        </w:rPr>
        <w:t>menu euro kurzom, za ktorý bo</w:t>
      </w:r>
      <w:r>
        <w:rPr>
          <w:rFonts w:asciiTheme="minorHAnsi" w:hAnsiTheme="minorHAnsi"/>
          <w:b w:val="0"/>
          <w:sz w:val="24"/>
          <w:szCs w:val="24"/>
        </w:rPr>
        <w:t>li tieto hodnoty nakúpené alebo</w:t>
      </w:r>
    </w:p>
    <w:p w:rsidR="00434525" w:rsidRDefault="00434525" w:rsidP="00434525">
      <w:pPr>
        <w:pStyle w:val="Pismenka"/>
        <w:numPr>
          <w:ilvl w:val="0"/>
          <w:numId w:val="0"/>
        </w:numPr>
        <w:ind w:left="360" w:hanging="360"/>
        <w:rPr>
          <w:rFonts w:asciiTheme="minorHAnsi" w:hAnsiTheme="minorHAnsi"/>
          <w:b w:val="0"/>
          <w:sz w:val="24"/>
          <w:szCs w:val="24"/>
        </w:rPr>
      </w:pPr>
      <w:r w:rsidRPr="00434525">
        <w:rPr>
          <w:rFonts w:asciiTheme="minorHAnsi" w:hAnsiTheme="minorHAnsi"/>
          <w:b w:val="0"/>
          <w:sz w:val="24"/>
          <w:szCs w:val="24"/>
        </w:rPr>
        <w:t>predané</w:t>
      </w:r>
      <w:r>
        <w:rPr>
          <w:rFonts w:asciiTheme="minorHAnsi" w:hAnsiTheme="minorHAnsi"/>
          <w:b w:val="0"/>
          <w:sz w:val="24"/>
          <w:szCs w:val="24"/>
        </w:rPr>
        <w:t>.</w:t>
      </w:r>
    </w:p>
    <w:p w:rsidR="00434525" w:rsidRDefault="00434525" w:rsidP="00434525">
      <w:pPr>
        <w:pStyle w:val="Pismenka"/>
        <w:numPr>
          <w:ilvl w:val="0"/>
          <w:numId w:val="0"/>
        </w:numPr>
        <w:ind w:left="360" w:hanging="360"/>
        <w:rPr>
          <w:rFonts w:asciiTheme="minorHAnsi" w:hAnsiTheme="minorHAnsi"/>
          <w:b w:val="0"/>
          <w:sz w:val="24"/>
          <w:szCs w:val="24"/>
        </w:rPr>
      </w:pPr>
    </w:p>
    <w:p w:rsidR="00434525" w:rsidRDefault="00434525" w:rsidP="00434525">
      <w:pPr>
        <w:pStyle w:val="Pismenka"/>
        <w:numPr>
          <w:ilvl w:val="0"/>
          <w:numId w:val="0"/>
        </w:numPr>
        <w:ind w:left="360" w:hanging="360"/>
        <w:rPr>
          <w:rFonts w:asciiTheme="minorHAnsi" w:hAnsiTheme="minorHAnsi"/>
          <w:b w:val="0"/>
          <w:sz w:val="24"/>
          <w:szCs w:val="24"/>
        </w:rPr>
      </w:pPr>
      <w:r w:rsidRPr="00434525">
        <w:rPr>
          <w:rFonts w:asciiTheme="minorHAnsi" w:hAnsiTheme="minorHAnsi"/>
          <w:b w:val="0"/>
          <w:sz w:val="24"/>
          <w:szCs w:val="24"/>
        </w:rPr>
        <w:t>Majetok a záväzky vyjadrené v cudzej mene (okrem prijatých a poskytnutých predd</w:t>
      </w:r>
      <w:r>
        <w:rPr>
          <w:rFonts w:asciiTheme="minorHAnsi" w:hAnsiTheme="minorHAnsi"/>
          <w:b w:val="0"/>
          <w:sz w:val="24"/>
          <w:szCs w:val="24"/>
        </w:rPr>
        <w:t>avkov) sa</w:t>
      </w:r>
    </w:p>
    <w:p w:rsidR="00434525" w:rsidRDefault="00434525" w:rsidP="00434525">
      <w:pPr>
        <w:pStyle w:val="Pismenka"/>
        <w:numPr>
          <w:ilvl w:val="0"/>
          <w:numId w:val="0"/>
        </w:numPr>
        <w:ind w:left="360" w:hanging="360"/>
        <w:rPr>
          <w:rFonts w:asciiTheme="minorHAnsi" w:hAnsiTheme="minorHAnsi"/>
          <w:b w:val="0"/>
          <w:sz w:val="24"/>
          <w:szCs w:val="24"/>
        </w:rPr>
      </w:pPr>
      <w:r w:rsidRPr="00434525">
        <w:rPr>
          <w:rFonts w:asciiTheme="minorHAnsi" w:hAnsiTheme="minorHAnsi"/>
          <w:b w:val="0"/>
          <w:sz w:val="24"/>
          <w:szCs w:val="24"/>
        </w:rPr>
        <w:t>ku dňu, ku ktorému sa</w:t>
      </w:r>
      <w:r>
        <w:rPr>
          <w:rFonts w:asciiTheme="minorHAnsi" w:hAnsiTheme="minorHAnsi"/>
          <w:b w:val="0"/>
          <w:sz w:val="24"/>
          <w:szCs w:val="24"/>
        </w:rPr>
        <w:t xml:space="preserve"> </w:t>
      </w:r>
      <w:r w:rsidRPr="00434525">
        <w:rPr>
          <w:rFonts w:asciiTheme="minorHAnsi" w:hAnsiTheme="minorHAnsi"/>
          <w:b w:val="0"/>
          <w:sz w:val="24"/>
          <w:szCs w:val="24"/>
        </w:rPr>
        <w:t>zostavuje účtovná závierka, prepočí</w:t>
      </w:r>
      <w:r>
        <w:rPr>
          <w:rFonts w:asciiTheme="minorHAnsi" w:hAnsiTheme="minorHAnsi"/>
          <w:b w:val="0"/>
          <w:sz w:val="24"/>
          <w:szCs w:val="24"/>
        </w:rPr>
        <w:t>tavajú na menu euro referenčným</w:t>
      </w:r>
    </w:p>
    <w:p w:rsidR="00434525" w:rsidRDefault="00434525" w:rsidP="00434525">
      <w:pPr>
        <w:pStyle w:val="Pismenka"/>
        <w:numPr>
          <w:ilvl w:val="0"/>
          <w:numId w:val="0"/>
        </w:numPr>
        <w:ind w:left="360" w:hanging="360"/>
        <w:rPr>
          <w:rFonts w:asciiTheme="minorHAnsi" w:hAnsiTheme="minorHAnsi"/>
          <w:b w:val="0"/>
          <w:sz w:val="24"/>
          <w:szCs w:val="24"/>
        </w:rPr>
      </w:pPr>
      <w:r w:rsidRPr="00434525">
        <w:rPr>
          <w:rFonts w:asciiTheme="minorHAnsi" w:hAnsiTheme="minorHAnsi"/>
          <w:b w:val="0"/>
          <w:sz w:val="24"/>
          <w:szCs w:val="24"/>
        </w:rPr>
        <w:t>výmenným kurzom určeným a vyhláseným Európskou c</w:t>
      </w:r>
      <w:r>
        <w:rPr>
          <w:rFonts w:asciiTheme="minorHAnsi" w:hAnsiTheme="minorHAnsi"/>
          <w:b w:val="0"/>
          <w:sz w:val="24"/>
          <w:szCs w:val="24"/>
        </w:rPr>
        <w:t>entrálnou bankou alebo Národnou</w:t>
      </w:r>
    </w:p>
    <w:p w:rsidR="00434525" w:rsidRDefault="00434525" w:rsidP="00434525">
      <w:pPr>
        <w:pStyle w:val="Pismenka"/>
        <w:numPr>
          <w:ilvl w:val="0"/>
          <w:numId w:val="0"/>
        </w:numPr>
        <w:ind w:left="360" w:hanging="360"/>
        <w:rPr>
          <w:rFonts w:asciiTheme="minorHAnsi" w:hAnsiTheme="minorHAnsi"/>
          <w:b w:val="0"/>
          <w:sz w:val="24"/>
          <w:szCs w:val="24"/>
        </w:rPr>
      </w:pPr>
      <w:r w:rsidRPr="00434525">
        <w:rPr>
          <w:rFonts w:asciiTheme="minorHAnsi" w:hAnsiTheme="minorHAnsi"/>
          <w:b w:val="0"/>
          <w:sz w:val="24"/>
          <w:szCs w:val="24"/>
        </w:rPr>
        <w:t>bankou Slovenska v deň, ku ktorému sa zostavuje účtovná záv</w:t>
      </w:r>
      <w:r>
        <w:rPr>
          <w:rFonts w:asciiTheme="minorHAnsi" w:hAnsiTheme="minorHAnsi"/>
          <w:b w:val="0"/>
          <w:sz w:val="24"/>
          <w:szCs w:val="24"/>
        </w:rPr>
        <w:t>ierka, a účtujú sa s vplyvom na</w:t>
      </w:r>
    </w:p>
    <w:p w:rsidR="00434525" w:rsidRDefault="00434525" w:rsidP="00434525">
      <w:pPr>
        <w:pStyle w:val="Pismenka"/>
        <w:numPr>
          <w:ilvl w:val="0"/>
          <w:numId w:val="0"/>
        </w:numPr>
        <w:ind w:left="360" w:hanging="360"/>
        <w:rPr>
          <w:rFonts w:asciiTheme="minorHAnsi" w:hAnsiTheme="minorHAnsi"/>
          <w:b w:val="0"/>
          <w:sz w:val="24"/>
          <w:szCs w:val="24"/>
        </w:rPr>
      </w:pPr>
      <w:r w:rsidRPr="00434525">
        <w:rPr>
          <w:rFonts w:asciiTheme="minorHAnsi" w:hAnsiTheme="minorHAnsi"/>
          <w:b w:val="0"/>
          <w:sz w:val="24"/>
          <w:szCs w:val="24"/>
        </w:rPr>
        <w:t xml:space="preserve">výsledok hospodárenia. </w:t>
      </w:r>
    </w:p>
    <w:p w:rsidR="00434525" w:rsidRDefault="00434525" w:rsidP="00434525">
      <w:pPr>
        <w:pStyle w:val="Pismenka"/>
        <w:numPr>
          <w:ilvl w:val="0"/>
          <w:numId w:val="0"/>
        </w:numPr>
        <w:ind w:left="360" w:hanging="360"/>
        <w:rPr>
          <w:rFonts w:asciiTheme="minorHAnsi" w:hAnsiTheme="minorHAnsi"/>
          <w:b w:val="0"/>
          <w:sz w:val="24"/>
          <w:szCs w:val="24"/>
        </w:rPr>
      </w:pPr>
    </w:p>
    <w:p w:rsidR="00434525" w:rsidRPr="00434525" w:rsidRDefault="00434525" w:rsidP="00434525">
      <w:pPr>
        <w:pStyle w:val="Pismenka"/>
        <w:numPr>
          <w:ilvl w:val="0"/>
          <w:numId w:val="0"/>
        </w:numPr>
        <w:ind w:left="360" w:hanging="360"/>
        <w:rPr>
          <w:rFonts w:asciiTheme="minorHAnsi" w:hAnsiTheme="minorHAnsi"/>
          <w:sz w:val="24"/>
          <w:szCs w:val="24"/>
        </w:rPr>
      </w:pPr>
      <w:r w:rsidRPr="00434525">
        <w:rPr>
          <w:rFonts w:asciiTheme="minorHAnsi" w:hAnsiTheme="minorHAnsi"/>
          <w:sz w:val="24"/>
          <w:szCs w:val="24"/>
        </w:rPr>
        <w:t>14. Výnosy</w:t>
      </w:r>
    </w:p>
    <w:p w:rsidR="00434525" w:rsidRDefault="00434525" w:rsidP="00FD0BCD">
      <w:pPr>
        <w:pStyle w:val="Pismenka"/>
        <w:numPr>
          <w:ilvl w:val="0"/>
          <w:numId w:val="0"/>
        </w:numPr>
        <w:ind w:left="360" w:hanging="360"/>
        <w:rPr>
          <w:rFonts w:asciiTheme="minorHAnsi" w:hAnsiTheme="minorHAnsi"/>
          <w:b w:val="0"/>
          <w:sz w:val="24"/>
          <w:szCs w:val="24"/>
        </w:rPr>
      </w:pPr>
      <w:r w:rsidRPr="00434525">
        <w:rPr>
          <w:rFonts w:asciiTheme="minorHAnsi" w:hAnsiTheme="minorHAnsi"/>
          <w:b w:val="0"/>
          <w:sz w:val="24"/>
          <w:szCs w:val="24"/>
        </w:rPr>
        <w:t>Tržby za vlastné výkony a tovar neobsahujú daň z pridanej hod</w:t>
      </w:r>
      <w:r>
        <w:rPr>
          <w:rFonts w:asciiTheme="minorHAnsi" w:hAnsiTheme="minorHAnsi"/>
          <w:b w:val="0"/>
          <w:sz w:val="24"/>
          <w:szCs w:val="24"/>
        </w:rPr>
        <w:t xml:space="preserve">noty. </w:t>
      </w:r>
    </w:p>
    <w:p w:rsidR="00434525" w:rsidRPr="00434525" w:rsidRDefault="00434525" w:rsidP="00434525">
      <w:pPr>
        <w:pStyle w:val="Pismenka"/>
        <w:numPr>
          <w:ilvl w:val="0"/>
          <w:numId w:val="0"/>
        </w:numPr>
        <w:ind w:left="360" w:hanging="360"/>
        <w:rPr>
          <w:rFonts w:asciiTheme="minorHAnsi" w:hAnsiTheme="minorHAnsi"/>
          <w:b w:val="0"/>
          <w:sz w:val="24"/>
          <w:szCs w:val="24"/>
        </w:rPr>
      </w:pPr>
      <w:r w:rsidRPr="00434525">
        <w:rPr>
          <w:rFonts w:asciiTheme="minorHAnsi" w:hAnsiTheme="minorHAnsi"/>
          <w:b w:val="0"/>
          <w:sz w:val="24"/>
          <w:szCs w:val="24"/>
        </w:rPr>
        <w:t>Tržby z predaja služieb sa vykazujú v účtovnom období, v ktorom boli služby poskytnuté.</w:t>
      </w:r>
    </w:p>
    <w:p w:rsidR="00434525" w:rsidRPr="00434525" w:rsidRDefault="00434525" w:rsidP="00434525">
      <w:pPr>
        <w:pStyle w:val="Pismenka"/>
        <w:numPr>
          <w:ilvl w:val="0"/>
          <w:numId w:val="0"/>
        </w:numPr>
        <w:ind w:left="360" w:hanging="360"/>
        <w:rPr>
          <w:rFonts w:asciiTheme="minorHAnsi" w:hAnsiTheme="minorHAnsi"/>
          <w:b w:val="0"/>
          <w:sz w:val="24"/>
          <w:szCs w:val="24"/>
        </w:rPr>
      </w:pPr>
      <w:r w:rsidRPr="00434525">
        <w:rPr>
          <w:rFonts w:asciiTheme="minorHAnsi" w:hAnsiTheme="minorHAnsi"/>
          <w:b w:val="0"/>
          <w:sz w:val="24"/>
          <w:szCs w:val="24"/>
        </w:rPr>
        <w:t>Výnosové úroky sa účtujú rovnomerne v účtovných obdobiach, ktorých sa vecne a časovo</w:t>
      </w:r>
    </w:p>
    <w:p w:rsidR="00434525" w:rsidRPr="00434525" w:rsidRDefault="00434525" w:rsidP="00434525">
      <w:pPr>
        <w:pStyle w:val="Pismenka"/>
        <w:numPr>
          <w:ilvl w:val="0"/>
          <w:numId w:val="0"/>
        </w:numPr>
        <w:ind w:left="360" w:hanging="360"/>
        <w:rPr>
          <w:rFonts w:asciiTheme="minorHAnsi" w:hAnsiTheme="minorHAnsi"/>
          <w:b w:val="0"/>
          <w:sz w:val="24"/>
          <w:szCs w:val="24"/>
        </w:rPr>
      </w:pPr>
      <w:r w:rsidRPr="00434525">
        <w:rPr>
          <w:rFonts w:asciiTheme="minorHAnsi" w:hAnsiTheme="minorHAnsi"/>
          <w:b w:val="0"/>
          <w:sz w:val="24"/>
          <w:szCs w:val="24"/>
        </w:rPr>
        <w:t>týkajú.</w:t>
      </w:r>
    </w:p>
    <w:p w:rsidR="00434525" w:rsidRDefault="00434525" w:rsidP="00434525">
      <w:pPr>
        <w:pStyle w:val="Pismenka"/>
        <w:numPr>
          <w:ilvl w:val="0"/>
          <w:numId w:val="0"/>
        </w:numPr>
        <w:ind w:left="360" w:hanging="360"/>
        <w:rPr>
          <w:rFonts w:asciiTheme="minorHAnsi" w:hAnsiTheme="minorHAnsi"/>
          <w:b w:val="0"/>
          <w:sz w:val="24"/>
          <w:szCs w:val="24"/>
        </w:rPr>
      </w:pPr>
    </w:p>
    <w:p w:rsidR="00434525" w:rsidRDefault="00434525" w:rsidP="00434525">
      <w:pPr>
        <w:pStyle w:val="Pismenka"/>
        <w:numPr>
          <w:ilvl w:val="0"/>
          <w:numId w:val="0"/>
        </w:numPr>
        <w:ind w:left="360" w:hanging="360"/>
        <w:rPr>
          <w:rFonts w:asciiTheme="minorHAnsi" w:hAnsiTheme="minorHAnsi"/>
          <w:b w:val="0"/>
          <w:sz w:val="24"/>
          <w:szCs w:val="24"/>
        </w:rPr>
      </w:pPr>
    </w:p>
    <w:p w:rsidR="00434525" w:rsidRDefault="00434525" w:rsidP="00434525">
      <w:pPr>
        <w:pStyle w:val="Pismenka"/>
        <w:numPr>
          <w:ilvl w:val="0"/>
          <w:numId w:val="0"/>
        </w:numPr>
        <w:ind w:left="360" w:hanging="360"/>
        <w:rPr>
          <w:rFonts w:asciiTheme="minorHAnsi" w:hAnsiTheme="minorHAnsi"/>
          <w:b w:val="0"/>
          <w:sz w:val="24"/>
          <w:szCs w:val="24"/>
        </w:rPr>
      </w:pPr>
    </w:p>
    <w:p w:rsidR="00FD0BCD" w:rsidRDefault="00FD0BCD" w:rsidP="00434525">
      <w:pPr>
        <w:pStyle w:val="Pismenka"/>
        <w:numPr>
          <w:ilvl w:val="0"/>
          <w:numId w:val="0"/>
        </w:numPr>
        <w:ind w:left="360" w:hanging="360"/>
        <w:rPr>
          <w:rFonts w:asciiTheme="minorHAnsi" w:hAnsiTheme="minorHAnsi"/>
          <w:sz w:val="24"/>
          <w:szCs w:val="24"/>
        </w:rPr>
      </w:pPr>
    </w:p>
    <w:p w:rsidR="00434525" w:rsidRPr="00434525" w:rsidRDefault="00434525" w:rsidP="00434525">
      <w:pPr>
        <w:pStyle w:val="Pismenka"/>
        <w:numPr>
          <w:ilvl w:val="0"/>
          <w:numId w:val="0"/>
        </w:numPr>
        <w:ind w:left="360" w:hanging="360"/>
        <w:rPr>
          <w:rFonts w:asciiTheme="minorHAnsi" w:hAnsiTheme="minorHAnsi"/>
          <w:sz w:val="24"/>
          <w:szCs w:val="24"/>
        </w:rPr>
      </w:pPr>
      <w:r w:rsidRPr="00434525">
        <w:rPr>
          <w:rFonts w:asciiTheme="minorHAnsi" w:hAnsiTheme="minorHAnsi"/>
          <w:sz w:val="24"/>
          <w:szCs w:val="24"/>
        </w:rPr>
        <w:t>15. Porovnateľné údaje</w:t>
      </w:r>
    </w:p>
    <w:p w:rsidR="00434525" w:rsidRDefault="00434525" w:rsidP="00434525">
      <w:pPr>
        <w:pStyle w:val="Zkladntext"/>
        <w:ind w:left="0"/>
        <w:rPr>
          <w:rFonts w:asciiTheme="minorHAnsi" w:hAnsiTheme="minorHAnsi"/>
          <w:sz w:val="24"/>
          <w:szCs w:val="24"/>
        </w:rPr>
      </w:pPr>
      <w:r w:rsidRPr="00434525">
        <w:rPr>
          <w:rFonts w:asciiTheme="minorHAnsi" w:hAnsiTheme="minorHAnsi"/>
          <w:sz w:val="24"/>
          <w:szCs w:val="24"/>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34525" w:rsidRPr="00434525" w:rsidRDefault="00434525" w:rsidP="00434525">
      <w:pPr>
        <w:pStyle w:val="Zkladntext"/>
        <w:ind w:left="0"/>
        <w:rPr>
          <w:rFonts w:asciiTheme="minorHAnsi" w:hAnsiTheme="minorHAnsi"/>
          <w:sz w:val="24"/>
          <w:szCs w:val="24"/>
        </w:rPr>
      </w:pPr>
      <w:r w:rsidRPr="00434525">
        <w:rPr>
          <w:rFonts w:asciiTheme="minorHAnsi" w:hAnsiTheme="minorHAnsi"/>
          <w:sz w:val="24"/>
          <w:szCs w:val="24"/>
        </w:rPr>
        <w:t>V dôsledku zmeny zákona o dani z príjmov je rezerva na overenie účtovnej závierky a zostavenie daňového priznania k 3</w:t>
      </w:r>
      <w:r w:rsidR="00BB1ABC">
        <w:rPr>
          <w:rFonts w:asciiTheme="minorHAnsi" w:hAnsiTheme="minorHAnsi"/>
          <w:sz w:val="24"/>
          <w:szCs w:val="24"/>
        </w:rPr>
        <w:t>0</w:t>
      </w:r>
      <w:r w:rsidRPr="00434525">
        <w:rPr>
          <w:rFonts w:asciiTheme="minorHAnsi" w:hAnsiTheme="minorHAnsi"/>
          <w:sz w:val="24"/>
          <w:szCs w:val="24"/>
        </w:rPr>
        <w:t>. </w:t>
      </w:r>
      <w:r w:rsidR="00BB1ABC">
        <w:rPr>
          <w:rFonts w:asciiTheme="minorHAnsi" w:hAnsiTheme="minorHAnsi"/>
          <w:sz w:val="24"/>
          <w:szCs w:val="24"/>
        </w:rPr>
        <w:t>aprílu</w:t>
      </w:r>
      <w:r w:rsidRPr="00434525">
        <w:rPr>
          <w:rFonts w:asciiTheme="minorHAnsi" w:hAnsiTheme="minorHAnsi"/>
          <w:sz w:val="24"/>
          <w:szCs w:val="24"/>
        </w:rPr>
        <w:t xml:space="preserve"> 201</w:t>
      </w:r>
      <w:r w:rsidR="00BB1ABC">
        <w:rPr>
          <w:rFonts w:asciiTheme="minorHAnsi" w:hAnsiTheme="minorHAnsi"/>
          <w:sz w:val="24"/>
          <w:szCs w:val="24"/>
        </w:rPr>
        <w:t>7</w:t>
      </w:r>
      <w:r w:rsidRPr="00434525">
        <w:rPr>
          <w:rFonts w:asciiTheme="minorHAnsi" w:hAnsiTheme="minorHAnsi"/>
          <w:sz w:val="24"/>
          <w:szCs w:val="24"/>
        </w:rPr>
        <w:t xml:space="preserve"> vykázaná ako krátkodobá ostatná rezerva</w:t>
      </w:r>
      <w:r>
        <w:rPr>
          <w:rFonts w:asciiTheme="minorHAnsi" w:hAnsiTheme="minorHAnsi"/>
          <w:sz w:val="24"/>
          <w:szCs w:val="24"/>
        </w:rPr>
        <w:t>.</w:t>
      </w:r>
    </w:p>
    <w:p w:rsidR="00434525" w:rsidRDefault="00434525" w:rsidP="00434525">
      <w:pPr>
        <w:pStyle w:val="Zkladntext"/>
        <w:ind w:left="0"/>
        <w:rPr>
          <w:rFonts w:asciiTheme="minorHAnsi" w:hAnsiTheme="minorHAnsi"/>
          <w:sz w:val="24"/>
          <w:szCs w:val="24"/>
        </w:rPr>
      </w:pPr>
    </w:p>
    <w:p w:rsidR="00434525" w:rsidRPr="005A7CFF" w:rsidRDefault="00434525" w:rsidP="00434525">
      <w:pPr>
        <w:pStyle w:val="Zkladntext"/>
        <w:ind w:left="0"/>
        <w:rPr>
          <w:rFonts w:asciiTheme="minorHAnsi" w:hAnsiTheme="minorHAnsi"/>
          <w:b/>
          <w:sz w:val="24"/>
          <w:szCs w:val="24"/>
        </w:rPr>
      </w:pPr>
      <w:r w:rsidRPr="005A7CFF">
        <w:rPr>
          <w:rFonts w:asciiTheme="minorHAnsi" w:hAnsiTheme="minorHAnsi"/>
          <w:b/>
          <w:sz w:val="24"/>
          <w:szCs w:val="24"/>
        </w:rPr>
        <w:t>16. Oprava chýb minulých období</w:t>
      </w:r>
    </w:p>
    <w:p w:rsidR="005A7CFF" w:rsidRDefault="005A7CFF" w:rsidP="005A7CFF">
      <w:pPr>
        <w:pStyle w:val="Zkladntext"/>
        <w:ind w:left="0"/>
        <w:rPr>
          <w:rFonts w:asciiTheme="minorHAnsi" w:hAnsiTheme="minorHAnsi"/>
          <w:sz w:val="24"/>
          <w:szCs w:val="24"/>
        </w:rPr>
      </w:pPr>
      <w:r w:rsidRPr="005A7CFF">
        <w:rPr>
          <w:rFonts w:asciiTheme="minorHAnsi" w:hAnsiTheme="minorHAnsi"/>
          <w:sz w:val="24"/>
          <w:szCs w:val="24"/>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5A7CFF" w:rsidRDefault="005A7CFF" w:rsidP="005A7CFF">
      <w:pPr>
        <w:pStyle w:val="Zkladntext"/>
        <w:ind w:left="0"/>
        <w:rPr>
          <w:rFonts w:asciiTheme="minorHAnsi" w:hAnsiTheme="minorHAnsi"/>
          <w:sz w:val="24"/>
          <w:szCs w:val="24"/>
        </w:rPr>
      </w:pPr>
    </w:p>
    <w:p w:rsidR="005A7CFF" w:rsidRDefault="005A7CFF" w:rsidP="005A7CFF">
      <w:pPr>
        <w:pStyle w:val="Zkladntext"/>
        <w:ind w:left="0"/>
        <w:rPr>
          <w:rFonts w:asciiTheme="minorHAnsi" w:hAnsiTheme="minorHAnsi"/>
          <w:sz w:val="24"/>
          <w:szCs w:val="24"/>
        </w:rPr>
      </w:pPr>
      <w:r>
        <w:rPr>
          <w:rFonts w:asciiTheme="minorHAnsi" w:hAnsiTheme="minorHAnsi"/>
          <w:sz w:val="24"/>
          <w:szCs w:val="24"/>
        </w:rPr>
        <w:t>V období od 01.05.2016 do 30.04.201</w:t>
      </w:r>
      <w:r w:rsidR="00BB1ABC">
        <w:rPr>
          <w:rFonts w:asciiTheme="minorHAnsi" w:hAnsiTheme="minorHAnsi"/>
          <w:sz w:val="24"/>
          <w:szCs w:val="24"/>
        </w:rPr>
        <w:t>7</w:t>
      </w:r>
      <w:r>
        <w:rPr>
          <w:rFonts w:asciiTheme="minorHAnsi" w:hAnsiTheme="minorHAnsi"/>
          <w:sz w:val="24"/>
          <w:szCs w:val="24"/>
        </w:rPr>
        <w:t xml:space="preserve"> Spoločnosť neúčtovala o oprave významných chýb minulých období.</w:t>
      </w:r>
    </w:p>
    <w:p w:rsidR="005A7CFF" w:rsidRDefault="005A7CFF" w:rsidP="005A7CFF">
      <w:pPr>
        <w:pStyle w:val="Zkladntext"/>
        <w:ind w:left="0"/>
        <w:rPr>
          <w:rFonts w:asciiTheme="minorHAnsi" w:hAnsiTheme="minorHAnsi"/>
          <w:sz w:val="24"/>
          <w:szCs w:val="24"/>
        </w:rPr>
      </w:pPr>
    </w:p>
    <w:p w:rsidR="005A7CFF" w:rsidRDefault="005A7CFF" w:rsidP="005A7CFF">
      <w:pPr>
        <w:pStyle w:val="Zkladntext"/>
        <w:ind w:left="0"/>
        <w:rPr>
          <w:rFonts w:asciiTheme="minorHAnsi" w:hAnsiTheme="minorHAnsi"/>
          <w:b/>
          <w:sz w:val="24"/>
          <w:szCs w:val="24"/>
        </w:rPr>
      </w:pPr>
      <w:r w:rsidRPr="005A7CFF">
        <w:rPr>
          <w:rFonts w:asciiTheme="minorHAnsi" w:hAnsiTheme="minorHAnsi"/>
          <w:b/>
          <w:sz w:val="24"/>
          <w:szCs w:val="24"/>
        </w:rPr>
        <w:t>D. INFORMÁCIE K POLOŽKÁM SÚVAHY A</w:t>
      </w:r>
      <w:r>
        <w:rPr>
          <w:rFonts w:asciiTheme="minorHAnsi" w:hAnsiTheme="minorHAnsi"/>
          <w:b/>
          <w:sz w:val="24"/>
          <w:szCs w:val="24"/>
        </w:rPr>
        <w:t> </w:t>
      </w:r>
      <w:r w:rsidRPr="005A7CFF">
        <w:rPr>
          <w:rFonts w:asciiTheme="minorHAnsi" w:hAnsiTheme="minorHAnsi"/>
          <w:b/>
          <w:sz w:val="24"/>
          <w:szCs w:val="24"/>
        </w:rPr>
        <w:t>VÝKAZY</w:t>
      </w:r>
    </w:p>
    <w:p w:rsidR="005A7CFF" w:rsidRDefault="005A7CFF" w:rsidP="005A7CFF">
      <w:pPr>
        <w:pStyle w:val="Zkladntext"/>
        <w:ind w:left="0"/>
        <w:rPr>
          <w:rFonts w:asciiTheme="minorHAnsi" w:hAnsiTheme="minorHAnsi"/>
          <w:b/>
          <w:sz w:val="24"/>
          <w:szCs w:val="24"/>
        </w:rPr>
      </w:pPr>
      <w:r>
        <w:rPr>
          <w:rFonts w:asciiTheme="minorHAnsi" w:hAnsiTheme="minorHAnsi"/>
          <w:b/>
          <w:sz w:val="24"/>
          <w:szCs w:val="24"/>
        </w:rPr>
        <w:t>1. Záväzky</w:t>
      </w:r>
    </w:p>
    <w:p w:rsidR="005A7CFF" w:rsidRPr="005A7CFF" w:rsidRDefault="005A7CFF" w:rsidP="005A7CFF">
      <w:pPr>
        <w:pStyle w:val="Zkladntext"/>
        <w:ind w:left="0"/>
        <w:rPr>
          <w:rFonts w:asciiTheme="minorHAnsi" w:hAnsiTheme="minorHAnsi"/>
          <w:sz w:val="24"/>
          <w:szCs w:val="24"/>
        </w:rPr>
      </w:pPr>
      <w:r w:rsidRPr="005A7CFF">
        <w:rPr>
          <w:rFonts w:asciiTheme="minorHAnsi" w:hAnsiTheme="minorHAnsi"/>
          <w:sz w:val="24"/>
          <w:szCs w:val="24"/>
        </w:rPr>
        <w:t>Štruktúra záväzkov (okrem záväzkov zo sociálneho fondu a odloženého daňového záväzku) podľa zostatkovej doby splatnosti je uvedená v nasledujúcom prehľade:</w:t>
      </w:r>
    </w:p>
    <w:p w:rsidR="005A7CFF" w:rsidRPr="000E6E82" w:rsidRDefault="005A7CFF" w:rsidP="005A7CFF">
      <w:pPr>
        <w:pStyle w:val="Zkladntext"/>
        <w:ind w:left="0"/>
        <w:rPr>
          <w:rFonts w:asciiTheme="minorHAnsi" w:hAnsiTheme="minorHAnsi"/>
          <w:b/>
          <w:sz w:val="22"/>
          <w:szCs w:val="22"/>
        </w:rPr>
      </w:pPr>
    </w:p>
    <w:p w:rsidR="00867F41" w:rsidRPr="000E6E82" w:rsidRDefault="00867F41" w:rsidP="005A7CFF">
      <w:pPr>
        <w:pStyle w:val="Zkladntext"/>
        <w:ind w:left="0"/>
        <w:rPr>
          <w:rFonts w:asciiTheme="minorHAnsi" w:hAnsiTheme="minorHAnsi"/>
          <w:sz w:val="22"/>
          <w:szCs w:val="22"/>
        </w:rPr>
      </w:pPr>
      <w:r w:rsidRPr="000E6E82">
        <w:rPr>
          <w:rFonts w:asciiTheme="minorHAnsi" w:hAnsiTheme="minorHAnsi"/>
          <w:sz w:val="22"/>
          <w:szCs w:val="22"/>
        </w:rPr>
        <w:tab/>
      </w:r>
      <w:r w:rsidRPr="000E6E82">
        <w:rPr>
          <w:rFonts w:asciiTheme="minorHAnsi" w:hAnsiTheme="minorHAnsi"/>
          <w:sz w:val="22"/>
          <w:szCs w:val="22"/>
        </w:rPr>
        <w:tab/>
      </w:r>
      <w:r w:rsidRPr="000E6E82">
        <w:rPr>
          <w:rFonts w:asciiTheme="minorHAnsi" w:hAnsiTheme="minorHAnsi"/>
          <w:sz w:val="22"/>
          <w:szCs w:val="22"/>
        </w:rPr>
        <w:tab/>
      </w:r>
      <w:r w:rsidRPr="000E6E82">
        <w:rPr>
          <w:rFonts w:asciiTheme="minorHAnsi" w:hAnsiTheme="minorHAnsi"/>
          <w:sz w:val="22"/>
          <w:szCs w:val="22"/>
        </w:rPr>
        <w:tab/>
      </w:r>
      <w:r w:rsidRPr="000E6E82">
        <w:rPr>
          <w:rFonts w:asciiTheme="minorHAnsi" w:hAnsiTheme="minorHAnsi"/>
          <w:sz w:val="22"/>
          <w:szCs w:val="22"/>
        </w:rPr>
        <w:tab/>
      </w:r>
      <w:r w:rsidRPr="000E6E82">
        <w:rPr>
          <w:rFonts w:asciiTheme="minorHAnsi" w:hAnsiTheme="minorHAnsi"/>
          <w:sz w:val="22"/>
          <w:szCs w:val="22"/>
        </w:rPr>
        <w:tab/>
      </w:r>
      <w:r w:rsidR="000E6E82" w:rsidRPr="000E6E82">
        <w:rPr>
          <w:rFonts w:asciiTheme="minorHAnsi" w:hAnsiTheme="minorHAnsi"/>
          <w:sz w:val="22"/>
          <w:szCs w:val="22"/>
        </w:rPr>
        <w:tab/>
      </w:r>
      <w:r w:rsidR="000E6E82" w:rsidRPr="000E6E82">
        <w:rPr>
          <w:rFonts w:asciiTheme="minorHAnsi" w:hAnsiTheme="minorHAnsi"/>
          <w:sz w:val="22"/>
          <w:szCs w:val="22"/>
        </w:rPr>
        <w:tab/>
      </w:r>
      <w:r w:rsidR="000E6E82" w:rsidRPr="000E6E82">
        <w:rPr>
          <w:rFonts w:asciiTheme="minorHAnsi" w:hAnsiTheme="minorHAnsi"/>
          <w:sz w:val="22"/>
          <w:szCs w:val="22"/>
        </w:rPr>
        <w:tab/>
      </w:r>
      <w:r w:rsidRPr="00A604CB">
        <w:rPr>
          <w:rFonts w:asciiTheme="minorHAnsi" w:hAnsiTheme="minorHAnsi"/>
          <w:sz w:val="22"/>
          <w:szCs w:val="22"/>
        </w:rPr>
        <w:t>30.04.201</w:t>
      </w:r>
      <w:r w:rsidR="00BB1ABC" w:rsidRPr="00A604CB">
        <w:rPr>
          <w:rFonts w:asciiTheme="minorHAnsi" w:hAnsiTheme="minorHAnsi"/>
          <w:sz w:val="22"/>
          <w:szCs w:val="22"/>
        </w:rPr>
        <w:t>7</w:t>
      </w:r>
      <w:r w:rsidRPr="000E6E82">
        <w:rPr>
          <w:rFonts w:asciiTheme="minorHAnsi" w:hAnsiTheme="minorHAnsi"/>
          <w:sz w:val="22"/>
          <w:szCs w:val="22"/>
        </w:rPr>
        <w:tab/>
        <w:t>30.04.201</w:t>
      </w:r>
      <w:r w:rsidR="00BB1ABC">
        <w:rPr>
          <w:rFonts w:asciiTheme="minorHAnsi" w:hAnsiTheme="minorHAnsi"/>
          <w:sz w:val="22"/>
          <w:szCs w:val="22"/>
        </w:rPr>
        <w:t>6</w:t>
      </w:r>
      <w:r w:rsidRPr="000E6E82">
        <w:rPr>
          <w:rFonts w:asciiTheme="minorHAnsi" w:hAnsiTheme="minorHAnsi"/>
          <w:sz w:val="22"/>
          <w:szCs w:val="22"/>
        </w:rPr>
        <w:tab/>
      </w:r>
    </w:p>
    <w:p w:rsidR="00E35F9D" w:rsidRPr="000E6E82" w:rsidRDefault="00E35F9D" w:rsidP="005A7CFF">
      <w:pPr>
        <w:pStyle w:val="Zkladntext"/>
        <w:ind w:left="0"/>
        <w:rPr>
          <w:rFonts w:asciiTheme="minorHAnsi" w:hAnsiTheme="minorHAnsi"/>
          <w:sz w:val="22"/>
          <w:szCs w:val="22"/>
        </w:rPr>
      </w:pPr>
      <w:r w:rsidRPr="000E6E82">
        <w:rPr>
          <w:rFonts w:asciiTheme="minorHAnsi" w:hAnsiTheme="minorHAnsi"/>
          <w:sz w:val="22"/>
          <w:szCs w:val="22"/>
        </w:rPr>
        <w:t xml:space="preserve">Záväzky po splatnosti: </w:t>
      </w:r>
      <w:r w:rsidR="00D80D28">
        <w:rPr>
          <w:rFonts w:asciiTheme="minorHAnsi" w:hAnsiTheme="minorHAnsi"/>
          <w:sz w:val="22"/>
          <w:szCs w:val="22"/>
        </w:rPr>
        <w:tab/>
      </w:r>
      <w:r w:rsidR="00D80D28">
        <w:rPr>
          <w:rFonts w:asciiTheme="minorHAnsi" w:hAnsiTheme="minorHAnsi"/>
          <w:sz w:val="22"/>
          <w:szCs w:val="22"/>
        </w:rPr>
        <w:tab/>
      </w:r>
      <w:r w:rsidR="00D80D28">
        <w:rPr>
          <w:rFonts w:asciiTheme="minorHAnsi" w:hAnsiTheme="minorHAnsi"/>
          <w:sz w:val="22"/>
          <w:szCs w:val="22"/>
        </w:rPr>
        <w:tab/>
      </w:r>
      <w:r w:rsidR="00D80D28">
        <w:rPr>
          <w:rFonts w:asciiTheme="minorHAnsi" w:hAnsiTheme="minorHAnsi"/>
          <w:sz w:val="22"/>
          <w:szCs w:val="22"/>
        </w:rPr>
        <w:tab/>
      </w:r>
      <w:r w:rsidR="00D80D28">
        <w:rPr>
          <w:rFonts w:asciiTheme="minorHAnsi" w:hAnsiTheme="minorHAnsi"/>
          <w:sz w:val="22"/>
          <w:szCs w:val="22"/>
        </w:rPr>
        <w:tab/>
      </w:r>
      <w:r w:rsidR="00D80D28">
        <w:rPr>
          <w:rFonts w:asciiTheme="minorHAnsi" w:hAnsiTheme="minorHAnsi"/>
          <w:sz w:val="22"/>
          <w:szCs w:val="22"/>
        </w:rPr>
        <w:tab/>
      </w:r>
      <w:r w:rsidR="00D80D28">
        <w:rPr>
          <w:rFonts w:asciiTheme="minorHAnsi" w:hAnsiTheme="minorHAnsi"/>
          <w:sz w:val="22"/>
          <w:szCs w:val="22"/>
        </w:rPr>
        <w:tab/>
      </w:r>
      <w:r w:rsidR="00C502E1">
        <w:rPr>
          <w:rFonts w:asciiTheme="minorHAnsi" w:hAnsiTheme="minorHAnsi"/>
          <w:sz w:val="22"/>
          <w:szCs w:val="22"/>
        </w:rPr>
        <w:t xml:space="preserve">       654</w:t>
      </w:r>
      <w:r w:rsidR="00BB1ABC">
        <w:rPr>
          <w:rFonts w:asciiTheme="minorHAnsi" w:hAnsiTheme="minorHAnsi"/>
          <w:sz w:val="22"/>
          <w:szCs w:val="22"/>
        </w:rPr>
        <w:tab/>
      </w:r>
      <w:r w:rsidR="00BB1ABC">
        <w:rPr>
          <w:rFonts w:asciiTheme="minorHAnsi" w:hAnsiTheme="minorHAnsi"/>
          <w:sz w:val="22"/>
          <w:szCs w:val="22"/>
        </w:rPr>
        <w:tab/>
        <w:t xml:space="preserve">       162 </w:t>
      </w:r>
    </w:p>
    <w:p w:rsidR="005A7CFF" w:rsidRPr="000E6E82" w:rsidRDefault="00867F41" w:rsidP="005A7CFF">
      <w:pPr>
        <w:pStyle w:val="Zkladntext"/>
        <w:ind w:left="0"/>
        <w:rPr>
          <w:rFonts w:asciiTheme="minorHAnsi" w:hAnsiTheme="minorHAnsi"/>
          <w:sz w:val="22"/>
          <w:szCs w:val="22"/>
        </w:rPr>
      </w:pPr>
      <w:r w:rsidRPr="000E6E82">
        <w:rPr>
          <w:rFonts w:asciiTheme="minorHAnsi" w:hAnsiTheme="minorHAnsi"/>
          <w:sz w:val="22"/>
          <w:szCs w:val="22"/>
        </w:rPr>
        <w:t>Záväzky so zostatkovou dobou splatnosti do 1 roka</w:t>
      </w:r>
      <w:r w:rsidR="00D80D28">
        <w:rPr>
          <w:rFonts w:asciiTheme="minorHAnsi" w:hAnsiTheme="minorHAnsi"/>
          <w:sz w:val="22"/>
          <w:szCs w:val="22"/>
        </w:rPr>
        <w:tab/>
      </w:r>
      <w:r w:rsidR="00D80D28">
        <w:rPr>
          <w:rFonts w:asciiTheme="minorHAnsi" w:hAnsiTheme="minorHAnsi"/>
          <w:sz w:val="22"/>
          <w:szCs w:val="22"/>
        </w:rPr>
        <w:tab/>
      </w:r>
      <w:r w:rsidR="00D80D28">
        <w:rPr>
          <w:rFonts w:asciiTheme="minorHAnsi" w:hAnsiTheme="minorHAnsi"/>
          <w:sz w:val="22"/>
          <w:szCs w:val="22"/>
        </w:rPr>
        <w:tab/>
        <w:t xml:space="preserve">  </w:t>
      </w:r>
      <w:r w:rsidR="00411833">
        <w:rPr>
          <w:rFonts w:asciiTheme="minorHAnsi" w:hAnsiTheme="minorHAnsi"/>
          <w:sz w:val="22"/>
          <w:szCs w:val="22"/>
        </w:rPr>
        <w:t xml:space="preserve"> </w:t>
      </w:r>
      <w:r w:rsidR="00D80D28">
        <w:rPr>
          <w:rFonts w:asciiTheme="minorHAnsi" w:hAnsiTheme="minorHAnsi"/>
          <w:sz w:val="22"/>
          <w:szCs w:val="22"/>
        </w:rPr>
        <w:t xml:space="preserve"> </w:t>
      </w:r>
      <w:r w:rsidR="00E42CED">
        <w:rPr>
          <w:rFonts w:asciiTheme="minorHAnsi" w:hAnsiTheme="minorHAnsi"/>
          <w:sz w:val="22"/>
          <w:szCs w:val="22"/>
        </w:rPr>
        <w:t>1 9</w:t>
      </w:r>
      <w:r w:rsidR="007513A6">
        <w:rPr>
          <w:rFonts w:asciiTheme="minorHAnsi" w:hAnsiTheme="minorHAnsi"/>
          <w:sz w:val="22"/>
          <w:szCs w:val="22"/>
        </w:rPr>
        <w:t>26</w:t>
      </w:r>
      <w:r w:rsidR="00E42CED">
        <w:rPr>
          <w:rFonts w:asciiTheme="minorHAnsi" w:hAnsiTheme="minorHAnsi"/>
          <w:sz w:val="22"/>
          <w:szCs w:val="22"/>
        </w:rPr>
        <w:tab/>
      </w:r>
      <w:r w:rsidR="00D80D28">
        <w:rPr>
          <w:rFonts w:asciiTheme="minorHAnsi" w:hAnsiTheme="minorHAnsi"/>
          <w:sz w:val="22"/>
          <w:szCs w:val="22"/>
        </w:rPr>
        <w:tab/>
        <w:t xml:space="preserve">  </w:t>
      </w:r>
      <w:r w:rsidR="00BB1ABC">
        <w:rPr>
          <w:rFonts w:asciiTheme="minorHAnsi" w:hAnsiTheme="minorHAnsi"/>
          <w:sz w:val="22"/>
          <w:szCs w:val="22"/>
        </w:rPr>
        <w:t xml:space="preserve">  7 719</w:t>
      </w:r>
    </w:p>
    <w:p w:rsidR="00867F41" w:rsidRPr="000E6E82" w:rsidRDefault="00867F41" w:rsidP="005A7CFF">
      <w:pPr>
        <w:pStyle w:val="Zkladntext"/>
        <w:ind w:left="0"/>
        <w:rPr>
          <w:rFonts w:asciiTheme="minorHAnsi" w:hAnsiTheme="minorHAnsi"/>
          <w:sz w:val="22"/>
          <w:szCs w:val="22"/>
        </w:rPr>
      </w:pPr>
      <w:r w:rsidRPr="000E6E82">
        <w:rPr>
          <w:rFonts w:asciiTheme="minorHAnsi" w:hAnsiTheme="minorHAnsi"/>
          <w:sz w:val="22"/>
          <w:szCs w:val="22"/>
        </w:rPr>
        <w:t>Záväzky so zostatkovou dobou splatnosti 1 až 5 rokov</w:t>
      </w:r>
      <w:r w:rsidR="00E42CED">
        <w:rPr>
          <w:rFonts w:asciiTheme="minorHAnsi" w:hAnsiTheme="minorHAnsi"/>
          <w:sz w:val="22"/>
          <w:szCs w:val="22"/>
        </w:rPr>
        <w:tab/>
      </w:r>
      <w:r w:rsidR="00E42CED">
        <w:rPr>
          <w:rFonts w:asciiTheme="minorHAnsi" w:hAnsiTheme="minorHAnsi"/>
          <w:sz w:val="22"/>
          <w:szCs w:val="22"/>
        </w:rPr>
        <w:tab/>
      </w:r>
      <w:r w:rsidR="00E42CED">
        <w:rPr>
          <w:rFonts w:asciiTheme="minorHAnsi" w:hAnsiTheme="minorHAnsi"/>
          <w:sz w:val="22"/>
          <w:szCs w:val="22"/>
        </w:rPr>
        <w:tab/>
      </w:r>
      <w:r w:rsidR="00E42CED">
        <w:rPr>
          <w:rFonts w:asciiTheme="minorHAnsi" w:hAnsiTheme="minorHAnsi"/>
          <w:sz w:val="22"/>
          <w:szCs w:val="22"/>
        </w:rPr>
        <w:tab/>
      </w:r>
    </w:p>
    <w:p w:rsidR="00867F41" w:rsidRPr="000E6E82" w:rsidRDefault="00867F41" w:rsidP="005A7CFF">
      <w:pPr>
        <w:pStyle w:val="Zkladntext"/>
        <w:ind w:left="0"/>
        <w:rPr>
          <w:rFonts w:asciiTheme="minorHAnsi" w:hAnsiTheme="minorHAnsi"/>
          <w:sz w:val="22"/>
          <w:szCs w:val="22"/>
        </w:rPr>
      </w:pPr>
      <w:r w:rsidRPr="000E6E82">
        <w:rPr>
          <w:rFonts w:asciiTheme="minorHAnsi" w:hAnsiTheme="minorHAnsi"/>
          <w:sz w:val="22"/>
          <w:szCs w:val="22"/>
        </w:rPr>
        <w:t xml:space="preserve">Záväzky so zostatkovou dobou splatnosti </w:t>
      </w:r>
      <w:r w:rsidR="000E6E82" w:rsidRPr="000E6E82">
        <w:rPr>
          <w:rFonts w:asciiTheme="minorHAnsi" w:hAnsiTheme="minorHAnsi"/>
          <w:sz w:val="22"/>
          <w:szCs w:val="22"/>
        </w:rPr>
        <w:t xml:space="preserve"> nad 5 rokov</w:t>
      </w:r>
      <w:r w:rsidR="000E6E82">
        <w:rPr>
          <w:rFonts w:asciiTheme="minorHAnsi" w:hAnsiTheme="minorHAnsi"/>
          <w:sz w:val="22"/>
          <w:szCs w:val="22"/>
        </w:rPr>
        <w:tab/>
      </w:r>
      <w:r w:rsidR="000E6E82">
        <w:rPr>
          <w:rFonts w:asciiTheme="minorHAnsi" w:hAnsiTheme="minorHAnsi"/>
          <w:sz w:val="22"/>
          <w:szCs w:val="22"/>
        </w:rPr>
        <w:tab/>
      </w:r>
      <w:r w:rsidR="000E6E82">
        <w:rPr>
          <w:rFonts w:asciiTheme="minorHAnsi" w:hAnsiTheme="minorHAnsi"/>
          <w:sz w:val="22"/>
          <w:szCs w:val="22"/>
        </w:rPr>
        <w:tab/>
      </w:r>
      <w:r w:rsidR="00E42CED">
        <w:rPr>
          <w:rFonts w:asciiTheme="minorHAnsi" w:hAnsiTheme="minorHAnsi"/>
          <w:sz w:val="22"/>
          <w:szCs w:val="22"/>
        </w:rPr>
        <w:t>601 610</w:t>
      </w:r>
      <w:r w:rsidR="000E6E82">
        <w:rPr>
          <w:rFonts w:asciiTheme="minorHAnsi" w:hAnsiTheme="minorHAnsi"/>
          <w:sz w:val="22"/>
          <w:szCs w:val="22"/>
        </w:rPr>
        <w:tab/>
        <w:t>6</w:t>
      </w:r>
      <w:r w:rsidR="00BB1ABC">
        <w:rPr>
          <w:rFonts w:asciiTheme="minorHAnsi" w:hAnsiTheme="minorHAnsi"/>
          <w:sz w:val="22"/>
          <w:szCs w:val="22"/>
        </w:rPr>
        <w:t>0</w:t>
      </w:r>
      <w:r w:rsidR="000E6E82">
        <w:rPr>
          <w:rFonts w:asciiTheme="minorHAnsi" w:hAnsiTheme="minorHAnsi"/>
          <w:sz w:val="22"/>
          <w:szCs w:val="22"/>
        </w:rPr>
        <w:t>1</w:t>
      </w:r>
      <w:r w:rsidR="00D80D28">
        <w:rPr>
          <w:rFonts w:asciiTheme="minorHAnsi" w:hAnsiTheme="minorHAnsi"/>
          <w:sz w:val="22"/>
          <w:szCs w:val="22"/>
        </w:rPr>
        <w:t> </w:t>
      </w:r>
      <w:r w:rsidR="000E6E82">
        <w:rPr>
          <w:rFonts w:asciiTheme="minorHAnsi" w:hAnsiTheme="minorHAnsi"/>
          <w:sz w:val="22"/>
          <w:szCs w:val="22"/>
        </w:rPr>
        <w:t>61</w:t>
      </w:r>
      <w:r w:rsidR="00BB1ABC">
        <w:rPr>
          <w:rFonts w:asciiTheme="minorHAnsi" w:hAnsiTheme="minorHAnsi"/>
          <w:sz w:val="22"/>
          <w:szCs w:val="22"/>
        </w:rPr>
        <w:t>0</w:t>
      </w:r>
    </w:p>
    <w:p w:rsidR="005A7CFF" w:rsidRDefault="005A7CFF" w:rsidP="00434525">
      <w:pPr>
        <w:pStyle w:val="Zkladntext"/>
        <w:ind w:left="0"/>
        <w:rPr>
          <w:rFonts w:asciiTheme="minorHAnsi" w:hAnsiTheme="minorHAnsi"/>
          <w:b/>
          <w:sz w:val="22"/>
          <w:szCs w:val="22"/>
        </w:rPr>
      </w:pPr>
    </w:p>
    <w:p w:rsidR="00D80D28" w:rsidRDefault="00D80D28" w:rsidP="00434525">
      <w:pPr>
        <w:pStyle w:val="Zkladntext"/>
        <w:ind w:left="0"/>
        <w:rPr>
          <w:rFonts w:asciiTheme="minorHAnsi" w:hAnsiTheme="minorHAnsi"/>
          <w:b/>
          <w:sz w:val="22"/>
          <w:szCs w:val="22"/>
        </w:rPr>
      </w:pPr>
      <w:r>
        <w:rPr>
          <w:rFonts w:asciiTheme="minorHAnsi" w:hAnsiTheme="minorHAnsi"/>
          <w:b/>
          <w:sz w:val="22"/>
          <w:szCs w:val="22"/>
        </w:rPr>
        <w:t>2. Náklady, ktoré majú výnimočný rozsah alebo výskyt</w:t>
      </w:r>
    </w:p>
    <w:p w:rsidR="00D80D28" w:rsidRDefault="00D80D28" w:rsidP="00434525">
      <w:pPr>
        <w:pStyle w:val="Zkladntext"/>
        <w:ind w:left="0"/>
        <w:rPr>
          <w:rFonts w:asciiTheme="minorHAnsi" w:hAnsiTheme="minorHAnsi"/>
          <w:sz w:val="22"/>
          <w:szCs w:val="22"/>
        </w:rPr>
      </w:pPr>
      <w:r w:rsidRPr="00D80D28">
        <w:rPr>
          <w:rFonts w:asciiTheme="minorHAnsi" w:hAnsiTheme="minorHAnsi"/>
          <w:sz w:val="22"/>
          <w:szCs w:val="22"/>
        </w:rPr>
        <w:t>Účtovná jednotka nemá náplň pre tento bod.</w:t>
      </w:r>
    </w:p>
    <w:p w:rsidR="00D80D28" w:rsidRDefault="00D80D28" w:rsidP="00434525">
      <w:pPr>
        <w:pStyle w:val="Zkladntext"/>
        <w:ind w:left="0"/>
        <w:rPr>
          <w:rFonts w:asciiTheme="minorHAnsi" w:hAnsiTheme="minorHAnsi"/>
          <w:sz w:val="22"/>
          <w:szCs w:val="22"/>
        </w:rPr>
      </w:pPr>
    </w:p>
    <w:p w:rsidR="00D80D28" w:rsidRPr="00D80D28" w:rsidRDefault="00D80D28" w:rsidP="00434525">
      <w:pPr>
        <w:pStyle w:val="Zkladntext"/>
        <w:ind w:left="0"/>
        <w:rPr>
          <w:rFonts w:asciiTheme="minorHAnsi" w:hAnsiTheme="minorHAnsi"/>
          <w:b/>
          <w:sz w:val="22"/>
          <w:szCs w:val="22"/>
        </w:rPr>
      </w:pPr>
      <w:r w:rsidRPr="00D80D28">
        <w:rPr>
          <w:rFonts w:asciiTheme="minorHAnsi" w:hAnsiTheme="minorHAnsi"/>
          <w:b/>
          <w:sz w:val="22"/>
          <w:szCs w:val="22"/>
        </w:rPr>
        <w:t>3. Výnosy, ktoré majú výnimočný rozsah alebo výskyt</w:t>
      </w:r>
    </w:p>
    <w:p w:rsidR="00D80D28" w:rsidRPr="00D80D28" w:rsidRDefault="00D80D28" w:rsidP="00434525">
      <w:pPr>
        <w:pStyle w:val="Zkladntext"/>
        <w:ind w:left="0"/>
        <w:rPr>
          <w:rFonts w:asciiTheme="minorHAnsi" w:hAnsiTheme="minorHAnsi"/>
          <w:sz w:val="22"/>
          <w:szCs w:val="22"/>
        </w:rPr>
      </w:pPr>
      <w:r>
        <w:rPr>
          <w:rFonts w:asciiTheme="minorHAnsi" w:hAnsiTheme="minorHAnsi"/>
          <w:sz w:val="22"/>
          <w:szCs w:val="22"/>
        </w:rPr>
        <w:t>Účtovná jednotka nemá náplň pre tento bod.</w:t>
      </w:r>
    </w:p>
    <w:p w:rsidR="00434525" w:rsidRDefault="00434525" w:rsidP="00434525">
      <w:pPr>
        <w:pStyle w:val="Pismenka"/>
        <w:numPr>
          <w:ilvl w:val="0"/>
          <w:numId w:val="0"/>
        </w:numPr>
        <w:ind w:left="360" w:hanging="360"/>
        <w:rPr>
          <w:rFonts w:asciiTheme="minorHAnsi" w:hAnsiTheme="minorHAnsi"/>
          <w:b w:val="0"/>
          <w:sz w:val="24"/>
          <w:szCs w:val="24"/>
        </w:rPr>
      </w:pPr>
    </w:p>
    <w:p w:rsidR="00D80D28" w:rsidRDefault="00D80D28" w:rsidP="00434525">
      <w:pPr>
        <w:pStyle w:val="Pismenka"/>
        <w:numPr>
          <w:ilvl w:val="0"/>
          <w:numId w:val="0"/>
        </w:numPr>
        <w:ind w:left="360" w:hanging="360"/>
        <w:rPr>
          <w:rFonts w:asciiTheme="minorHAnsi" w:hAnsiTheme="minorHAnsi"/>
          <w:sz w:val="24"/>
          <w:szCs w:val="24"/>
        </w:rPr>
      </w:pPr>
      <w:r w:rsidRPr="00D80D28">
        <w:rPr>
          <w:rFonts w:asciiTheme="minorHAnsi" w:hAnsiTheme="minorHAnsi"/>
          <w:sz w:val="24"/>
          <w:szCs w:val="24"/>
        </w:rPr>
        <w:t>E. INFORMÁCIE O INÝCH AKTÍVACH A INÝCH PASÍVACH</w:t>
      </w:r>
    </w:p>
    <w:p w:rsidR="00D80D28" w:rsidRDefault="00D80D28" w:rsidP="00434525">
      <w:pPr>
        <w:pStyle w:val="Pismenka"/>
        <w:numPr>
          <w:ilvl w:val="0"/>
          <w:numId w:val="0"/>
        </w:numPr>
        <w:ind w:left="360" w:hanging="360"/>
        <w:rPr>
          <w:rFonts w:asciiTheme="minorHAnsi" w:hAnsiTheme="minorHAnsi"/>
          <w:sz w:val="24"/>
          <w:szCs w:val="24"/>
        </w:rPr>
      </w:pPr>
      <w:r>
        <w:rPr>
          <w:rFonts w:asciiTheme="minorHAnsi" w:hAnsiTheme="minorHAnsi"/>
          <w:sz w:val="24"/>
          <w:szCs w:val="24"/>
        </w:rPr>
        <w:t>Prenajatý majetok</w:t>
      </w:r>
    </w:p>
    <w:p w:rsidR="00C5061C" w:rsidRDefault="00D80D28" w:rsidP="00434525">
      <w:pPr>
        <w:pStyle w:val="Pismenka"/>
        <w:numPr>
          <w:ilvl w:val="0"/>
          <w:numId w:val="0"/>
        </w:numPr>
        <w:ind w:left="360" w:hanging="360"/>
        <w:rPr>
          <w:rFonts w:asciiTheme="minorHAnsi" w:hAnsiTheme="minorHAnsi"/>
          <w:b w:val="0"/>
          <w:sz w:val="24"/>
          <w:szCs w:val="24"/>
        </w:rPr>
      </w:pPr>
      <w:r>
        <w:rPr>
          <w:rFonts w:asciiTheme="minorHAnsi" w:hAnsiTheme="minorHAnsi"/>
          <w:b w:val="0"/>
          <w:sz w:val="24"/>
          <w:szCs w:val="24"/>
        </w:rPr>
        <w:t>Spoločnosť prenajíma administratívnu budovu. Ročné výnosy z nájomného cca sú 7</w:t>
      </w:r>
      <w:r w:rsidR="007513A6">
        <w:rPr>
          <w:rFonts w:asciiTheme="minorHAnsi" w:hAnsiTheme="minorHAnsi"/>
          <w:b w:val="0"/>
          <w:sz w:val="24"/>
          <w:szCs w:val="24"/>
        </w:rPr>
        <w:t>7</w:t>
      </w:r>
      <w:r>
        <w:rPr>
          <w:rFonts w:asciiTheme="minorHAnsi" w:hAnsiTheme="minorHAnsi"/>
          <w:b w:val="0"/>
          <w:sz w:val="24"/>
          <w:szCs w:val="24"/>
        </w:rPr>
        <w:t> </w:t>
      </w:r>
      <w:r w:rsidR="007513A6">
        <w:rPr>
          <w:rFonts w:asciiTheme="minorHAnsi" w:hAnsiTheme="minorHAnsi"/>
          <w:b w:val="0"/>
          <w:sz w:val="24"/>
          <w:szCs w:val="24"/>
        </w:rPr>
        <w:t>0</w:t>
      </w:r>
      <w:r>
        <w:rPr>
          <w:rFonts w:asciiTheme="minorHAnsi" w:hAnsiTheme="minorHAnsi"/>
          <w:b w:val="0"/>
          <w:sz w:val="24"/>
          <w:szCs w:val="24"/>
        </w:rPr>
        <w:t>00 Eur</w:t>
      </w:r>
      <w:r w:rsidR="00C5061C">
        <w:rPr>
          <w:rFonts w:asciiTheme="minorHAnsi" w:hAnsiTheme="minorHAnsi"/>
          <w:b w:val="0"/>
          <w:sz w:val="24"/>
          <w:szCs w:val="24"/>
        </w:rPr>
        <w:t xml:space="preserve"> </w:t>
      </w:r>
    </w:p>
    <w:p w:rsidR="00C5061C" w:rsidRDefault="00C5061C" w:rsidP="00434525">
      <w:pPr>
        <w:pStyle w:val="Pismenka"/>
        <w:numPr>
          <w:ilvl w:val="0"/>
          <w:numId w:val="0"/>
        </w:numPr>
        <w:ind w:left="360" w:hanging="360"/>
        <w:rPr>
          <w:rFonts w:asciiTheme="minorHAnsi" w:hAnsiTheme="minorHAnsi"/>
          <w:b w:val="0"/>
          <w:sz w:val="24"/>
          <w:szCs w:val="24"/>
        </w:rPr>
      </w:pPr>
      <w:r>
        <w:rPr>
          <w:rFonts w:asciiTheme="minorHAnsi" w:hAnsiTheme="minorHAnsi"/>
          <w:b w:val="0"/>
          <w:sz w:val="24"/>
          <w:szCs w:val="24"/>
        </w:rPr>
        <w:t>vrátane nákladov súvisiacich s prenájmom. Nájomná zmluva je uzatvorená na dobu neurčitú.</w:t>
      </w:r>
    </w:p>
    <w:p w:rsidR="00D80D28" w:rsidRPr="00434525" w:rsidRDefault="00C5061C" w:rsidP="00434525">
      <w:pPr>
        <w:pStyle w:val="Pismenka"/>
        <w:numPr>
          <w:ilvl w:val="0"/>
          <w:numId w:val="0"/>
        </w:numPr>
        <w:ind w:left="360" w:hanging="360"/>
        <w:rPr>
          <w:rFonts w:asciiTheme="minorHAnsi" w:hAnsiTheme="minorHAnsi"/>
          <w:b w:val="0"/>
          <w:sz w:val="24"/>
          <w:szCs w:val="24"/>
        </w:rPr>
      </w:pPr>
      <w:r>
        <w:rPr>
          <w:rFonts w:asciiTheme="minorHAnsi" w:hAnsiTheme="minorHAnsi"/>
          <w:b w:val="0"/>
          <w:sz w:val="24"/>
          <w:szCs w:val="24"/>
        </w:rPr>
        <w:t xml:space="preserve">Prenajatú nehnuteľnosť vykazuje Spoločnosť v súvahe ako dlhodobý hmotný majetok. </w:t>
      </w:r>
    </w:p>
    <w:p w:rsidR="00434525" w:rsidRDefault="00434525" w:rsidP="00FD0BCD">
      <w:pPr>
        <w:pStyle w:val="Pismenka"/>
        <w:numPr>
          <w:ilvl w:val="0"/>
          <w:numId w:val="0"/>
        </w:numPr>
        <w:ind w:left="360" w:hanging="360"/>
        <w:rPr>
          <w:rFonts w:asciiTheme="minorHAnsi" w:hAnsiTheme="minorHAnsi"/>
          <w:b w:val="0"/>
          <w:sz w:val="24"/>
          <w:szCs w:val="24"/>
        </w:rPr>
      </w:pPr>
    </w:p>
    <w:p w:rsidR="00FD0BCD" w:rsidRDefault="00FD0BCD" w:rsidP="00FD0BCD">
      <w:pPr>
        <w:pStyle w:val="Pismenka"/>
        <w:numPr>
          <w:ilvl w:val="0"/>
          <w:numId w:val="0"/>
        </w:numPr>
        <w:ind w:left="360" w:hanging="360"/>
        <w:rPr>
          <w:rFonts w:asciiTheme="minorHAnsi" w:hAnsiTheme="minorHAnsi"/>
          <w:sz w:val="24"/>
          <w:szCs w:val="24"/>
        </w:rPr>
      </w:pPr>
      <w:r w:rsidRPr="00FD0BCD">
        <w:rPr>
          <w:rFonts w:asciiTheme="minorHAnsi" w:hAnsiTheme="minorHAnsi"/>
          <w:sz w:val="24"/>
          <w:szCs w:val="24"/>
        </w:rPr>
        <w:t>F. INFORMÁCIE O SKUTOČNOSTIACH, KTORÉ NASTALI PO DNI, KU KTORÉMU SA</w:t>
      </w:r>
    </w:p>
    <w:p w:rsidR="00FD0BCD" w:rsidRDefault="00FD0BCD" w:rsidP="00FD0BCD">
      <w:pPr>
        <w:pStyle w:val="Pismenka"/>
        <w:numPr>
          <w:ilvl w:val="0"/>
          <w:numId w:val="0"/>
        </w:numPr>
        <w:ind w:left="360" w:hanging="360"/>
        <w:rPr>
          <w:rFonts w:asciiTheme="minorHAnsi" w:hAnsiTheme="minorHAnsi"/>
          <w:sz w:val="24"/>
          <w:szCs w:val="24"/>
        </w:rPr>
      </w:pPr>
      <w:r w:rsidRPr="00FD0BCD">
        <w:rPr>
          <w:rFonts w:asciiTheme="minorHAnsi" w:hAnsiTheme="minorHAnsi"/>
          <w:sz w:val="24"/>
          <w:szCs w:val="24"/>
        </w:rPr>
        <w:t>ZOSTAVUJE ÚČTOVNÁ ZÁVIERKA, DO DŇA ZOSTAVENIA ÚČTOVNEJ ZÁVIERKY</w:t>
      </w:r>
    </w:p>
    <w:p w:rsidR="00434525" w:rsidRPr="00434525" w:rsidRDefault="00FD0BCD" w:rsidP="00434525">
      <w:pPr>
        <w:pStyle w:val="Pismenka"/>
        <w:numPr>
          <w:ilvl w:val="0"/>
          <w:numId w:val="0"/>
        </w:numPr>
        <w:ind w:left="360" w:hanging="360"/>
        <w:rPr>
          <w:rFonts w:asciiTheme="minorHAnsi" w:hAnsiTheme="minorHAnsi"/>
          <w:b w:val="0"/>
          <w:sz w:val="24"/>
          <w:szCs w:val="24"/>
        </w:rPr>
      </w:pPr>
      <w:r>
        <w:rPr>
          <w:rFonts w:asciiTheme="minorHAnsi" w:hAnsiTheme="minorHAnsi"/>
          <w:b w:val="0"/>
          <w:sz w:val="24"/>
          <w:szCs w:val="24"/>
        </w:rPr>
        <w:t>Účtovná jednotka nemá náplň p</w:t>
      </w:r>
      <w:bookmarkStart w:id="0" w:name="_GoBack"/>
      <w:bookmarkEnd w:id="0"/>
      <w:r>
        <w:rPr>
          <w:rFonts w:asciiTheme="minorHAnsi" w:hAnsiTheme="minorHAnsi"/>
          <w:b w:val="0"/>
          <w:sz w:val="24"/>
          <w:szCs w:val="24"/>
        </w:rPr>
        <w:t>re tento bod.</w:t>
      </w:r>
    </w:p>
    <w:p w:rsidR="00EA73F9" w:rsidRPr="00434525" w:rsidRDefault="00EA73F9" w:rsidP="00434525">
      <w:pPr>
        <w:spacing w:after="0" w:line="240" w:lineRule="auto"/>
        <w:jc w:val="both"/>
        <w:rPr>
          <w:b/>
          <w:sz w:val="24"/>
          <w:szCs w:val="24"/>
        </w:rPr>
      </w:pPr>
    </w:p>
    <w:p w:rsidR="00505DFB" w:rsidRPr="00DA221C" w:rsidRDefault="00505DFB" w:rsidP="00DA221C">
      <w:pPr>
        <w:spacing w:after="0" w:line="240" w:lineRule="auto"/>
        <w:rPr>
          <w:sz w:val="24"/>
          <w:szCs w:val="24"/>
        </w:rPr>
      </w:pPr>
    </w:p>
    <w:sectPr w:rsidR="00505DFB" w:rsidRPr="00DA221C">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21C2" w:rsidRDefault="002F21C2" w:rsidP="00C905EA">
      <w:pPr>
        <w:spacing w:after="0" w:line="240" w:lineRule="auto"/>
      </w:pPr>
      <w:r>
        <w:separator/>
      </w:r>
    </w:p>
  </w:endnote>
  <w:endnote w:type="continuationSeparator" w:id="0">
    <w:p w:rsidR="002F21C2" w:rsidRDefault="002F21C2" w:rsidP="00C905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2576795"/>
      <w:docPartObj>
        <w:docPartGallery w:val="Page Numbers (Bottom of Page)"/>
        <w:docPartUnique/>
      </w:docPartObj>
    </w:sdtPr>
    <w:sdtEndPr/>
    <w:sdtContent>
      <w:p w:rsidR="00C905EA" w:rsidRDefault="00C905EA">
        <w:pPr>
          <w:pStyle w:val="Pta"/>
          <w:jc w:val="center"/>
        </w:pPr>
        <w:r>
          <w:fldChar w:fldCharType="begin"/>
        </w:r>
        <w:r>
          <w:instrText>PAGE   \* MERGEFORMAT</w:instrText>
        </w:r>
        <w:r>
          <w:fldChar w:fldCharType="separate"/>
        </w:r>
        <w:r w:rsidR="007513A6">
          <w:rPr>
            <w:noProof/>
          </w:rPr>
          <w:t>1</w:t>
        </w:r>
        <w:r>
          <w:fldChar w:fldCharType="end"/>
        </w:r>
      </w:p>
    </w:sdtContent>
  </w:sdt>
  <w:p w:rsidR="00C905EA" w:rsidRDefault="00C905E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21C2" w:rsidRDefault="002F21C2" w:rsidP="00C905EA">
      <w:pPr>
        <w:spacing w:after="0" w:line="240" w:lineRule="auto"/>
      </w:pPr>
      <w:r>
        <w:separator/>
      </w:r>
    </w:p>
  </w:footnote>
  <w:footnote w:type="continuationSeparator" w:id="0">
    <w:p w:rsidR="002F21C2" w:rsidRDefault="002F21C2" w:rsidP="00C905E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05EA" w:rsidRDefault="00C905EA">
    <w:pPr>
      <w:pStyle w:val="Hlavika"/>
    </w:pPr>
    <w:r>
      <w:t>Poznámky ÚčPODV3-01</w:t>
    </w:r>
    <w:r>
      <w:tab/>
      <w:t xml:space="preserve">                                                                                                               VT – Real, s.r.o.</w:t>
    </w:r>
  </w:p>
  <w:p w:rsidR="00C905EA" w:rsidRDefault="00C905EA">
    <w:pPr>
      <w:pStyle w:val="Hlavika"/>
    </w:pPr>
    <w:r>
      <w:tab/>
      <w:t xml:space="preserve">                                                                                                                                                    IČO: 47735759</w:t>
    </w:r>
  </w:p>
  <w:p w:rsidR="00C905EA" w:rsidRDefault="00C905EA">
    <w:pPr>
      <w:pStyle w:val="Hlavika"/>
    </w:pPr>
    <w:r>
      <w:tab/>
    </w:r>
    <w:r>
      <w:tab/>
      <w:t xml:space="preserve">         DIČ: 2020407643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221C"/>
    <w:rsid w:val="000E6E82"/>
    <w:rsid w:val="0011246B"/>
    <w:rsid w:val="0018009D"/>
    <w:rsid w:val="001A54D9"/>
    <w:rsid w:val="002F21C2"/>
    <w:rsid w:val="0033228F"/>
    <w:rsid w:val="0036244B"/>
    <w:rsid w:val="00366F35"/>
    <w:rsid w:val="00411833"/>
    <w:rsid w:val="00434525"/>
    <w:rsid w:val="004552C8"/>
    <w:rsid w:val="004A6D0F"/>
    <w:rsid w:val="004E1448"/>
    <w:rsid w:val="00505DFB"/>
    <w:rsid w:val="005A7CFF"/>
    <w:rsid w:val="0064713C"/>
    <w:rsid w:val="007513A6"/>
    <w:rsid w:val="00867F41"/>
    <w:rsid w:val="00940A86"/>
    <w:rsid w:val="00A604CB"/>
    <w:rsid w:val="00B12867"/>
    <w:rsid w:val="00BB1ABC"/>
    <w:rsid w:val="00BD6CCD"/>
    <w:rsid w:val="00C22361"/>
    <w:rsid w:val="00C502E1"/>
    <w:rsid w:val="00C5061C"/>
    <w:rsid w:val="00C905EA"/>
    <w:rsid w:val="00CE4945"/>
    <w:rsid w:val="00D80D28"/>
    <w:rsid w:val="00DA221C"/>
    <w:rsid w:val="00DB134E"/>
    <w:rsid w:val="00E35F9D"/>
    <w:rsid w:val="00E42CED"/>
    <w:rsid w:val="00EA73F9"/>
    <w:rsid w:val="00FD0BC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EA73F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EA73F9"/>
    <w:rPr>
      <w:rFonts w:ascii="Times New Roman" w:eastAsia="Times New Roman" w:hAnsi="Times New Roman" w:cs="Times New Roman"/>
      <w:sz w:val="18"/>
      <w:szCs w:val="20"/>
    </w:rPr>
  </w:style>
  <w:style w:type="paragraph" w:customStyle="1" w:styleId="Pismenka">
    <w:name w:val="Pismenka"/>
    <w:basedOn w:val="Zkladntext"/>
    <w:rsid w:val="00EA73F9"/>
    <w:pPr>
      <w:numPr>
        <w:numId w:val="1"/>
      </w:numPr>
    </w:pPr>
    <w:rPr>
      <w:b/>
    </w:rPr>
  </w:style>
  <w:style w:type="paragraph" w:styleId="Hlavika">
    <w:name w:val="header"/>
    <w:basedOn w:val="Normlny"/>
    <w:link w:val="HlavikaChar"/>
    <w:uiPriority w:val="99"/>
    <w:unhideWhenUsed/>
    <w:rsid w:val="00EA73F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uiPriority w:val="99"/>
    <w:rsid w:val="00EA73F9"/>
    <w:rPr>
      <w:rFonts w:ascii="Times New Roman" w:eastAsia="Times New Roman" w:hAnsi="Times New Roman" w:cs="Times New Roman"/>
      <w:sz w:val="20"/>
      <w:szCs w:val="20"/>
    </w:rPr>
  </w:style>
  <w:style w:type="paragraph" w:styleId="Pta">
    <w:name w:val="footer"/>
    <w:basedOn w:val="Normlny"/>
    <w:link w:val="PtaChar"/>
    <w:uiPriority w:val="99"/>
    <w:unhideWhenUsed/>
    <w:rsid w:val="00C905EA"/>
    <w:pPr>
      <w:tabs>
        <w:tab w:val="center" w:pos="4536"/>
        <w:tab w:val="right" w:pos="9072"/>
      </w:tabs>
      <w:spacing w:after="0" w:line="240" w:lineRule="auto"/>
    </w:pPr>
  </w:style>
  <w:style w:type="character" w:customStyle="1" w:styleId="PtaChar">
    <w:name w:val="Päta Char"/>
    <w:basedOn w:val="Predvolenpsmoodseku"/>
    <w:link w:val="Pta"/>
    <w:uiPriority w:val="99"/>
    <w:rsid w:val="00C905E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EA73F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EA73F9"/>
    <w:rPr>
      <w:rFonts w:ascii="Times New Roman" w:eastAsia="Times New Roman" w:hAnsi="Times New Roman" w:cs="Times New Roman"/>
      <w:sz w:val="18"/>
      <w:szCs w:val="20"/>
    </w:rPr>
  </w:style>
  <w:style w:type="paragraph" w:customStyle="1" w:styleId="Pismenka">
    <w:name w:val="Pismenka"/>
    <w:basedOn w:val="Zkladntext"/>
    <w:rsid w:val="00EA73F9"/>
    <w:pPr>
      <w:numPr>
        <w:numId w:val="1"/>
      </w:numPr>
    </w:pPr>
    <w:rPr>
      <w:b/>
    </w:rPr>
  </w:style>
  <w:style w:type="paragraph" w:styleId="Hlavika">
    <w:name w:val="header"/>
    <w:basedOn w:val="Normlny"/>
    <w:link w:val="HlavikaChar"/>
    <w:uiPriority w:val="99"/>
    <w:unhideWhenUsed/>
    <w:rsid w:val="00EA73F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uiPriority w:val="99"/>
    <w:rsid w:val="00EA73F9"/>
    <w:rPr>
      <w:rFonts w:ascii="Times New Roman" w:eastAsia="Times New Roman" w:hAnsi="Times New Roman" w:cs="Times New Roman"/>
      <w:sz w:val="20"/>
      <w:szCs w:val="20"/>
    </w:rPr>
  </w:style>
  <w:style w:type="paragraph" w:styleId="Pta">
    <w:name w:val="footer"/>
    <w:basedOn w:val="Normlny"/>
    <w:link w:val="PtaChar"/>
    <w:uiPriority w:val="99"/>
    <w:unhideWhenUsed/>
    <w:rsid w:val="00C905EA"/>
    <w:pPr>
      <w:tabs>
        <w:tab w:val="center" w:pos="4536"/>
        <w:tab w:val="right" w:pos="9072"/>
      </w:tabs>
      <w:spacing w:after="0" w:line="240" w:lineRule="auto"/>
    </w:pPr>
  </w:style>
  <w:style w:type="character" w:customStyle="1" w:styleId="PtaChar">
    <w:name w:val="Päta Char"/>
    <w:basedOn w:val="Predvolenpsmoodseku"/>
    <w:link w:val="Pta"/>
    <w:uiPriority w:val="99"/>
    <w:rsid w:val="00C905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293</TotalTime>
  <Pages>5</Pages>
  <Words>1590</Words>
  <Characters>9069</Characters>
  <Application>Microsoft Office Word</Application>
  <DocSecurity>0</DocSecurity>
  <Lines>75</Lines>
  <Paragraphs>21</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10638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Barbora Majlingová</dc:creator>
  <cp:lastModifiedBy>Barbora Majlingová</cp:lastModifiedBy>
  <cp:revision>4</cp:revision>
  <cp:lastPrinted>2016-07-27T05:48:00Z</cp:lastPrinted>
  <dcterms:created xsi:type="dcterms:W3CDTF">2017-07-20T09:01:00Z</dcterms:created>
  <dcterms:modified xsi:type="dcterms:W3CDTF">2017-07-28T13:12:00Z</dcterms:modified>
</cp:coreProperties>
</file>