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emf" ContentType="image/x-emf"/>
  <Default Extension="xls" ContentType="application/vnd.ms-exce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F6861" w:rsidRDefault="00DF6861">
      <w:pPr>
        <w:pStyle w:val="FootnotesTitle"/>
        <w:tabs>
          <w:tab w:val="left" w:pos="7513"/>
        </w:tabs>
        <w:outlineLvl w:val="0"/>
      </w:pPr>
      <w:r>
        <w:t xml:space="preserve">                                                                                                                                                                                                                                                                                                                                                                                                                                                                                                                                                                                                                                                                                                                                                                                                                                                                                                                                                                                                                                                                                                                                                                                                                                                                                                                             POZNÁMKY</w:t>
      </w:r>
    </w:p>
    <w:p w:rsidR="00DF6861" w:rsidRDefault="00DF6861">
      <w:pPr>
        <w:pStyle w:val="FootnotesTitle"/>
        <w:rPr>
          <w:lang w:val="sk-SK"/>
        </w:rPr>
      </w:pPr>
      <w:r>
        <w:rPr>
          <w:lang w:val="sk-SK"/>
        </w:rPr>
        <w:t xml:space="preserve"> INDIVIDUÁLNEJ ÚČTOVNEJ ZÁVIERKY MALEJ ÚČTOVNEJ JEDNOTKY  K 31. 12. 201</w:t>
      </w:r>
      <w:r w:rsidR="00504161">
        <w:rPr>
          <w:lang w:val="sk-SK"/>
        </w:rPr>
        <w:t>6</w:t>
      </w:r>
    </w:p>
    <w:p w:rsidR="00DF6861" w:rsidRDefault="00DF6861">
      <w:pPr>
        <w:pStyle w:val="CurrencyNote"/>
        <w:rPr>
          <w:lang w:val="sk-SK"/>
        </w:rPr>
      </w:pPr>
      <w:r>
        <w:rPr>
          <w:lang w:val="sk-SK"/>
        </w:rPr>
        <w:t>(Údaje v celých  eurách - EUR)</w:t>
      </w:r>
    </w:p>
    <w:p w:rsidR="00DF6861" w:rsidRDefault="00DF6861">
      <w:pPr>
        <w:pStyle w:val="Notetitle"/>
        <w:numPr>
          <w:ilvl w:val="0"/>
          <w:numId w:val="0"/>
        </w:numPr>
        <w:tabs>
          <w:tab w:val="clear" w:pos="119"/>
          <w:tab w:val="num" w:pos="851"/>
        </w:tabs>
        <w:ind w:left="734" w:hanging="450"/>
        <w:rPr>
          <w:u w:val="single"/>
        </w:rPr>
      </w:pPr>
      <w:bookmarkStart w:id="0" w:name="_Toc530739894"/>
      <w:bookmarkStart w:id="1" w:name="_Toc464644523"/>
      <w:bookmarkStart w:id="2" w:name="_Toc61257288"/>
      <w:r>
        <w:rPr>
          <w:u w:val="single"/>
        </w:rPr>
        <w:t>čl. I  všEOBECNé INFORMáCIE</w:t>
      </w:r>
      <w:bookmarkEnd w:id="0"/>
      <w:bookmarkEnd w:id="1"/>
      <w:r>
        <w:rPr>
          <w:u w:val="single"/>
        </w:rPr>
        <w:t xml:space="preserve"> </w:t>
      </w:r>
      <w:bookmarkEnd w:id="2"/>
    </w:p>
    <w:p w:rsidR="00DF6861" w:rsidRDefault="00DF6861">
      <w:pPr>
        <w:pStyle w:val="Notesubtitle"/>
      </w:pPr>
      <w:bookmarkStart w:id="3" w:name="_Toc530739895"/>
      <w:bookmarkStart w:id="4" w:name="_Toc464644524"/>
      <w:r>
        <w:t>Obchodné meno a sídlo spoločnosti:</w:t>
      </w:r>
      <w:bookmarkEnd w:id="3"/>
      <w:bookmarkEnd w:id="4"/>
    </w:p>
    <w:p w:rsidR="00DF6861" w:rsidRPr="00504161" w:rsidRDefault="00DF6861">
      <w:pPr>
        <w:pStyle w:val="Notetext"/>
        <w:spacing w:after="0"/>
        <w:rPr>
          <w:b/>
          <w:sz w:val="20"/>
        </w:rPr>
      </w:pPr>
      <w:r w:rsidRPr="00504161">
        <w:rPr>
          <w:b/>
          <w:sz w:val="20"/>
        </w:rPr>
        <w:t>SCBC, s.r.o.</w:t>
      </w:r>
    </w:p>
    <w:p w:rsidR="00DF6861" w:rsidRPr="00504161" w:rsidRDefault="00DF6861">
      <w:pPr>
        <w:pStyle w:val="Notetext"/>
        <w:spacing w:after="0"/>
        <w:rPr>
          <w:b/>
          <w:sz w:val="20"/>
        </w:rPr>
      </w:pPr>
      <w:r w:rsidRPr="00504161">
        <w:rPr>
          <w:b/>
          <w:sz w:val="20"/>
        </w:rPr>
        <w:t>Zámocká 529/34</w:t>
      </w:r>
    </w:p>
    <w:p w:rsidR="00DF6861" w:rsidRPr="00504161" w:rsidRDefault="00DF6861">
      <w:pPr>
        <w:pStyle w:val="Notetext"/>
        <w:spacing w:after="0"/>
        <w:rPr>
          <w:b/>
          <w:sz w:val="20"/>
        </w:rPr>
      </w:pPr>
      <w:r w:rsidRPr="00504161">
        <w:rPr>
          <w:b/>
          <w:sz w:val="20"/>
        </w:rPr>
        <w:t>Stropkov  091 01</w:t>
      </w:r>
    </w:p>
    <w:p w:rsidR="00DF6861" w:rsidRDefault="00DF6861">
      <w:pPr>
        <w:pStyle w:val="Notetext"/>
        <w:spacing w:after="0"/>
      </w:pPr>
    </w:p>
    <w:p w:rsidR="00DF6861" w:rsidRDefault="00DF6861">
      <w:pPr>
        <w:pStyle w:val="Notetext"/>
        <w:rPr>
          <w:sz w:val="20"/>
        </w:rPr>
      </w:pPr>
      <w:r>
        <w:rPr>
          <w:sz w:val="20"/>
        </w:rPr>
        <w:t>Spoločnosť bola založená dňa</w:t>
      </w:r>
      <w:r>
        <w:rPr>
          <w:color w:val="FF0000"/>
          <w:sz w:val="20"/>
        </w:rPr>
        <w:t xml:space="preserve"> </w:t>
      </w:r>
      <w:r>
        <w:rPr>
          <w:sz w:val="20"/>
        </w:rPr>
        <w:t>29.06.2004 a zaregistrovaná do Obchodného registra Okresného súdu Prešov,  Vložka č.15093/P.</w:t>
      </w:r>
    </w:p>
    <w:p w:rsidR="00DF6861" w:rsidRDefault="00DF6861">
      <w:pPr>
        <w:pStyle w:val="Notesubtitle"/>
      </w:pPr>
      <w:bookmarkStart w:id="5" w:name="_Toc464644525"/>
      <w:r>
        <w:t>Hlavným predmetom činnosti spoločnosti podľa výpisu z Obchodného registra          je (len hlavné aktivity):</w:t>
      </w:r>
      <w:bookmarkEnd w:id="5"/>
    </w:p>
    <w:p w:rsidR="00DF6861" w:rsidRDefault="00055338">
      <w:pPr>
        <w:pStyle w:val="NotetextIndent"/>
        <w:numPr>
          <w:ilvl w:val="0"/>
          <w:numId w:val="7"/>
        </w:numPr>
        <w:rPr>
          <w:sz w:val="20"/>
        </w:rPr>
      </w:pPr>
      <w:r>
        <w:rPr>
          <w:rFonts w:cs="Arial"/>
          <w:sz w:val="20"/>
          <w:lang w:val="cs-CZ" w:eastAsia="cs-CZ"/>
        </w:rPr>
        <w:t xml:space="preserve">výroba </w:t>
      </w:r>
      <w:r w:rsidR="00DF6861">
        <w:rPr>
          <w:rFonts w:cs="Arial"/>
          <w:sz w:val="20"/>
          <w:lang w:val="cs-CZ" w:eastAsia="cs-CZ"/>
        </w:rPr>
        <w:t xml:space="preserve">kovových </w:t>
      </w:r>
      <w:proofErr w:type="spellStart"/>
      <w:r w:rsidR="00DF6861">
        <w:rPr>
          <w:rFonts w:cs="Arial"/>
          <w:sz w:val="20"/>
          <w:lang w:val="cs-CZ" w:eastAsia="cs-CZ"/>
        </w:rPr>
        <w:t>konštrukcií</w:t>
      </w:r>
      <w:proofErr w:type="spellEnd"/>
      <w:r w:rsidR="00DF6861">
        <w:rPr>
          <w:rFonts w:cs="Arial"/>
          <w:sz w:val="20"/>
          <w:lang w:val="cs-CZ" w:eastAsia="cs-CZ"/>
        </w:rPr>
        <w:t xml:space="preserve"> a </w:t>
      </w:r>
      <w:proofErr w:type="spellStart"/>
      <w:r w:rsidR="00DF6861">
        <w:rPr>
          <w:rFonts w:cs="Arial"/>
          <w:sz w:val="20"/>
          <w:lang w:val="cs-CZ" w:eastAsia="cs-CZ"/>
        </w:rPr>
        <w:t>ich</w:t>
      </w:r>
      <w:proofErr w:type="spellEnd"/>
      <w:r w:rsidR="00DF6861">
        <w:rPr>
          <w:rFonts w:cs="Arial"/>
          <w:sz w:val="20"/>
          <w:lang w:val="cs-CZ" w:eastAsia="cs-CZ"/>
        </w:rPr>
        <w:t xml:space="preserve"> častí,</w:t>
      </w:r>
    </w:p>
    <w:p w:rsidR="00DF6861" w:rsidRDefault="00DF6861">
      <w:pPr>
        <w:pStyle w:val="NotetextIndent"/>
        <w:numPr>
          <w:ilvl w:val="0"/>
          <w:numId w:val="7"/>
        </w:numPr>
        <w:rPr>
          <w:rStyle w:val="ra"/>
          <w:sz w:val="20"/>
        </w:rPr>
      </w:pPr>
      <w:proofErr w:type="spellStart"/>
      <w:r>
        <w:rPr>
          <w:rFonts w:cs="Arial"/>
          <w:sz w:val="20"/>
          <w:lang w:val="cs-CZ" w:eastAsia="cs-CZ"/>
        </w:rPr>
        <w:t>veľkoobchod</w:t>
      </w:r>
      <w:proofErr w:type="spellEnd"/>
      <w:r>
        <w:rPr>
          <w:rFonts w:cs="Arial"/>
          <w:sz w:val="20"/>
          <w:lang w:val="cs-CZ" w:eastAsia="cs-CZ"/>
        </w:rPr>
        <w:t xml:space="preserve"> v rozsahu </w:t>
      </w:r>
      <w:proofErr w:type="spellStart"/>
      <w:r>
        <w:rPr>
          <w:rFonts w:cs="Arial"/>
          <w:sz w:val="20"/>
          <w:lang w:val="cs-CZ" w:eastAsia="cs-CZ"/>
        </w:rPr>
        <w:t>voľných</w:t>
      </w:r>
      <w:proofErr w:type="spellEnd"/>
      <w:r>
        <w:rPr>
          <w:rFonts w:cs="Arial"/>
          <w:sz w:val="20"/>
          <w:lang w:val="cs-CZ" w:eastAsia="cs-CZ"/>
        </w:rPr>
        <w:t xml:space="preserve"> živností,</w:t>
      </w:r>
    </w:p>
    <w:p w:rsidR="00DF6861" w:rsidRDefault="00DF6861">
      <w:pPr>
        <w:pStyle w:val="NotetextIndent"/>
        <w:numPr>
          <w:ilvl w:val="0"/>
          <w:numId w:val="7"/>
        </w:numPr>
        <w:rPr>
          <w:sz w:val="20"/>
        </w:rPr>
      </w:pPr>
      <w:r>
        <w:rPr>
          <w:rFonts w:cs="Arial"/>
          <w:sz w:val="20"/>
          <w:lang w:val="cs-CZ" w:eastAsia="cs-CZ"/>
        </w:rPr>
        <w:t xml:space="preserve">maloobchod v rozsahu </w:t>
      </w:r>
      <w:proofErr w:type="spellStart"/>
      <w:r>
        <w:rPr>
          <w:rFonts w:cs="Arial"/>
          <w:sz w:val="20"/>
          <w:lang w:val="cs-CZ" w:eastAsia="cs-CZ"/>
        </w:rPr>
        <w:t>voľných</w:t>
      </w:r>
      <w:proofErr w:type="spellEnd"/>
      <w:r>
        <w:rPr>
          <w:rFonts w:cs="Arial"/>
          <w:sz w:val="20"/>
          <w:lang w:val="cs-CZ" w:eastAsia="cs-CZ"/>
        </w:rPr>
        <w:t xml:space="preserve"> živností</w:t>
      </w:r>
      <w:r>
        <w:rPr>
          <w:rStyle w:val="ra"/>
          <w:sz w:val="20"/>
        </w:rPr>
        <w:t>.</w:t>
      </w:r>
    </w:p>
    <w:p w:rsidR="00DF6861" w:rsidRDefault="00DF6861">
      <w:pPr>
        <w:pStyle w:val="Notesubtitle"/>
      </w:pPr>
      <w:bookmarkStart w:id="6" w:name="_Toc464644526"/>
      <w:r>
        <w:t>Priemerný počet zamestnancov spoločnosti</w:t>
      </w:r>
      <w:bookmarkEnd w:id="6"/>
      <w:r>
        <w:t xml:space="preserve"> </w:t>
      </w:r>
    </w:p>
    <w:p w:rsidR="00DF6861" w:rsidRDefault="00DF6861">
      <w:pPr>
        <w:pStyle w:val="Notetext"/>
        <w:rPr>
          <w:sz w:val="20"/>
        </w:rPr>
      </w:pPr>
      <w:r>
        <w:rPr>
          <w:sz w:val="20"/>
        </w:rPr>
        <w:t>Priemerný počet zamestnancov spoločnosti v roku 201</w:t>
      </w:r>
      <w:r w:rsidR="003A6E78">
        <w:rPr>
          <w:sz w:val="20"/>
        </w:rPr>
        <w:t>6</w:t>
      </w:r>
      <w:r>
        <w:rPr>
          <w:sz w:val="20"/>
        </w:rPr>
        <w:t xml:space="preserve"> a 201</w:t>
      </w:r>
      <w:r w:rsidR="003A6E78">
        <w:rPr>
          <w:sz w:val="20"/>
        </w:rPr>
        <w:t>5</w:t>
      </w:r>
      <w:r>
        <w:rPr>
          <w:sz w:val="20"/>
        </w:rPr>
        <w:t xml:space="preserve"> je zobrazený v nasledujúcej tabuľke</w:t>
      </w:r>
    </w:p>
    <w:tbl>
      <w:tblPr>
        <w:tblW w:w="4241" w:type="pct"/>
        <w:jc w:val="center"/>
        <w:tblLayout w:type="fixed"/>
        <w:tblCellMar>
          <w:left w:w="70" w:type="dxa"/>
          <w:right w:w="70" w:type="dxa"/>
        </w:tblCellMar>
        <w:tblLook w:val="0000"/>
      </w:tblPr>
      <w:tblGrid>
        <w:gridCol w:w="2731"/>
        <w:gridCol w:w="2379"/>
        <w:gridCol w:w="3045"/>
      </w:tblGrid>
      <w:tr w:rsidR="00DF6861">
        <w:trPr>
          <w:jc w:val="center"/>
        </w:trPr>
        <w:tc>
          <w:tcPr>
            <w:tcW w:w="2731" w:type="dxa"/>
            <w:tcBorders>
              <w:top w:val="single" w:sz="4" w:space="0" w:color="auto"/>
              <w:bottom w:val="single" w:sz="4" w:space="0" w:color="auto"/>
            </w:tcBorders>
            <w:vAlign w:val="center"/>
          </w:tcPr>
          <w:p w:rsidR="00DF6861" w:rsidRDefault="00DF6861">
            <w:pPr>
              <w:pStyle w:val="TopHeader"/>
              <w:jc w:val="left"/>
              <w:rPr>
                <w:rFonts w:ascii="Arial" w:hAnsi="Arial" w:cs="Arial"/>
                <w:sz w:val="18"/>
              </w:rPr>
            </w:pPr>
            <w:r>
              <w:rPr>
                <w:rFonts w:ascii="Arial" w:hAnsi="Arial" w:cs="Arial"/>
                <w:sz w:val="18"/>
              </w:rPr>
              <w:t>Názov položky</w:t>
            </w:r>
          </w:p>
        </w:tc>
        <w:tc>
          <w:tcPr>
            <w:tcW w:w="2379" w:type="dxa"/>
            <w:tcBorders>
              <w:top w:val="single" w:sz="4" w:space="0" w:color="auto"/>
              <w:bottom w:val="single" w:sz="4" w:space="0" w:color="auto"/>
            </w:tcBorders>
            <w:vAlign w:val="center"/>
          </w:tcPr>
          <w:p w:rsidR="00DF6861" w:rsidRDefault="00DF6861">
            <w:pPr>
              <w:pStyle w:val="TopHeader"/>
              <w:jc w:val="left"/>
              <w:rPr>
                <w:rFonts w:ascii="Arial" w:hAnsi="Arial" w:cs="Arial"/>
                <w:sz w:val="18"/>
              </w:rPr>
            </w:pPr>
            <w:r>
              <w:rPr>
                <w:rFonts w:ascii="Arial" w:hAnsi="Arial" w:cs="Arial"/>
                <w:sz w:val="18"/>
              </w:rPr>
              <w:t>Bežné účtovné obdobie</w:t>
            </w:r>
          </w:p>
        </w:tc>
        <w:tc>
          <w:tcPr>
            <w:tcW w:w="3045" w:type="dxa"/>
            <w:tcBorders>
              <w:top w:val="single" w:sz="4" w:space="0" w:color="auto"/>
              <w:bottom w:val="single" w:sz="4" w:space="0" w:color="auto"/>
            </w:tcBorders>
            <w:vAlign w:val="center"/>
          </w:tcPr>
          <w:p w:rsidR="00DF6861" w:rsidRDefault="00DF6861">
            <w:pPr>
              <w:pStyle w:val="TopHeader"/>
              <w:rPr>
                <w:rFonts w:ascii="Arial" w:hAnsi="Arial" w:cs="Arial"/>
                <w:sz w:val="18"/>
              </w:rPr>
            </w:pPr>
            <w:r>
              <w:rPr>
                <w:rFonts w:ascii="Arial" w:hAnsi="Arial" w:cs="Arial"/>
                <w:sz w:val="18"/>
              </w:rPr>
              <w:t>Bezprostredne predchádzajúce účtovné obdobie</w:t>
            </w:r>
          </w:p>
        </w:tc>
      </w:tr>
      <w:tr w:rsidR="00DF6861">
        <w:trPr>
          <w:trHeight w:val="416"/>
          <w:jc w:val="center"/>
        </w:trPr>
        <w:tc>
          <w:tcPr>
            <w:tcW w:w="2731" w:type="dxa"/>
            <w:tcBorders>
              <w:top w:val="single" w:sz="4" w:space="0" w:color="auto"/>
            </w:tcBorders>
            <w:vAlign w:val="center"/>
          </w:tcPr>
          <w:p w:rsidR="00DF6861" w:rsidRDefault="00DF6861">
            <w:pPr>
              <w:pStyle w:val="TableFirstLine"/>
              <w:widowControl/>
              <w:tabs>
                <w:tab w:val="clear" w:pos="828"/>
              </w:tabs>
              <w:spacing w:after="60"/>
              <w:rPr>
                <w:rFonts w:cs="Arial"/>
                <w:snapToGrid/>
                <w:szCs w:val="22"/>
                <w:lang w:eastAsia="sk-SK"/>
              </w:rPr>
            </w:pPr>
            <w:r>
              <w:rPr>
                <w:rFonts w:cs="Arial"/>
                <w:snapToGrid/>
                <w:szCs w:val="22"/>
                <w:lang w:eastAsia="sk-SK"/>
              </w:rPr>
              <w:t>Priemerný prepočítaný počet zamestnancov</w:t>
            </w:r>
          </w:p>
        </w:tc>
        <w:tc>
          <w:tcPr>
            <w:tcW w:w="2379" w:type="dxa"/>
            <w:tcBorders>
              <w:top w:val="single" w:sz="4" w:space="0" w:color="auto"/>
            </w:tcBorders>
          </w:tcPr>
          <w:p w:rsidR="00DF6861" w:rsidRDefault="003A6E78">
            <w:pPr>
              <w:spacing w:line="360" w:lineRule="auto"/>
              <w:jc w:val="center"/>
              <w:rPr>
                <w:rFonts w:cs="Arial"/>
                <w:sz w:val="18"/>
                <w:szCs w:val="22"/>
              </w:rPr>
            </w:pPr>
            <w:r>
              <w:rPr>
                <w:rFonts w:cs="Arial"/>
                <w:sz w:val="18"/>
                <w:szCs w:val="22"/>
              </w:rPr>
              <w:t>46</w:t>
            </w:r>
          </w:p>
        </w:tc>
        <w:tc>
          <w:tcPr>
            <w:tcW w:w="3045" w:type="dxa"/>
            <w:tcBorders>
              <w:top w:val="single" w:sz="4" w:space="0" w:color="auto"/>
            </w:tcBorders>
          </w:tcPr>
          <w:p w:rsidR="00DF6861" w:rsidRDefault="003A6E78">
            <w:pPr>
              <w:spacing w:line="360" w:lineRule="auto"/>
              <w:jc w:val="center"/>
              <w:rPr>
                <w:rFonts w:cs="Arial"/>
                <w:sz w:val="18"/>
                <w:szCs w:val="22"/>
              </w:rPr>
            </w:pPr>
            <w:r>
              <w:rPr>
                <w:rFonts w:cs="Arial"/>
                <w:sz w:val="18"/>
                <w:szCs w:val="22"/>
              </w:rPr>
              <w:t>64</w:t>
            </w:r>
          </w:p>
        </w:tc>
      </w:tr>
      <w:tr w:rsidR="00DF6861">
        <w:trPr>
          <w:trHeight w:val="285"/>
          <w:jc w:val="center"/>
        </w:trPr>
        <w:tc>
          <w:tcPr>
            <w:tcW w:w="2731" w:type="dxa"/>
            <w:vAlign w:val="center"/>
          </w:tcPr>
          <w:p w:rsidR="00DF6861" w:rsidRDefault="00DF6861">
            <w:pPr>
              <w:pStyle w:val="TableFirstLine"/>
              <w:widowControl/>
              <w:tabs>
                <w:tab w:val="clear" w:pos="828"/>
              </w:tabs>
              <w:spacing w:after="60"/>
              <w:rPr>
                <w:rFonts w:cs="Arial"/>
                <w:snapToGrid/>
                <w:szCs w:val="22"/>
                <w:lang w:eastAsia="sk-SK"/>
              </w:rPr>
            </w:pPr>
            <w:r>
              <w:rPr>
                <w:rFonts w:cs="Arial"/>
                <w:snapToGrid/>
                <w:szCs w:val="22"/>
                <w:lang w:eastAsia="sk-SK"/>
              </w:rPr>
              <w:t>Stav zamestnancov ku dňu, ku ktorému sa zostavuje účtovná závierka, z toho:</w:t>
            </w:r>
          </w:p>
        </w:tc>
        <w:tc>
          <w:tcPr>
            <w:tcW w:w="2379" w:type="dxa"/>
          </w:tcPr>
          <w:p w:rsidR="00DF6861" w:rsidRDefault="003A6E78">
            <w:pPr>
              <w:spacing w:line="360" w:lineRule="auto"/>
              <w:jc w:val="center"/>
              <w:rPr>
                <w:rFonts w:cs="Arial"/>
                <w:sz w:val="18"/>
                <w:szCs w:val="22"/>
              </w:rPr>
            </w:pPr>
            <w:r>
              <w:rPr>
                <w:rFonts w:cs="Arial"/>
                <w:sz w:val="18"/>
                <w:szCs w:val="22"/>
              </w:rPr>
              <w:t>53</w:t>
            </w:r>
          </w:p>
        </w:tc>
        <w:tc>
          <w:tcPr>
            <w:tcW w:w="3045" w:type="dxa"/>
          </w:tcPr>
          <w:p w:rsidR="00DF6861" w:rsidRDefault="00DF6861" w:rsidP="003A6E78">
            <w:pPr>
              <w:spacing w:line="360" w:lineRule="auto"/>
              <w:jc w:val="center"/>
              <w:rPr>
                <w:rFonts w:cs="Arial"/>
                <w:sz w:val="18"/>
                <w:szCs w:val="22"/>
              </w:rPr>
            </w:pPr>
            <w:r>
              <w:rPr>
                <w:rFonts w:cs="Arial"/>
                <w:sz w:val="18"/>
                <w:szCs w:val="22"/>
              </w:rPr>
              <w:t>6</w:t>
            </w:r>
            <w:r w:rsidR="003A6E78">
              <w:rPr>
                <w:rFonts w:cs="Arial"/>
                <w:sz w:val="18"/>
                <w:szCs w:val="22"/>
              </w:rPr>
              <w:t>0</w:t>
            </w:r>
          </w:p>
        </w:tc>
      </w:tr>
      <w:tr w:rsidR="00DF6861">
        <w:trPr>
          <w:trHeight w:val="285"/>
          <w:jc w:val="center"/>
        </w:trPr>
        <w:tc>
          <w:tcPr>
            <w:tcW w:w="2731" w:type="dxa"/>
            <w:tcBorders>
              <w:bottom w:val="single" w:sz="4" w:space="0" w:color="auto"/>
            </w:tcBorders>
            <w:vAlign w:val="center"/>
          </w:tcPr>
          <w:p w:rsidR="00DF6861" w:rsidRDefault="00DF6861">
            <w:pPr>
              <w:rPr>
                <w:rFonts w:cs="Arial"/>
                <w:sz w:val="18"/>
                <w:szCs w:val="22"/>
              </w:rPr>
            </w:pPr>
            <w:r>
              <w:rPr>
                <w:rFonts w:cs="Arial"/>
                <w:sz w:val="18"/>
                <w:szCs w:val="22"/>
              </w:rPr>
              <w:t>počet vedúcich zamestnancov</w:t>
            </w:r>
          </w:p>
        </w:tc>
        <w:tc>
          <w:tcPr>
            <w:tcW w:w="2379" w:type="dxa"/>
            <w:tcBorders>
              <w:bottom w:val="single" w:sz="4" w:space="0" w:color="auto"/>
            </w:tcBorders>
          </w:tcPr>
          <w:p w:rsidR="00DF6861" w:rsidRDefault="00DF6861">
            <w:pPr>
              <w:spacing w:line="360" w:lineRule="auto"/>
              <w:jc w:val="center"/>
              <w:rPr>
                <w:rFonts w:cs="Arial"/>
                <w:sz w:val="18"/>
                <w:szCs w:val="22"/>
              </w:rPr>
            </w:pPr>
            <w:r>
              <w:rPr>
                <w:rFonts w:cs="Arial"/>
                <w:sz w:val="18"/>
                <w:szCs w:val="22"/>
              </w:rPr>
              <w:t>2</w:t>
            </w:r>
          </w:p>
        </w:tc>
        <w:tc>
          <w:tcPr>
            <w:tcW w:w="3045" w:type="dxa"/>
            <w:tcBorders>
              <w:bottom w:val="single" w:sz="4" w:space="0" w:color="auto"/>
            </w:tcBorders>
          </w:tcPr>
          <w:p w:rsidR="00DF6861" w:rsidRDefault="00DF6861">
            <w:pPr>
              <w:spacing w:line="360" w:lineRule="auto"/>
              <w:jc w:val="center"/>
              <w:rPr>
                <w:rFonts w:cs="Arial"/>
                <w:sz w:val="18"/>
                <w:szCs w:val="22"/>
              </w:rPr>
            </w:pPr>
            <w:r>
              <w:rPr>
                <w:rFonts w:cs="Arial"/>
                <w:sz w:val="18"/>
                <w:szCs w:val="22"/>
              </w:rPr>
              <w:t>2</w:t>
            </w:r>
          </w:p>
        </w:tc>
      </w:tr>
    </w:tbl>
    <w:p w:rsidR="00DF6861" w:rsidRDefault="00DF6861">
      <w:pPr>
        <w:pStyle w:val="Notesubtitle"/>
      </w:pPr>
      <w:bookmarkStart w:id="7" w:name="_Toc464644527"/>
      <w:r>
        <w:t>Právny dôvod na zostavenie účtovnej závierky</w:t>
      </w:r>
      <w:bookmarkEnd w:id="7"/>
    </w:p>
    <w:p w:rsidR="00DF6861" w:rsidRDefault="00DF6861">
      <w:pPr>
        <w:pStyle w:val="Notetext"/>
        <w:rPr>
          <w:sz w:val="20"/>
        </w:rPr>
      </w:pPr>
      <w:r>
        <w:rPr>
          <w:sz w:val="20"/>
        </w:rPr>
        <w:t>Účtovná závierka Spoločnosti k 31. decembru 201</w:t>
      </w:r>
      <w:r w:rsidR="003A6E78">
        <w:rPr>
          <w:sz w:val="20"/>
        </w:rPr>
        <w:t>6</w:t>
      </w:r>
      <w:r>
        <w:rPr>
          <w:sz w:val="20"/>
        </w:rPr>
        <w:t xml:space="preserve"> je zostavená ako riadna účtovná závierka podľa § 17 ods. 6 zákona NR SR č. 431/2002 Z. z. o účtovníctve, za účtovné obdobie od 1. januára 201</w:t>
      </w:r>
      <w:r w:rsidR="003A6E78">
        <w:rPr>
          <w:sz w:val="20"/>
        </w:rPr>
        <w:t>6</w:t>
      </w:r>
      <w:r>
        <w:rPr>
          <w:sz w:val="20"/>
        </w:rPr>
        <w:t xml:space="preserve"> do 31. decembra 201</w:t>
      </w:r>
      <w:r w:rsidR="003A6E78">
        <w:rPr>
          <w:sz w:val="20"/>
        </w:rPr>
        <w:t>6</w:t>
      </w:r>
      <w:r>
        <w:rPr>
          <w:sz w:val="20"/>
        </w:rPr>
        <w:t>.</w:t>
      </w:r>
    </w:p>
    <w:p w:rsidR="00DF6861" w:rsidRDefault="00DF6861">
      <w:pPr>
        <w:pStyle w:val="Zkladntext"/>
        <w:ind w:hanging="426"/>
      </w:pPr>
    </w:p>
    <w:p w:rsidR="00DF6861" w:rsidRDefault="00DF6861">
      <w:pPr>
        <w:pStyle w:val="Notesubtitle"/>
      </w:pPr>
      <w:bookmarkStart w:id="8" w:name="_Toc464644528"/>
      <w:r>
        <w:t>Dátum schválenia účtovnej závierky za predchádzajúce účtovné obdobie</w:t>
      </w:r>
      <w:bookmarkEnd w:id="8"/>
    </w:p>
    <w:p w:rsidR="00DF6861" w:rsidRPr="00504161" w:rsidRDefault="00DF6861">
      <w:pPr>
        <w:pStyle w:val="Notetext"/>
        <w:spacing w:after="0"/>
        <w:rPr>
          <w:b/>
          <w:sz w:val="20"/>
        </w:rPr>
      </w:pPr>
      <w:r>
        <w:rPr>
          <w:sz w:val="20"/>
        </w:rPr>
        <w:t>Účtovná závierka Spoločnosti k 31. decembru 201</w:t>
      </w:r>
      <w:r w:rsidR="00504161">
        <w:rPr>
          <w:sz w:val="20"/>
        </w:rPr>
        <w:t>5</w:t>
      </w:r>
      <w:r>
        <w:rPr>
          <w:sz w:val="20"/>
        </w:rPr>
        <w:t xml:space="preserve">, za predchádzajúce účtovné obdobie, bola schválená valným zhromaždením Spoločnosti dňa </w:t>
      </w:r>
      <w:r w:rsidR="003A6E78" w:rsidRPr="00504161">
        <w:rPr>
          <w:b/>
          <w:sz w:val="20"/>
        </w:rPr>
        <w:t>29.09.2016.</w:t>
      </w:r>
    </w:p>
    <w:p w:rsidR="00DF6861" w:rsidRPr="00504161" w:rsidRDefault="00DF6861">
      <w:pPr>
        <w:pStyle w:val="Notetext"/>
        <w:spacing w:after="0"/>
        <w:rPr>
          <w:b/>
          <w:sz w:val="20"/>
        </w:rPr>
      </w:pPr>
    </w:p>
    <w:p w:rsidR="00DF6861" w:rsidRDefault="00DF6861">
      <w:pPr>
        <w:pStyle w:val="Notetext"/>
        <w:spacing w:after="0"/>
        <w:rPr>
          <w:sz w:val="20"/>
        </w:rPr>
      </w:pPr>
    </w:p>
    <w:p w:rsidR="00DF6861" w:rsidRDefault="00DF6861">
      <w:pPr>
        <w:pStyle w:val="Notetext"/>
        <w:spacing w:after="0"/>
        <w:rPr>
          <w:sz w:val="20"/>
        </w:rPr>
      </w:pPr>
    </w:p>
    <w:p w:rsidR="00DF6861" w:rsidRDefault="00DF6861">
      <w:pPr>
        <w:pStyle w:val="Notetext"/>
        <w:spacing w:after="0"/>
        <w:rPr>
          <w:sz w:val="20"/>
        </w:rPr>
      </w:pPr>
    </w:p>
    <w:p w:rsidR="00DF6861" w:rsidRDefault="00DF6861">
      <w:pPr>
        <w:pStyle w:val="Notetext"/>
        <w:spacing w:after="0"/>
        <w:rPr>
          <w:sz w:val="20"/>
        </w:rPr>
      </w:pPr>
    </w:p>
    <w:p w:rsidR="00DF6861" w:rsidRDefault="00DF6861">
      <w:pPr>
        <w:pStyle w:val="Notetext"/>
        <w:spacing w:after="0"/>
        <w:rPr>
          <w:sz w:val="20"/>
        </w:rPr>
      </w:pPr>
    </w:p>
    <w:p w:rsidR="00DF6861" w:rsidRDefault="00DF6861">
      <w:pPr>
        <w:pStyle w:val="Notetext"/>
        <w:spacing w:after="0"/>
        <w:rPr>
          <w:sz w:val="20"/>
        </w:rPr>
      </w:pPr>
    </w:p>
    <w:p w:rsidR="00DF6861" w:rsidRDefault="00DF6861">
      <w:pPr>
        <w:pStyle w:val="Notetext"/>
        <w:spacing w:after="0"/>
        <w:rPr>
          <w:sz w:val="20"/>
        </w:rPr>
      </w:pPr>
    </w:p>
    <w:p w:rsidR="00DF6861" w:rsidRDefault="00DF6861">
      <w:pPr>
        <w:pStyle w:val="Notetitle"/>
        <w:numPr>
          <w:ilvl w:val="0"/>
          <w:numId w:val="0"/>
        </w:numPr>
        <w:tabs>
          <w:tab w:val="clear" w:pos="119"/>
          <w:tab w:val="num" w:pos="851"/>
        </w:tabs>
        <w:spacing w:before="120"/>
        <w:ind w:left="425"/>
        <w:rPr>
          <w:u w:val="single"/>
        </w:rPr>
      </w:pPr>
      <w:bookmarkStart w:id="9" w:name="_Toc530739897"/>
      <w:bookmarkStart w:id="10" w:name="_Toc464644529"/>
      <w:r>
        <w:rPr>
          <w:u w:val="single"/>
        </w:rPr>
        <w:lastRenderedPageBreak/>
        <w:t>čL. ii  Informácie o orgánoch SPOLOčNOSTI</w:t>
      </w:r>
      <w:bookmarkEnd w:id="9"/>
      <w:bookmarkEnd w:id="10"/>
    </w:p>
    <w:p w:rsidR="00DF6861" w:rsidRDefault="00DF6861">
      <w:pPr>
        <w:pStyle w:val="Notetext"/>
        <w:spacing w:after="120"/>
        <w:rPr>
          <w:sz w:val="20"/>
        </w:rPr>
      </w:pPr>
      <w:r>
        <w:rPr>
          <w:sz w:val="20"/>
        </w:rPr>
        <w:t>Členovia štatutárnych a dozorných orgánov k 31. decembru 201</w:t>
      </w:r>
      <w:r w:rsidR="003A6E78">
        <w:rPr>
          <w:sz w:val="20"/>
        </w:rPr>
        <w:t>6</w:t>
      </w:r>
      <w:r>
        <w:rPr>
          <w:sz w:val="20"/>
        </w:rPr>
        <w:t xml:space="preserve"> sú:</w:t>
      </w:r>
    </w:p>
    <w:tbl>
      <w:tblPr>
        <w:tblW w:w="0" w:type="auto"/>
        <w:tblInd w:w="448" w:type="dxa"/>
        <w:tblBorders>
          <w:top w:val="single" w:sz="4" w:space="0" w:color="auto"/>
          <w:bottom w:val="single" w:sz="4" w:space="0" w:color="auto"/>
          <w:insideH w:val="single" w:sz="4" w:space="0" w:color="auto"/>
          <w:insideV w:val="single" w:sz="4" w:space="0" w:color="auto"/>
        </w:tblBorders>
        <w:tblLayout w:type="fixed"/>
        <w:tblCellMar>
          <w:left w:w="70" w:type="dxa"/>
          <w:right w:w="70" w:type="dxa"/>
        </w:tblCellMar>
        <w:tblLook w:val="0000"/>
      </w:tblPr>
      <w:tblGrid>
        <w:gridCol w:w="1182"/>
        <w:gridCol w:w="283"/>
        <w:gridCol w:w="4111"/>
      </w:tblGrid>
      <w:tr w:rsidR="00DF6861">
        <w:trPr>
          <w:cantSplit/>
        </w:trPr>
        <w:tc>
          <w:tcPr>
            <w:tcW w:w="5576" w:type="dxa"/>
            <w:gridSpan w:val="3"/>
            <w:tcBorders>
              <w:bottom w:val="single" w:sz="4" w:space="0" w:color="auto"/>
            </w:tcBorders>
            <w:vAlign w:val="center"/>
          </w:tcPr>
          <w:p w:rsidR="00DF6861" w:rsidRDefault="00DF6861">
            <w:pPr>
              <w:pStyle w:val="Tableheader"/>
            </w:pPr>
            <w:r>
              <w:t>Predstavenstvo spoločnosti</w:t>
            </w:r>
          </w:p>
        </w:tc>
      </w:tr>
      <w:tr w:rsidR="00DF6861">
        <w:tc>
          <w:tcPr>
            <w:tcW w:w="1465" w:type="dxa"/>
            <w:gridSpan w:val="2"/>
            <w:tcBorders>
              <w:bottom w:val="nil"/>
              <w:right w:val="nil"/>
            </w:tcBorders>
            <w:vAlign w:val="bottom"/>
          </w:tcPr>
          <w:p w:rsidR="00DF6861" w:rsidRDefault="00DF6861">
            <w:pPr>
              <w:pStyle w:val="TableFirstLine"/>
            </w:pPr>
            <w:r>
              <w:t xml:space="preserve">Konatelia:        </w:t>
            </w:r>
          </w:p>
        </w:tc>
        <w:tc>
          <w:tcPr>
            <w:tcW w:w="4111" w:type="dxa"/>
            <w:tcBorders>
              <w:left w:val="nil"/>
              <w:bottom w:val="nil"/>
            </w:tcBorders>
            <w:vAlign w:val="bottom"/>
          </w:tcPr>
          <w:p w:rsidR="00DF6861" w:rsidRDefault="00DF6861">
            <w:pPr>
              <w:pStyle w:val="TableFirstLine"/>
            </w:pPr>
            <w:r>
              <w:t xml:space="preserve">Michal </w:t>
            </w:r>
            <w:proofErr w:type="spellStart"/>
            <w:r>
              <w:t>Olearnik</w:t>
            </w:r>
            <w:proofErr w:type="spellEnd"/>
            <w:r>
              <w:t xml:space="preserve">                         od 29. 06. 2004</w:t>
            </w:r>
          </w:p>
        </w:tc>
      </w:tr>
      <w:tr w:rsidR="00DF6861">
        <w:trPr>
          <w:trHeight w:val="147"/>
        </w:trPr>
        <w:tc>
          <w:tcPr>
            <w:tcW w:w="1465" w:type="dxa"/>
            <w:gridSpan w:val="2"/>
            <w:tcBorders>
              <w:top w:val="nil"/>
              <w:bottom w:val="nil"/>
              <w:right w:val="nil"/>
            </w:tcBorders>
            <w:vAlign w:val="bottom"/>
          </w:tcPr>
          <w:p w:rsidR="00DF6861" w:rsidRDefault="00DF6861">
            <w:pPr>
              <w:pStyle w:val="Tablemiddleline"/>
            </w:pPr>
          </w:p>
        </w:tc>
        <w:tc>
          <w:tcPr>
            <w:tcW w:w="4111" w:type="dxa"/>
            <w:tcBorders>
              <w:top w:val="nil"/>
              <w:left w:val="nil"/>
              <w:bottom w:val="nil"/>
            </w:tcBorders>
            <w:vAlign w:val="bottom"/>
          </w:tcPr>
          <w:p w:rsidR="00DF6861" w:rsidRDefault="00DF6861">
            <w:pPr>
              <w:pStyle w:val="Tablemiddleline"/>
            </w:pPr>
            <w:r>
              <w:t xml:space="preserve">Jaroslav </w:t>
            </w:r>
            <w:proofErr w:type="spellStart"/>
            <w:r>
              <w:t>Novický</w:t>
            </w:r>
            <w:proofErr w:type="spellEnd"/>
            <w:r>
              <w:t xml:space="preserve">                       od 01. 08. 2006</w:t>
            </w:r>
          </w:p>
          <w:p w:rsidR="003A6E78" w:rsidRDefault="003A6E78">
            <w:pPr>
              <w:pStyle w:val="Tablemiddleline"/>
            </w:pPr>
          </w:p>
          <w:p w:rsidR="003A6E78" w:rsidRDefault="003A6E78">
            <w:pPr>
              <w:pStyle w:val="Tablemiddleline"/>
            </w:pPr>
            <w:r>
              <w:t xml:space="preserve">Michal </w:t>
            </w:r>
            <w:proofErr w:type="spellStart"/>
            <w:r>
              <w:t>Olearnik</w:t>
            </w:r>
            <w:proofErr w:type="spellEnd"/>
            <w:r>
              <w:t xml:space="preserve">                         50% podiel na ZI</w:t>
            </w:r>
          </w:p>
          <w:p w:rsidR="003A6E78" w:rsidRDefault="003A6E78">
            <w:pPr>
              <w:pStyle w:val="Tablemiddleline"/>
            </w:pPr>
            <w:r>
              <w:t xml:space="preserve">Jaroslav </w:t>
            </w:r>
            <w:proofErr w:type="spellStart"/>
            <w:r>
              <w:t>Novický</w:t>
            </w:r>
            <w:proofErr w:type="spellEnd"/>
            <w:r>
              <w:t xml:space="preserve">                       50% podiel na ZI</w:t>
            </w:r>
          </w:p>
        </w:tc>
      </w:tr>
      <w:tr w:rsidR="00DF6861">
        <w:tc>
          <w:tcPr>
            <w:tcW w:w="1182" w:type="dxa"/>
            <w:tcBorders>
              <w:top w:val="nil"/>
              <w:right w:val="nil"/>
            </w:tcBorders>
          </w:tcPr>
          <w:p w:rsidR="00DF6861" w:rsidRDefault="00DF6861">
            <w:pPr>
              <w:pStyle w:val="Tablemiddleline"/>
            </w:pPr>
          </w:p>
        </w:tc>
        <w:tc>
          <w:tcPr>
            <w:tcW w:w="4394" w:type="dxa"/>
            <w:gridSpan w:val="2"/>
            <w:tcBorders>
              <w:top w:val="nil"/>
              <w:left w:val="nil"/>
            </w:tcBorders>
          </w:tcPr>
          <w:p w:rsidR="00DF6861" w:rsidRDefault="00DF6861">
            <w:pPr>
              <w:pStyle w:val="Tablemiddleline"/>
            </w:pPr>
          </w:p>
        </w:tc>
      </w:tr>
    </w:tbl>
    <w:p w:rsidR="00DF6861" w:rsidRDefault="00DF6861">
      <w:pPr>
        <w:pStyle w:val="Notetitle"/>
        <w:numPr>
          <w:ilvl w:val="0"/>
          <w:numId w:val="0"/>
        </w:numPr>
        <w:tabs>
          <w:tab w:val="clear" w:pos="119"/>
          <w:tab w:val="num" w:pos="851"/>
        </w:tabs>
        <w:ind w:left="426"/>
        <w:rPr>
          <w:u w:val="single"/>
        </w:rPr>
      </w:pPr>
      <w:bookmarkStart w:id="11" w:name="_Toc61257290"/>
      <w:bookmarkStart w:id="12" w:name="_Toc464644530"/>
      <w:r>
        <w:rPr>
          <w:u w:val="single"/>
        </w:rPr>
        <w:t>čL. iii  iNFORMáCIE O PRIJATýCH POSTUPOCH</w:t>
      </w:r>
      <w:bookmarkEnd w:id="11"/>
      <w:bookmarkEnd w:id="12"/>
    </w:p>
    <w:p w:rsidR="00DF6861" w:rsidRDefault="00DF6861">
      <w:pPr>
        <w:pStyle w:val="Notetext"/>
        <w:spacing w:after="120"/>
      </w:pPr>
      <w:r>
        <w:rPr>
          <w:sz w:val="20"/>
        </w:rPr>
        <w:t>Zhrnutie hlavných účtovných zásad, ktoré spoločnosť uplatňovala v priebehu roka, je nasledovné:</w:t>
      </w:r>
    </w:p>
    <w:p w:rsidR="00DF6861" w:rsidRDefault="00DF6861">
      <w:pPr>
        <w:pStyle w:val="Notesubtitle"/>
        <w:numPr>
          <w:ilvl w:val="1"/>
          <w:numId w:val="19"/>
        </w:numPr>
      </w:pPr>
      <w:bookmarkStart w:id="13" w:name="_Toc464644531"/>
      <w:r>
        <w:t>Východiská pre zostavenie účtovnej závierky</w:t>
      </w:r>
      <w:bookmarkEnd w:id="13"/>
    </w:p>
    <w:p w:rsidR="00DF6861" w:rsidRDefault="00DF6861">
      <w:pPr>
        <w:pStyle w:val="Notetext"/>
        <w:rPr>
          <w:sz w:val="20"/>
        </w:rPr>
      </w:pPr>
      <w:r>
        <w:rPr>
          <w:sz w:val="20"/>
        </w:rPr>
        <w:t>Účtovná závierka bola zostavená za predpokladu nepretržitého trvania Spoločnosti (</w:t>
      </w:r>
      <w:proofErr w:type="spellStart"/>
      <w:r>
        <w:rPr>
          <w:sz w:val="20"/>
        </w:rPr>
        <w:t>going</w:t>
      </w:r>
      <w:proofErr w:type="spellEnd"/>
      <w:r>
        <w:rPr>
          <w:sz w:val="20"/>
        </w:rPr>
        <w:t xml:space="preserve"> </w:t>
      </w:r>
      <w:proofErr w:type="spellStart"/>
      <w:r>
        <w:rPr>
          <w:sz w:val="20"/>
        </w:rPr>
        <w:t>concern</w:t>
      </w:r>
      <w:proofErr w:type="spellEnd"/>
      <w:r>
        <w:rPr>
          <w:sz w:val="20"/>
        </w:rPr>
        <w:t>).</w:t>
      </w:r>
    </w:p>
    <w:p w:rsidR="00DF6861" w:rsidRDefault="00DF6861">
      <w:pPr>
        <w:pStyle w:val="Notesubtitle"/>
      </w:pPr>
      <w:bookmarkStart w:id="14" w:name="_Toc61257291"/>
      <w:bookmarkStart w:id="15" w:name="_Toc464644532"/>
      <w:r>
        <w:t>Dlhodobý nehmotný a dlhodobý hmotný majetok</w:t>
      </w:r>
      <w:bookmarkEnd w:id="14"/>
      <w:bookmarkEnd w:id="15"/>
    </w:p>
    <w:p w:rsidR="00DF6861" w:rsidRDefault="00DF6861">
      <w:pPr>
        <w:pStyle w:val="Notetext"/>
        <w:rPr>
          <w:sz w:val="20"/>
        </w:rPr>
      </w:pPr>
      <w:r>
        <w:rPr>
          <w:sz w:val="20"/>
        </w:rPr>
        <w:t xml:space="preserve">Dlhodobý majetok je zaúčtovaný v obstarávacích cenách. </w:t>
      </w:r>
    </w:p>
    <w:p w:rsidR="00DF6861" w:rsidRDefault="00DF6861">
      <w:pPr>
        <w:pStyle w:val="Notetext"/>
        <w:rPr>
          <w:sz w:val="20"/>
        </w:rPr>
      </w:pPr>
      <w:r>
        <w:rPr>
          <w:sz w:val="20"/>
        </w:rPr>
        <w:t>Obstarávacia cena obsahuje cenu obstarania majetku a náklady súvisiace s obstaraním, ako napríklad náklady na dopravu, poštovné, clo, províziu. Pri obstaraní dlhodobého hmotného majetku po 1.1.2003 úroky a kurzové rozdiely už nie sú súčasťou obstarávacej ceny v súvislosti s platnou legislatívou.</w:t>
      </w:r>
    </w:p>
    <w:p w:rsidR="00DF6861" w:rsidRDefault="00DF6861">
      <w:pPr>
        <w:pStyle w:val="Notetext"/>
        <w:rPr>
          <w:sz w:val="20"/>
        </w:rPr>
      </w:pPr>
      <w:r>
        <w:rPr>
          <w:sz w:val="20"/>
        </w:rPr>
        <w:t xml:space="preserve">Dlhodobý majetok vytvorený vlastnou činnosťou sa oceňuje vlastnými nákladmi. Vlastnými nákladmi sú všetky priame náklady vynaložené na výrobu alebo inú činnosť a nepriame náklady, ktoré sa vzťahujú na výrobu alebo inú činnosť. </w:t>
      </w:r>
    </w:p>
    <w:p w:rsidR="00DF6861" w:rsidRDefault="00DF6861">
      <w:pPr>
        <w:pStyle w:val="Notetext"/>
        <w:rPr>
          <w:sz w:val="20"/>
        </w:rPr>
      </w:pPr>
      <w:r>
        <w:rPr>
          <w:sz w:val="20"/>
        </w:rPr>
        <w:t>Náklady na výskum sa neaktivujú, účtujú sa do nákladov účtovného obdobia, v ktorom vznikli. Náklady na vývoj sa účtujú do obdobia, v ktorom vznikli, ale tie náklady na vývoj, ktoré sa vzťahujú na jasne definovaný výrobok alebo proces, pri ktorých je možné preukázať technickú realizovateľnosť a možnosť predaja a spoločnosť má dostatočné zdroje na dokončenie projektu, jeho predaj alebo na vnútorné využitie jeho výsledkov, sa aktivujú, a to vo výške, ktorá je pravdepodobná, že sa získa späť z budúcich ekonomických úžitkov.</w:t>
      </w:r>
    </w:p>
    <w:p w:rsidR="00DF6861" w:rsidRDefault="00DF6861">
      <w:pPr>
        <w:pStyle w:val="Notetext"/>
        <w:rPr>
          <w:sz w:val="20"/>
        </w:rPr>
      </w:pPr>
      <w:r>
        <w:rPr>
          <w:sz w:val="20"/>
        </w:rPr>
        <w:t>Aktivované náklady na vývoj sa odpisujú počas maximálne 5 rokov, a to v tých účtovných obdobiach, v ktorých sa očakáva predaj produktu alebo využívanie procesu. Ak sa zníži ich hodnota, odpisujú sa na sumu, ktorá je pravdepodobná, že sa získa späť z budúcich ekonomických úžitkov.</w:t>
      </w:r>
    </w:p>
    <w:p w:rsidR="00DF6861" w:rsidRDefault="00DF6861">
      <w:pPr>
        <w:pStyle w:val="Notetext"/>
        <w:rPr>
          <w:sz w:val="20"/>
        </w:rPr>
      </w:pPr>
      <w:r>
        <w:rPr>
          <w:sz w:val="20"/>
        </w:rPr>
        <w:t xml:space="preserve">Odpisy dlhodobého nehmotného majetku sú stanovené vychádzajúc z predpokladanej doby jeho používania a predpokladaného priebehu jeho opotrebenia. Spoločnosť odpisuje dlhodobý nehmotný majetok metódou rovnomerného odpisovania na základe odpisových sadzieb odvodených od ekonomickej doby životnosti majetku, a to maximálne po dobu 5 rokov. Odpisovať sa začína prvým dňom mesiaca nasledujúceho po uvedení dlhodobého majetku do používania. </w:t>
      </w:r>
    </w:p>
    <w:p w:rsidR="00DF6861" w:rsidRDefault="00DF6861">
      <w:pPr>
        <w:pStyle w:val="Notetext"/>
        <w:rPr>
          <w:sz w:val="20"/>
        </w:rPr>
      </w:pPr>
      <w:r>
        <w:rPr>
          <w:sz w:val="20"/>
        </w:rPr>
        <w:t>Dlhodobý nehmotný majetok, ktorého obstarávacia cena (resp. vlastné náklady) je 2 400 EUR a nižšia je od 1.3.2009 jednorázovo odpísaný do nákladov v roku jeho obstarania na účte 518 a zároveň je evidovaný na podsúvahovej evidencii – účet 991.</w:t>
      </w:r>
    </w:p>
    <w:p w:rsidR="003A6E78" w:rsidRDefault="003A6E78">
      <w:pPr>
        <w:pStyle w:val="Notetext"/>
        <w:rPr>
          <w:sz w:val="20"/>
        </w:rPr>
      </w:pPr>
    </w:p>
    <w:p w:rsidR="003A6E78" w:rsidRDefault="003A6E78">
      <w:pPr>
        <w:pStyle w:val="Notetext"/>
        <w:rPr>
          <w:sz w:val="20"/>
        </w:rPr>
      </w:pPr>
    </w:p>
    <w:p w:rsidR="003A6E78" w:rsidRDefault="003A6E78">
      <w:pPr>
        <w:pStyle w:val="Notetext"/>
        <w:rPr>
          <w:sz w:val="20"/>
        </w:rPr>
      </w:pPr>
    </w:p>
    <w:p w:rsidR="00DF6861" w:rsidRDefault="00DF6861">
      <w:pPr>
        <w:pStyle w:val="Notetext"/>
        <w:spacing w:after="120"/>
        <w:rPr>
          <w:sz w:val="20"/>
        </w:rPr>
      </w:pPr>
      <w:r>
        <w:rPr>
          <w:sz w:val="20"/>
        </w:rPr>
        <w:lastRenderedPageBreak/>
        <w:t>Predpokladané doby používania sú uvedené v nasledujúcej tabuľke:</w:t>
      </w:r>
    </w:p>
    <w:tbl>
      <w:tblPr>
        <w:tblW w:w="0" w:type="auto"/>
        <w:tblInd w:w="801" w:type="dxa"/>
        <w:tblBorders>
          <w:top w:val="single" w:sz="4" w:space="0" w:color="auto"/>
          <w:bottom w:val="single" w:sz="4" w:space="0" w:color="auto"/>
          <w:insideH w:val="single" w:sz="4" w:space="0" w:color="auto"/>
          <w:insideV w:val="single" w:sz="4" w:space="0" w:color="auto"/>
        </w:tblBorders>
        <w:tblLayout w:type="fixed"/>
        <w:tblCellMar>
          <w:left w:w="70" w:type="dxa"/>
          <w:right w:w="70" w:type="dxa"/>
        </w:tblCellMar>
        <w:tblLook w:val="0000"/>
      </w:tblPr>
      <w:tblGrid>
        <w:gridCol w:w="3805"/>
        <w:gridCol w:w="1398"/>
      </w:tblGrid>
      <w:tr w:rsidR="00DF6861">
        <w:tc>
          <w:tcPr>
            <w:tcW w:w="3805" w:type="dxa"/>
            <w:tcBorders>
              <w:left w:val="nil"/>
              <w:bottom w:val="single" w:sz="4" w:space="0" w:color="auto"/>
              <w:right w:val="nil"/>
            </w:tcBorders>
          </w:tcPr>
          <w:p w:rsidR="00DF6861" w:rsidRDefault="00DF6861">
            <w:pPr>
              <w:pStyle w:val="Tableheader"/>
              <w:rPr>
                <w:b w:val="0"/>
                <w:sz w:val="20"/>
              </w:rPr>
            </w:pPr>
            <w:r>
              <w:rPr>
                <w:b w:val="0"/>
                <w:sz w:val="20"/>
              </w:rPr>
              <w:t>Popis</w:t>
            </w:r>
          </w:p>
        </w:tc>
        <w:tc>
          <w:tcPr>
            <w:tcW w:w="1398" w:type="dxa"/>
            <w:tcBorders>
              <w:left w:val="nil"/>
              <w:bottom w:val="single" w:sz="4" w:space="0" w:color="auto"/>
            </w:tcBorders>
          </w:tcPr>
          <w:p w:rsidR="00DF6861" w:rsidRDefault="00DF6861">
            <w:pPr>
              <w:pStyle w:val="Tableheader"/>
              <w:rPr>
                <w:b w:val="0"/>
                <w:sz w:val="20"/>
              </w:rPr>
            </w:pPr>
            <w:r>
              <w:rPr>
                <w:b w:val="0"/>
                <w:sz w:val="20"/>
              </w:rPr>
              <w:t>Počet rokov</w:t>
            </w:r>
          </w:p>
        </w:tc>
      </w:tr>
      <w:tr w:rsidR="00DF6861">
        <w:tc>
          <w:tcPr>
            <w:tcW w:w="3805" w:type="dxa"/>
            <w:tcBorders>
              <w:top w:val="single" w:sz="4" w:space="0" w:color="auto"/>
              <w:left w:val="nil"/>
              <w:bottom w:val="nil"/>
              <w:right w:val="nil"/>
            </w:tcBorders>
            <w:vAlign w:val="bottom"/>
          </w:tcPr>
          <w:p w:rsidR="00DF6861" w:rsidRDefault="00DF6861">
            <w:pPr>
              <w:pStyle w:val="TableFirstLine"/>
              <w:rPr>
                <w:sz w:val="20"/>
              </w:rPr>
            </w:pPr>
            <w:r>
              <w:rPr>
                <w:sz w:val="20"/>
              </w:rPr>
              <w:t>Zriaďovacie náklady</w:t>
            </w:r>
            <w:r>
              <w:rPr>
                <w:sz w:val="20"/>
              </w:rPr>
              <w:tab/>
            </w:r>
          </w:p>
        </w:tc>
        <w:tc>
          <w:tcPr>
            <w:tcW w:w="1398" w:type="dxa"/>
            <w:tcBorders>
              <w:top w:val="single" w:sz="4" w:space="0" w:color="auto"/>
              <w:left w:val="nil"/>
              <w:bottom w:val="nil"/>
            </w:tcBorders>
            <w:vAlign w:val="bottom"/>
          </w:tcPr>
          <w:p w:rsidR="00DF6861" w:rsidRDefault="00DF6861">
            <w:pPr>
              <w:pStyle w:val="Tablemiddleline"/>
              <w:jc w:val="center"/>
              <w:rPr>
                <w:color w:val="FF0000"/>
                <w:sz w:val="20"/>
              </w:rPr>
            </w:pPr>
          </w:p>
        </w:tc>
      </w:tr>
      <w:tr w:rsidR="00DF6861">
        <w:tc>
          <w:tcPr>
            <w:tcW w:w="3805" w:type="dxa"/>
            <w:tcBorders>
              <w:top w:val="nil"/>
              <w:left w:val="nil"/>
              <w:bottom w:val="nil"/>
              <w:right w:val="nil"/>
            </w:tcBorders>
            <w:vAlign w:val="bottom"/>
          </w:tcPr>
          <w:p w:rsidR="00DF6861" w:rsidRDefault="00DF6861">
            <w:pPr>
              <w:pStyle w:val="Tablemiddleline"/>
              <w:rPr>
                <w:sz w:val="20"/>
              </w:rPr>
            </w:pPr>
            <w:r>
              <w:rPr>
                <w:sz w:val="20"/>
              </w:rPr>
              <w:t>Aktivované náklady na vývoj</w:t>
            </w:r>
          </w:p>
        </w:tc>
        <w:tc>
          <w:tcPr>
            <w:tcW w:w="1398" w:type="dxa"/>
            <w:tcBorders>
              <w:top w:val="nil"/>
              <w:left w:val="nil"/>
              <w:bottom w:val="nil"/>
            </w:tcBorders>
            <w:vAlign w:val="bottom"/>
          </w:tcPr>
          <w:p w:rsidR="00DF6861" w:rsidRDefault="00DF6861">
            <w:pPr>
              <w:pStyle w:val="Tablemiddleline"/>
              <w:jc w:val="center"/>
              <w:rPr>
                <w:color w:val="FF0000"/>
                <w:sz w:val="20"/>
              </w:rPr>
            </w:pPr>
          </w:p>
        </w:tc>
      </w:tr>
      <w:tr w:rsidR="00DF6861">
        <w:tc>
          <w:tcPr>
            <w:tcW w:w="3805" w:type="dxa"/>
            <w:tcBorders>
              <w:top w:val="nil"/>
              <w:left w:val="nil"/>
              <w:bottom w:val="nil"/>
              <w:right w:val="nil"/>
            </w:tcBorders>
            <w:vAlign w:val="bottom"/>
          </w:tcPr>
          <w:p w:rsidR="00DF6861" w:rsidRDefault="00DF6861">
            <w:pPr>
              <w:pStyle w:val="Tablemiddleline"/>
              <w:rPr>
                <w:sz w:val="20"/>
              </w:rPr>
            </w:pPr>
            <w:r>
              <w:rPr>
                <w:sz w:val="20"/>
              </w:rPr>
              <w:t>Software</w:t>
            </w:r>
          </w:p>
        </w:tc>
        <w:tc>
          <w:tcPr>
            <w:tcW w:w="1398" w:type="dxa"/>
            <w:tcBorders>
              <w:top w:val="nil"/>
              <w:left w:val="nil"/>
              <w:bottom w:val="nil"/>
            </w:tcBorders>
            <w:vAlign w:val="bottom"/>
          </w:tcPr>
          <w:p w:rsidR="00DF6861" w:rsidRDefault="00DF6861">
            <w:pPr>
              <w:pStyle w:val="Tablemiddleline"/>
              <w:jc w:val="center"/>
              <w:rPr>
                <w:sz w:val="20"/>
              </w:rPr>
            </w:pPr>
            <w:r>
              <w:rPr>
                <w:sz w:val="20"/>
              </w:rPr>
              <w:t>4</w:t>
            </w:r>
          </w:p>
        </w:tc>
      </w:tr>
      <w:tr w:rsidR="00DF6861">
        <w:tc>
          <w:tcPr>
            <w:tcW w:w="3805" w:type="dxa"/>
            <w:tcBorders>
              <w:top w:val="nil"/>
              <w:left w:val="nil"/>
              <w:bottom w:val="nil"/>
              <w:right w:val="nil"/>
            </w:tcBorders>
            <w:vAlign w:val="bottom"/>
          </w:tcPr>
          <w:p w:rsidR="00DF6861" w:rsidRDefault="00DF6861">
            <w:pPr>
              <w:pStyle w:val="Tablemiddleline"/>
              <w:rPr>
                <w:sz w:val="20"/>
              </w:rPr>
            </w:pPr>
            <w:r>
              <w:rPr>
                <w:sz w:val="20"/>
              </w:rPr>
              <w:t>Oceniteľné práva – patenty, licencie atď.</w:t>
            </w:r>
          </w:p>
        </w:tc>
        <w:tc>
          <w:tcPr>
            <w:tcW w:w="1398" w:type="dxa"/>
            <w:tcBorders>
              <w:top w:val="nil"/>
              <w:left w:val="nil"/>
              <w:bottom w:val="nil"/>
            </w:tcBorders>
            <w:vAlign w:val="bottom"/>
          </w:tcPr>
          <w:p w:rsidR="00DF6861" w:rsidRDefault="00DF6861">
            <w:pPr>
              <w:pStyle w:val="Tablemiddleline"/>
              <w:jc w:val="center"/>
              <w:rPr>
                <w:sz w:val="20"/>
              </w:rPr>
            </w:pPr>
          </w:p>
        </w:tc>
      </w:tr>
      <w:tr w:rsidR="00DF6861">
        <w:tc>
          <w:tcPr>
            <w:tcW w:w="3805" w:type="dxa"/>
            <w:tcBorders>
              <w:top w:val="nil"/>
              <w:left w:val="nil"/>
              <w:bottom w:val="nil"/>
              <w:right w:val="nil"/>
            </w:tcBorders>
            <w:vAlign w:val="bottom"/>
          </w:tcPr>
          <w:p w:rsidR="00DF6861" w:rsidRDefault="00DF6861">
            <w:pPr>
              <w:pStyle w:val="Tablemiddleline"/>
              <w:rPr>
                <w:sz w:val="20"/>
              </w:rPr>
            </w:pPr>
            <w:proofErr w:type="spellStart"/>
            <w:r>
              <w:rPr>
                <w:sz w:val="20"/>
              </w:rPr>
              <w:t>Goodwill</w:t>
            </w:r>
            <w:proofErr w:type="spellEnd"/>
          </w:p>
        </w:tc>
        <w:tc>
          <w:tcPr>
            <w:tcW w:w="1398" w:type="dxa"/>
            <w:tcBorders>
              <w:top w:val="nil"/>
              <w:left w:val="nil"/>
              <w:bottom w:val="nil"/>
            </w:tcBorders>
            <w:vAlign w:val="bottom"/>
          </w:tcPr>
          <w:p w:rsidR="00DF6861" w:rsidRDefault="00DF6861">
            <w:pPr>
              <w:pStyle w:val="Tablemiddleline"/>
              <w:jc w:val="center"/>
              <w:rPr>
                <w:sz w:val="20"/>
              </w:rPr>
            </w:pPr>
          </w:p>
        </w:tc>
      </w:tr>
      <w:tr w:rsidR="00DF6861">
        <w:tc>
          <w:tcPr>
            <w:tcW w:w="3805" w:type="dxa"/>
            <w:tcBorders>
              <w:top w:val="nil"/>
              <w:left w:val="nil"/>
              <w:bottom w:val="single" w:sz="4" w:space="0" w:color="auto"/>
              <w:right w:val="nil"/>
            </w:tcBorders>
            <w:vAlign w:val="bottom"/>
          </w:tcPr>
          <w:p w:rsidR="00DF6861" w:rsidRDefault="00DF6861">
            <w:pPr>
              <w:pStyle w:val="Tablelastline"/>
              <w:rPr>
                <w:sz w:val="20"/>
              </w:rPr>
            </w:pPr>
            <w:r>
              <w:rPr>
                <w:sz w:val="20"/>
              </w:rPr>
              <w:t>Ostatný dlhodobý nehmotný majetok</w:t>
            </w:r>
          </w:p>
        </w:tc>
        <w:tc>
          <w:tcPr>
            <w:tcW w:w="1398" w:type="dxa"/>
            <w:tcBorders>
              <w:top w:val="nil"/>
              <w:left w:val="nil"/>
              <w:bottom w:val="single" w:sz="4" w:space="0" w:color="auto"/>
            </w:tcBorders>
            <w:vAlign w:val="bottom"/>
          </w:tcPr>
          <w:p w:rsidR="00DF6861" w:rsidRDefault="00DF6861">
            <w:pPr>
              <w:pStyle w:val="Tablemiddleline"/>
              <w:jc w:val="center"/>
              <w:rPr>
                <w:color w:val="FF0000"/>
                <w:sz w:val="20"/>
              </w:rPr>
            </w:pPr>
          </w:p>
        </w:tc>
      </w:tr>
    </w:tbl>
    <w:p w:rsidR="00DF6861" w:rsidRDefault="00DF6861">
      <w:pPr>
        <w:pStyle w:val="Lettertext"/>
        <w:spacing w:after="0"/>
        <w:ind w:left="0"/>
      </w:pPr>
      <w:r>
        <w:t xml:space="preserve"> </w:t>
      </w:r>
    </w:p>
    <w:p w:rsidR="00DF6861" w:rsidRDefault="00DF6861">
      <w:pPr>
        <w:pStyle w:val="Zkladntext"/>
        <w:rPr>
          <w:rFonts w:ascii="Arial" w:hAnsi="Arial"/>
          <w:snapToGrid w:val="0"/>
          <w:sz w:val="20"/>
        </w:rPr>
      </w:pPr>
      <w:r>
        <w:rPr>
          <w:rFonts w:ascii="Arial" w:hAnsi="Arial"/>
          <w:snapToGrid w:val="0"/>
          <w:sz w:val="20"/>
        </w:rPr>
        <w:t>Odpisy dlhodobého hmotného majetku sú stanovené vychádzajúc z predpokladanej doby jeho používania a predpokladaného priebehu jeho opotrebenia. Spoločnosť odpisuje dlhodobý hmotný  majetok metódou rovnomerného odpisovania po dobu stanovenej životnosti. Odpisovať sa začína prvým dňom mesiaca nasledujúceho po uvedení dlhodobého majetku do používania. Pozemky sa neodpisujú.</w:t>
      </w:r>
    </w:p>
    <w:p w:rsidR="00DF6861" w:rsidRDefault="00DF6861">
      <w:pPr>
        <w:pStyle w:val="Zkladntext"/>
        <w:rPr>
          <w:rFonts w:ascii="Arial" w:hAnsi="Arial"/>
          <w:snapToGrid w:val="0"/>
          <w:sz w:val="20"/>
        </w:rPr>
      </w:pPr>
    </w:p>
    <w:p w:rsidR="00DF6861" w:rsidRDefault="00DF6861">
      <w:pPr>
        <w:pStyle w:val="Zkladntext"/>
        <w:rPr>
          <w:rFonts w:ascii="Arial" w:hAnsi="Arial"/>
          <w:snapToGrid w:val="0"/>
          <w:sz w:val="20"/>
        </w:rPr>
      </w:pPr>
      <w:r>
        <w:rPr>
          <w:rFonts w:ascii="Arial" w:hAnsi="Arial"/>
          <w:snapToGrid w:val="0"/>
          <w:sz w:val="20"/>
        </w:rPr>
        <w:t>Drobný hmotný majetok, ktorého obstarávacia cena (resp. vlastné náklady) je nižšia ako 1 700 EUR, je jednorázovo odpísaný do nákladov v roku jeho obstarania. Ak je jeho doba použiteľnosti dlhšia ako jeden rok, vedie sa v o</w:t>
      </w:r>
      <w:r w:rsidR="00055338">
        <w:rPr>
          <w:rFonts w:ascii="Arial" w:hAnsi="Arial"/>
          <w:snapToGrid w:val="0"/>
          <w:sz w:val="20"/>
        </w:rPr>
        <w:t>peratívnej evidencii.</w:t>
      </w:r>
    </w:p>
    <w:p w:rsidR="00DF6861" w:rsidRDefault="00DF6861">
      <w:pPr>
        <w:pStyle w:val="Zkladntext"/>
        <w:rPr>
          <w:rFonts w:ascii="Arial" w:hAnsi="Arial"/>
          <w:snapToGrid w:val="0"/>
          <w:sz w:val="20"/>
        </w:rPr>
      </w:pPr>
    </w:p>
    <w:p w:rsidR="00DF6861" w:rsidRDefault="00DF6861">
      <w:pPr>
        <w:pStyle w:val="Zkladntext"/>
        <w:ind w:left="425"/>
        <w:rPr>
          <w:rFonts w:ascii="Arial" w:hAnsi="Arial"/>
          <w:snapToGrid w:val="0"/>
          <w:sz w:val="20"/>
        </w:rPr>
      </w:pPr>
      <w:r>
        <w:rPr>
          <w:rFonts w:ascii="Arial" w:hAnsi="Arial"/>
          <w:snapToGrid w:val="0"/>
          <w:sz w:val="20"/>
        </w:rPr>
        <w:t>Predpokladané doby používania sú uvedené v nasledujúcej tabuľke:</w:t>
      </w:r>
    </w:p>
    <w:p w:rsidR="00DF6861" w:rsidRDefault="00DF6861" w:rsidP="0078248C">
      <w:pPr>
        <w:pStyle w:val="Zkladntext"/>
        <w:ind w:left="0"/>
      </w:pPr>
    </w:p>
    <w:tbl>
      <w:tblPr>
        <w:tblW w:w="0" w:type="auto"/>
        <w:tblInd w:w="801" w:type="dxa"/>
        <w:tblBorders>
          <w:top w:val="single" w:sz="4" w:space="0" w:color="auto"/>
          <w:bottom w:val="single" w:sz="4" w:space="0" w:color="auto"/>
          <w:insideH w:val="single" w:sz="4" w:space="0" w:color="auto"/>
          <w:insideV w:val="single" w:sz="4" w:space="0" w:color="auto"/>
        </w:tblBorders>
        <w:tblLayout w:type="fixed"/>
        <w:tblCellMar>
          <w:left w:w="70" w:type="dxa"/>
          <w:right w:w="70" w:type="dxa"/>
        </w:tblCellMar>
        <w:tblLook w:val="0000"/>
      </w:tblPr>
      <w:tblGrid>
        <w:gridCol w:w="3466"/>
        <w:gridCol w:w="1737"/>
      </w:tblGrid>
      <w:tr w:rsidR="00DF6861">
        <w:tc>
          <w:tcPr>
            <w:tcW w:w="3466" w:type="dxa"/>
            <w:tcBorders>
              <w:left w:val="nil"/>
              <w:bottom w:val="single" w:sz="4" w:space="0" w:color="auto"/>
              <w:right w:val="nil"/>
            </w:tcBorders>
          </w:tcPr>
          <w:p w:rsidR="00DF6861" w:rsidRDefault="00DF6861">
            <w:pPr>
              <w:pStyle w:val="Tableheader"/>
              <w:rPr>
                <w:b w:val="0"/>
                <w:sz w:val="20"/>
              </w:rPr>
            </w:pPr>
            <w:r>
              <w:rPr>
                <w:b w:val="0"/>
                <w:sz w:val="20"/>
              </w:rPr>
              <w:t>Popis</w:t>
            </w:r>
          </w:p>
        </w:tc>
        <w:tc>
          <w:tcPr>
            <w:tcW w:w="1737" w:type="dxa"/>
            <w:tcBorders>
              <w:left w:val="nil"/>
              <w:bottom w:val="single" w:sz="4" w:space="0" w:color="auto"/>
            </w:tcBorders>
          </w:tcPr>
          <w:p w:rsidR="00DF6861" w:rsidRDefault="00DF6861">
            <w:pPr>
              <w:pStyle w:val="Tableheader"/>
              <w:rPr>
                <w:b w:val="0"/>
                <w:sz w:val="20"/>
              </w:rPr>
            </w:pPr>
            <w:r>
              <w:rPr>
                <w:b w:val="0"/>
                <w:sz w:val="20"/>
              </w:rPr>
              <w:t>Počet rokov</w:t>
            </w:r>
          </w:p>
        </w:tc>
      </w:tr>
      <w:tr w:rsidR="00DF6861">
        <w:tc>
          <w:tcPr>
            <w:tcW w:w="3466" w:type="dxa"/>
            <w:tcBorders>
              <w:top w:val="single" w:sz="4" w:space="0" w:color="auto"/>
              <w:left w:val="nil"/>
              <w:bottom w:val="nil"/>
              <w:right w:val="nil"/>
            </w:tcBorders>
            <w:vAlign w:val="bottom"/>
          </w:tcPr>
          <w:p w:rsidR="0085798A" w:rsidRDefault="0085798A" w:rsidP="003A6E78">
            <w:pPr>
              <w:pStyle w:val="TableFirstLine"/>
              <w:rPr>
                <w:sz w:val="20"/>
              </w:rPr>
            </w:pPr>
            <w:r>
              <w:rPr>
                <w:sz w:val="20"/>
              </w:rPr>
              <w:t xml:space="preserve">                                                                                                            </w:t>
            </w:r>
          </w:p>
          <w:p w:rsidR="003A6E78" w:rsidRDefault="0085798A" w:rsidP="003A6E78">
            <w:pPr>
              <w:pStyle w:val="TableFirstLine"/>
              <w:rPr>
                <w:sz w:val="20"/>
              </w:rPr>
            </w:pPr>
            <w:r>
              <w:rPr>
                <w:sz w:val="20"/>
              </w:rPr>
              <w:t>Budovy, stavby</w:t>
            </w:r>
          </w:p>
        </w:tc>
        <w:tc>
          <w:tcPr>
            <w:tcW w:w="1737" w:type="dxa"/>
            <w:tcBorders>
              <w:top w:val="single" w:sz="4" w:space="0" w:color="auto"/>
              <w:left w:val="nil"/>
              <w:bottom w:val="nil"/>
            </w:tcBorders>
            <w:vAlign w:val="bottom"/>
          </w:tcPr>
          <w:p w:rsidR="00DF6861" w:rsidRDefault="0085798A" w:rsidP="0085798A">
            <w:pPr>
              <w:pStyle w:val="Tablemiddleline"/>
              <w:rPr>
                <w:sz w:val="20"/>
              </w:rPr>
            </w:pPr>
            <w:r>
              <w:rPr>
                <w:sz w:val="20"/>
              </w:rPr>
              <w:t xml:space="preserve">         20,  </w:t>
            </w:r>
            <w:r w:rsidR="003A6E78">
              <w:rPr>
                <w:sz w:val="20"/>
              </w:rPr>
              <w:t>4</w:t>
            </w:r>
            <w:r w:rsidR="00DF6861">
              <w:rPr>
                <w:sz w:val="20"/>
              </w:rPr>
              <w:t>0</w:t>
            </w:r>
          </w:p>
        </w:tc>
      </w:tr>
      <w:tr w:rsidR="00DF6861">
        <w:tc>
          <w:tcPr>
            <w:tcW w:w="3466" w:type="dxa"/>
            <w:tcBorders>
              <w:top w:val="nil"/>
              <w:left w:val="nil"/>
              <w:bottom w:val="nil"/>
              <w:right w:val="nil"/>
            </w:tcBorders>
            <w:vAlign w:val="bottom"/>
          </w:tcPr>
          <w:p w:rsidR="00DF6861" w:rsidRDefault="00DF6861">
            <w:pPr>
              <w:pStyle w:val="Tablemiddleline"/>
              <w:rPr>
                <w:sz w:val="20"/>
              </w:rPr>
            </w:pPr>
            <w:r>
              <w:rPr>
                <w:sz w:val="20"/>
              </w:rPr>
              <w:t>Stroje, prístroje a zariadenia</w:t>
            </w:r>
          </w:p>
        </w:tc>
        <w:tc>
          <w:tcPr>
            <w:tcW w:w="1737" w:type="dxa"/>
            <w:tcBorders>
              <w:top w:val="nil"/>
              <w:left w:val="nil"/>
              <w:bottom w:val="nil"/>
            </w:tcBorders>
            <w:vAlign w:val="bottom"/>
          </w:tcPr>
          <w:p w:rsidR="00DF6861" w:rsidRDefault="00DF6861">
            <w:pPr>
              <w:pStyle w:val="Tablemiddleline"/>
              <w:jc w:val="center"/>
              <w:rPr>
                <w:sz w:val="20"/>
              </w:rPr>
            </w:pPr>
            <w:r>
              <w:rPr>
                <w:sz w:val="20"/>
              </w:rPr>
              <w:t>4, 6,</w:t>
            </w:r>
            <w:r w:rsidR="008345B8">
              <w:rPr>
                <w:sz w:val="20"/>
              </w:rPr>
              <w:t>8,</w:t>
            </w:r>
            <w:r>
              <w:rPr>
                <w:sz w:val="20"/>
              </w:rPr>
              <w:t>12</w:t>
            </w:r>
          </w:p>
        </w:tc>
      </w:tr>
      <w:tr w:rsidR="00DF6861">
        <w:tc>
          <w:tcPr>
            <w:tcW w:w="3466" w:type="dxa"/>
            <w:tcBorders>
              <w:top w:val="nil"/>
              <w:left w:val="nil"/>
              <w:bottom w:val="nil"/>
              <w:right w:val="nil"/>
            </w:tcBorders>
            <w:vAlign w:val="bottom"/>
          </w:tcPr>
          <w:p w:rsidR="00DF6861" w:rsidRDefault="00DF6861">
            <w:pPr>
              <w:pStyle w:val="Tablemiddleline"/>
              <w:rPr>
                <w:sz w:val="20"/>
              </w:rPr>
            </w:pPr>
            <w:r>
              <w:rPr>
                <w:sz w:val="20"/>
              </w:rPr>
              <w:t>Dopravné prostriedky</w:t>
            </w:r>
          </w:p>
        </w:tc>
        <w:tc>
          <w:tcPr>
            <w:tcW w:w="1737" w:type="dxa"/>
            <w:tcBorders>
              <w:top w:val="nil"/>
              <w:left w:val="nil"/>
              <w:bottom w:val="nil"/>
            </w:tcBorders>
            <w:vAlign w:val="bottom"/>
          </w:tcPr>
          <w:p w:rsidR="00DF6861" w:rsidRDefault="00055338">
            <w:pPr>
              <w:pStyle w:val="Tablemiddleline"/>
              <w:jc w:val="center"/>
              <w:rPr>
                <w:sz w:val="20"/>
              </w:rPr>
            </w:pPr>
            <w:r>
              <w:rPr>
                <w:sz w:val="20"/>
              </w:rPr>
              <w:t>4</w:t>
            </w:r>
          </w:p>
        </w:tc>
      </w:tr>
      <w:tr w:rsidR="00DF6861">
        <w:tc>
          <w:tcPr>
            <w:tcW w:w="3466" w:type="dxa"/>
            <w:tcBorders>
              <w:top w:val="nil"/>
              <w:left w:val="nil"/>
              <w:bottom w:val="single" w:sz="4" w:space="0" w:color="auto"/>
              <w:right w:val="nil"/>
            </w:tcBorders>
            <w:vAlign w:val="bottom"/>
          </w:tcPr>
          <w:p w:rsidR="00DF6861" w:rsidRDefault="00DF6861">
            <w:pPr>
              <w:pStyle w:val="Tablemiddleline"/>
              <w:rPr>
                <w:sz w:val="20"/>
              </w:rPr>
            </w:pPr>
            <w:r>
              <w:rPr>
                <w:sz w:val="20"/>
              </w:rPr>
              <w:t>Inventár</w:t>
            </w:r>
          </w:p>
        </w:tc>
        <w:tc>
          <w:tcPr>
            <w:tcW w:w="1737" w:type="dxa"/>
            <w:tcBorders>
              <w:top w:val="nil"/>
              <w:left w:val="nil"/>
              <w:bottom w:val="single" w:sz="4" w:space="0" w:color="auto"/>
            </w:tcBorders>
            <w:vAlign w:val="bottom"/>
          </w:tcPr>
          <w:p w:rsidR="00DF6861" w:rsidRDefault="00A51305">
            <w:pPr>
              <w:pStyle w:val="Tablemiddleline"/>
              <w:jc w:val="center"/>
              <w:rPr>
                <w:color w:val="FF0000"/>
                <w:sz w:val="20"/>
              </w:rPr>
            </w:pPr>
            <w:r>
              <w:rPr>
                <w:color w:val="FF0000"/>
                <w:sz w:val="20"/>
              </w:rPr>
              <w:t>6</w:t>
            </w:r>
          </w:p>
        </w:tc>
      </w:tr>
    </w:tbl>
    <w:p w:rsidR="00DF6861" w:rsidRDefault="00DF6861">
      <w:pPr>
        <w:pStyle w:val="Zkladntext"/>
        <w:spacing w:before="120"/>
        <w:ind w:left="425"/>
        <w:rPr>
          <w:rFonts w:ascii="Arial" w:hAnsi="Arial"/>
          <w:snapToGrid w:val="0"/>
          <w:sz w:val="20"/>
        </w:rPr>
      </w:pPr>
      <w:r>
        <w:rPr>
          <w:rFonts w:ascii="Arial" w:hAnsi="Arial"/>
          <w:snapToGrid w:val="0"/>
          <w:sz w:val="20"/>
        </w:rPr>
        <w:t xml:space="preserve">Spoločnosť odpisuje pre daňové účely svoj dlhodobý hmotný majetok v zmysle paragrafov 22 – 29 zákona č. 595/2003 </w:t>
      </w:r>
      <w:proofErr w:type="spellStart"/>
      <w:r>
        <w:rPr>
          <w:rFonts w:ascii="Arial" w:hAnsi="Arial"/>
          <w:snapToGrid w:val="0"/>
          <w:sz w:val="20"/>
        </w:rPr>
        <w:t>Z.z</w:t>
      </w:r>
      <w:proofErr w:type="spellEnd"/>
      <w:r>
        <w:rPr>
          <w:rFonts w:ascii="Arial" w:hAnsi="Arial"/>
          <w:snapToGrid w:val="0"/>
          <w:sz w:val="20"/>
        </w:rPr>
        <w:t>., pričom hmotný majetok odpisuje rovnomerne.</w:t>
      </w:r>
    </w:p>
    <w:p w:rsidR="00DF6861" w:rsidRDefault="00DF6861">
      <w:pPr>
        <w:pStyle w:val="Zkladntext"/>
        <w:spacing w:before="120"/>
        <w:ind w:left="425"/>
        <w:rPr>
          <w:rFonts w:ascii="Arial" w:hAnsi="Arial"/>
          <w:snapToGrid w:val="0"/>
          <w:sz w:val="20"/>
        </w:rPr>
      </w:pPr>
    </w:p>
    <w:p w:rsidR="00DF6861" w:rsidRDefault="00DF6861">
      <w:pPr>
        <w:pStyle w:val="Notesubtitle"/>
      </w:pPr>
      <w:bookmarkStart w:id="16" w:name="_Toc61257293"/>
      <w:bookmarkStart w:id="17" w:name="_Toc464644533"/>
      <w:r>
        <w:t>Dlhodobý finančný majetok</w:t>
      </w:r>
      <w:bookmarkEnd w:id="16"/>
      <w:bookmarkEnd w:id="17"/>
    </w:p>
    <w:p w:rsidR="00DF6861" w:rsidRDefault="00DF6861">
      <w:pPr>
        <w:pStyle w:val="Notetext"/>
        <w:rPr>
          <w:sz w:val="20"/>
        </w:rPr>
      </w:pPr>
      <w:r>
        <w:rPr>
          <w:sz w:val="20"/>
        </w:rPr>
        <w:t>Dlhodobý finančný majetok je klasifikovaný ako cenné papiere a podiely v ovládanej osobe, cenné papiere a podiely v spoločnosti s podstatným vplyvom, realizovateľné cenné papiere a podiely a dlhové cenné papiere držané do doby splatnosti.</w:t>
      </w:r>
    </w:p>
    <w:p w:rsidR="00DF6861" w:rsidRDefault="00DF6861">
      <w:pPr>
        <w:pStyle w:val="Notetext"/>
        <w:rPr>
          <w:sz w:val="20"/>
        </w:rPr>
      </w:pPr>
      <w:r>
        <w:rPr>
          <w:sz w:val="20"/>
        </w:rPr>
        <w:t>Dlhodobý finančný majetok je evidovaný v obstarávacej cene, vrátane nákladov súvisiacich s obstaraním (do 31.12.2002 v cene obstarania). V prípade poklesu hodnoty majetku sú cenné papiere a podiely ocenené podľa trhovej hodnoty. V prípade, že neexistuje trhové ohodnotenie, účtovná hodnota vlastného imania príslušného podniku sa považuje za hodnotu podobnú trhovej hodnote.</w:t>
      </w:r>
    </w:p>
    <w:p w:rsidR="00DF6861" w:rsidRDefault="00DF6861">
      <w:pPr>
        <w:pStyle w:val="Notetext"/>
        <w:spacing w:after="0"/>
        <w:rPr>
          <w:sz w:val="20"/>
        </w:rPr>
      </w:pPr>
      <w:r>
        <w:rPr>
          <w:sz w:val="20"/>
        </w:rPr>
        <w:t>Pôžičky poskytnuté podnikom v skupine alebo ostatné pôžičky s dobou splatnosti dlhšou než jeden rok, sú evidované v menovitej hodnote, ktorá je upravená opravnou položkou o mieru ich nedobytnosti.</w:t>
      </w:r>
    </w:p>
    <w:p w:rsidR="00DF6861" w:rsidRDefault="00DF6861">
      <w:pPr>
        <w:pStyle w:val="Notesubtitle"/>
      </w:pPr>
      <w:bookmarkStart w:id="18" w:name="_Toc61257294"/>
      <w:bookmarkStart w:id="19" w:name="_Toc464644534"/>
      <w:r>
        <w:t>Zásoby</w:t>
      </w:r>
      <w:bookmarkEnd w:id="18"/>
      <w:bookmarkEnd w:id="19"/>
    </w:p>
    <w:p w:rsidR="00DF6861" w:rsidRDefault="00DF6861">
      <w:pPr>
        <w:pStyle w:val="Notetext"/>
        <w:rPr>
          <w:sz w:val="20"/>
        </w:rPr>
      </w:pPr>
      <w:r>
        <w:rPr>
          <w:sz w:val="20"/>
        </w:rPr>
        <w:t xml:space="preserve">Do zásob patrí materiál, suroviny, vlastné výrobky, nedokončená výroba, polotovary vlastnej výroby a tovar. </w:t>
      </w:r>
    </w:p>
    <w:p w:rsidR="00DF6861" w:rsidRDefault="00DF6861">
      <w:pPr>
        <w:pStyle w:val="Notetext"/>
        <w:rPr>
          <w:sz w:val="20"/>
        </w:rPr>
      </w:pPr>
      <w:r>
        <w:rPr>
          <w:sz w:val="20"/>
        </w:rPr>
        <w:t xml:space="preserve">Zásoby sa oceňujú nižšou z nasledujúcich hodnôt: obstarávacou cenou (nakupované zásoby) alebo vlastnými nákladmi (zásoby vytvorené vlastnou činnosťou) alebo čistou realizačnou hodnotou. Čistá realizačná hodnota je predpokladaná predajná cena znížená o predpokladané náklady na ich dokončenie a o predpokladané náklady súvisiace s ich predajom.  </w:t>
      </w:r>
    </w:p>
    <w:p w:rsidR="00DF6861" w:rsidRDefault="00DF6861">
      <w:pPr>
        <w:pStyle w:val="Notetext"/>
        <w:rPr>
          <w:sz w:val="20"/>
        </w:rPr>
      </w:pPr>
      <w:r>
        <w:rPr>
          <w:sz w:val="20"/>
        </w:rPr>
        <w:t xml:space="preserve">Suroviny, materiál a tovar sa oceňujú v obstarávacej cene. Obstarávacia cena zahŕňa cenu zásob </w:t>
      </w:r>
      <w:r>
        <w:rPr>
          <w:sz w:val="20"/>
        </w:rPr>
        <w:lastRenderedPageBreak/>
        <w:t xml:space="preserve">a náklady súvisiace s obstaraním (clo, dopravné, poistné, provízie a pod.). Suroviny, materiál a tovar na sklade sa oceňujú cenou zistenou váženým aritmetickým priemerom (metódou FIFO alebo metódou pevnej ceny). </w:t>
      </w:r>
    </w:p>
    <w:p w:rsidR="00DF6861" w:rsidRDefault="00DF6861">
      <w:pPr>
        <w:pStyle w:val="Notetext"/>
        <w:rPr>
          <w:sz w:val="20"/>
        </w:rPr>
      </w:pPr>
      <w:r>
        <w:rPr>
          <w:sz w:val="20"/>
        </w:rPr>
        <w:t xml:space="preserve">Vlastné výrobky, nedokončená výroba a polotovary vlastnej výroby sa oceňujú vo vlastných nákladoch výroby. </w:t>
      </w:r>
    </w:p>
    <w:p w:rsidR="00DF6861" w:rsidRDefault="00DF6861">
      <w:pPr>
        <w:pStyle w:val="Notetext"/>
        <w:rPr>
          <w:sz w:val="20"/>
        </w:rPr>
      </w:pPr>
      <w:r>
        <w:rPr>
          <w:sz w:val="20"/>
        </w:rPr>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nie sú úroky z cudzích zdrojov.</w:t>
      </w:r>
    </w:p>
    <w:p w:rsidR="00DF6861" w:rsidRDefault="00DF6861">
      <w:pPr>
        <w:pStyle w:val="Notetext"/>
        <w:spacing w:after="0"/>
        <w:ind w:left="0"/>
        <w:rPr>
          <w:sz w:val="20"/>
        </w:rPr>
      </w:pPr>
      <w:r>
        <w:rPr>
          <w:sz w:val="20"/>
        </w:rPr>
        <w:t xml:space="preserve">        Zníženie hodnoty zásob sa upravuje vytvorením opravnej položky.</w:t>
      </w:r>
    </w:p>
    <w:p w:rsidR="00DF6861" w:rsidRDefault="00DF6861">
      <w:pPr>
        <w:pStyle w:val="Notesubtitle"/>
      </w:pPr>
      <w:bookmarkStart w:id="20" w:name="_Toc61257295"/>
      <w:bookmarkStart w:id="21" w:name="_Toc464644535"/>
      <w:r>
        <w:t>Dlhodobé a krátkodobé pohľadávky</w:t>
      </w:r>
      <w:bookmarkEnd w:id="20"/>
      <w:bookmarkEnd w:id="21"/>
    </w:p>
    <w:p w:rsidR="00DF6861" w:rsidRDefault="00DF6861">
      <w:pPr>
        <w:pStyle w:val="Notetext"/>
        <w:rPr>
          <w:sz w:val="20"/>
        </w:rPr>
      </w:pPr>
      <w:r>
        <w:rPr>
          <w:sz w:val="20"/>
        </w:rPr>
        <w:t xml:space="preserve">Pohľadávky sa účtujú v menovitej hodnote, okrem pohľadávok pri odplatnom nadobudnutí alebo pohľadávky nadobudnuté vkladom do základného imania, ktoré sú oceňované v obstarávacej cene, vrátane nákladov súvisiacich s obstaraním (do 31.12.2002 v cene obstarania). V prípade sporných a nedobytných pohľadávok je vytvorená opravná položka. </w:t>
      </w:r>
    </w:p>
    <w:p w:rsidR="00DF6861" w:rsidRDefault="00DF6861">
      <w:pPr>
        <w:pStyle w:val="Notetext"/>
        <w:spacing w:after="120"/>
        <w:rPr>
          <w:sz w:val="20"/>
        </w:rPr>
      </w:pPr>
      <w:r>
        <w:rPr>
          <w:sz w:val="20"/>
        </w:rPr>
        <w:t>Pohľadávky so zostatkovou dobou splatnosti nad 12 mesiacov sú uvedené v súvahe v položke B.II. dlhodobé pohľadávky. Pohľadávky s dobou splatnosti pod 12 mesiacov sú klasifikované ako krátkodobé pohľadávky a sú u</w:t>
      </w:r>
      <w:r w:rsidR="00A51305">
        <w:rPr>
          <w:sz w:val="20"/>
        </w:rPr>
        <w:t>vedené v položke B.III. súvahy a to v hodnote: 570 351 Eur.</w:t>
      </w:r>
    </w:p>
    <w:p w:rsidR="00DF6861" w:rsidRDefault="00DF6861">
      <w:pPr>
        <w:pStyle w:val="Notesubtitle"/>
      </w:pPr>
      <w:bookmarkStart w:id="22" w:name="_Toc61257296"/>
      <w:bookmarkStart w:id="23" w:name="_Toc464644536"/>
      <w:r>
        <w:t>Zákazková výroba</w:t>
      </w:r>
      <w:bookmarkEnd w:id="22"/>
      <w:bookmarkEnd w:id="23"/>
    </w:p>
    <w:p w:rsidR="00DF6861" w:rsidRDefault="00DF6861">
      <w:pPr>
        <w:autoSpaceDE w:val="0"/>
        <w:autoSpaceDN w:val="0"/>
        <w:adjustRightInd w:val="0"/>
        <w:spacing w:before="0" w:after="0"/>
        <w:ind w:left="426"/>
        <w:rPr>
          <w:rFonts w:cs="Arial"/>
          <w:color w:val="000000"/>
          <w:sz w:val="20"/>
        </w:rPr>
      </w:pPr>
      <w:r>
        <w:rPr>
          <w:snapToGrid w:val="0"/>
          <w:sz w:val="20"/>
          <w:lang w:eastAsia="en-US"/>
        </w:rPr>
        <w:t xml:space="preserve">Na účely účtovania zákazkovej výroby u zhotoviteľa sa rozumie zákazkovou výrobou zákazka vznikajúca na základe zmluvy medzi zhotoviteľom a objednávateľom osobitne dohodnutá na zhotovenie majetku alebo kombinácie majetkov, ktoré spolu súvisia alebo sú navzájom závislé vzhľadom na ich dizajn, technológiu, funkciu, účel alebo použitie, pri ktorej objednávateľ určuje hlavné konštrukčné prvky alebo </w:t>
      </w:r>
      <w:proofErr w:type="spellStart"/>
      <w:r>
        <w:rPr>
          <w:snapToGrid w:val="0"/>
          <w:sz w:val="20"/>
          <w:lang w:eastAsia="en-US"/>
        </w:rPr>
        <w:t>architektonicko</w:t>
      </w:r>
      <w:proofErr w:type="spellEnd"/>
      <w:r>
        <w:rPr>
          <w:snapToGrid w:val="0"/>
          <w:sz w:val="20"/>
          <w:lang w:eastAsia="en-US"/>
        </w:rPr>
        <w:t xml:space="preserve"> - stavebné riešenie, a preto nejde o</w:t>
      </w:r>
      <w:r>
        <w:rPr>
          <w:rFonts w:cs="Arial"/>
          <w:color w:val="000000"/>
          <w:sz w:val="20"/>
        </w:rPr>
        <w:t xml:space="preserve"> štandardizovanú výrobu; zákazkovou výrobou sa okrem zhotovenia majetku alebo kombinácie majetkov rozumie aj:</w:t>
      </w:r>
    </w:p>
    <w:p w:rsidR="00DF6861" w:rsidRDefault="00DF6861">
      <w:pPr>
        <w:autoSpaceDE w:val="0"/>
        <w:autoSpaceDN w:val="0"/>
        <w:adjustRightInd w:val="0"/>
        <w:spacing w:before="0" w:after="0"/>
        <w:ind w:left="426"/>
        <w:rPr>
          <w:rFonts w:cs="Arial"/>
          <w:color w:val="000000"/>
          <w:sz w:val="20"/>
        </w:rPr>
      </w:pPr>
      <w:r>
        <w:rPr>
          <w:rFonts w:cs="Arial"/>
          <w:color w:val="000000"/>
          <w:sz w:val="20"/>
        </w:rPr>
        <w:t>1.  zmluva na poskytovanie služieb, ktoré priamo súvisia so zhotovením majetku alebo kombinácie majetkov, napríklad služby manažérov projektu alebo architektov,</w:t>
      </w:r>
    </w:p>
    <w:p w:rsidR="00DF6861" w:rsidRDefault="00DF6861">
      <w:pPr>
        <w:autoSpaceDE w:val="0"/>
        <w:autoSpaceDN w:val="0"/>
        <w:adjustRightInd w:val="0"/>
        <w:spacing w:before="0" w:after="0"/>
        <w:ind w:left="426"/>
        <w:rPr>
          <w:rFonts w:cs="Arial"/>
          <w:color w:val="000000"/>
          <w:sz w:val="20"/>
        </w:rPr>
      </w:pPr>
      <w:r>
        <w:rPr>
          <w:rFonts w:cs="Arial"/>
          <w:color w:val="000000"/>
          <w:sz w:val="20"/>
        </w:rPr>
        <w:t>2.  zmluva na likvidáciu majetku, obnovu prostredia alebo rekultiváciu životného prostredia po likvidácii majetku, ku ktorému sa táto likvidácia, obnova alebo rekultivácia viaže.</w:t>
      </w:r>
    </w:p>
    <w:p w:rsidR="00DF6861" w:rsidRDefault="00DF6861">
      <w:pPr>
        <w:pStyle w:val="Zarkazkladnhotextu"/>
      </w:pPr>
    </w:p>
    <w:p w:rsidR="00DF6861" w:rsidRDefault="00DF6861">
      <w:pPr>
        <w:pStyle w:val="Zarkazkladnhotextu"/>
      </w:pPr>
      <w:r>
        <w:t>Zhotoviteľom požadované sumy za vykonanú prácu na zákazkovej výrobe, napríklad na základe vystaveného účtovného dokladu, sa účtujú na ťarchu účtu 311 – Odberatelia so súvzťažným zápisom v prospech účtu 606 – Výnosy zo zákazky. Preddavky, ktoré zhotoviteľ prijal pred vykonaním príslušnej práce sa účtujú v prospech účtu 324 – Prijaté preddavky alebo v prospech účtu 475 – Dlhodobé prijaté preddavky.</w:t>
      </w:r>
    </w:p>
    <w:p w:rsidR="00DF6861" w:rsidRDefault="00DF6861">
      <w:pPr>
        <w:autoSpaceDE w:val="0"/>
        <w:autoSpaceDN w:val="0"/>
        <w:adjustRightInd w:val="0"/>
        <w:spacing w:before="0" w:after="0"/>
        <w:ind w:left="426"/>
        <w:rPr>
          <w:rFonts w:cs="Arial"/>
          <w:color w:val="000000"/>
          <w:sz w:val="20"/>
        </w:rPr>
      </w:pPr>
    </w:p>
    <w:p w:rsidR="00DF6861" w:rsidRDefault="00DF6861">
      <w:pPr>
        <w:autoSpaceDE w:val="0"/>
        <w:autoSpaceDN w:val="0"/>
        <w:adjustRightInd w:val="0"/>
        <w:spacing w:before="0" w:after="0"/>
        <w:ind w:left="426"/>
        <w:rPr>
          <w:rFonts w:cs="Arial"/>
          <w:color w:val="000000"/>
          <w:sz w:val="20"/>
        </w:rPr>
      </w:pPr>
      <w:r>
        <w:rPr>
          <w:rFonts w:cs="Arial"/>
          <w:color w:val="000000"/>
          <w:sz w:val="20"/>
        </w:rPr>
        <w:t>Ku dňu, ku ktorému sa zostavuje účtovná závierka, sa doúčtuje rozdiel medzi doteraz požadovanými platbami za plnenie na zákazkovej výrobe a hodnotou zákazkovej výroby podľa metódy stupňa dokončenia alebo podľa metódy nulového zisku na účet 316 - Čistá hodnota zákazky so súvzťažným zápisom na účet 606 – Výnosy zo zákazky.</w:t>
      </w:r>
    </w:p>
    <w:p w:rsidR="00DF6861" w:rsidRDefault="00DF6861">
      <w:pPr>
        <w:autoSpaceDE w:val="0"/>
        <w:autoSpaceDN w:val="0"/>
        <w:adjustRightInd w:val="0"/>
        <w:spacing w:before="0" w:after="0"/>
        <w:ind w:left="426"/>
        <w:rPr>
          <w:rFonts w:cs="Arial"/>
          <w:color w:val="000000"/>
          <w:sz w:val="20"/>
        </w:rPr>
      </w:pPr>
    </w:p>
    <w:p w:rsidR="00DF6861" w:rsidRDefault="00DF6861">
      <w:pPr>
        <w:autoSpaceDE w:val="0"/>
        <w:autoSpaceDN w:val="0"/>
        <w:adjustRightInd w:val="0"/>
        <w:spacing w:before="0" w:after="0"/>
        <w:ind w:left="426"/>
        <w:rPr>
          <w:rFonts w:cs="Arial"/>
          <w:color w:val="000000"/>
          <w:sz w:val="20"/>
        </w:rPr>
      </w:pPr>
      <w:r>
        <w:rPr>
          <w:rFonts w:cs="Arial"/>
          <w:color w:val="000000"/>
          <w:sz w:val="20"/>
        </w:rPr>
        <w:t>Ak sa ku dňu, ku ktorému sa zostavuje účtovná závierka predpokladá, že zmluvné náklady prevýšia zmluvné výnosy, účtuje sa odhad očakávanej straty zo zákazkovej výroby ako rezerva na stratu zo zákazkovej výroby. Výška očakávanej straty je určená bez ohľadu na to, či sa začala práca na zákazkovej výrobe, na stupeň dokončenia zákazkovej výroby alebo na výšku ziskov, ktorých vznik sa očakáva z iných zmlúv, ku ktorým sa nepristupuje ako k jednej zákazkovej výrobe.</w:t>
      </w:r>
    </w:p>
    <w:p w:rsidR="00DF6861" w:rsidRDefault="00DF6861">
      <w:pPr>
        <w:pStyle w:val="Notesubtitle"/>
      </w:pPr>
      <w:bookmarkStart w:id="24" w:name="_Toc61257297"/>
      <w:bookmarkStart w:id="25" w:name="_Toc464644537"/>
      <w:r>
        <w:t>Finančné účty</w:t>
      </w:r>
      <w:bookmarkEnd w:id="24"/>
      <w:bookmarkEnd w:id="25"/>
    </w:p>
    <w:p w:rsidR="00DF6861" w:rsidRDefault="00DF6861">
      <w:pPr>
        <w:pStyle w:val="Notetext"/>
        <w:spacing w:after="120"/>
        <w:rPr>
          <w:sz w:val="20"/>
        </w:rPr>
      </w:pPr>
      <w:r>
        <w:rPr>
          <w:sz w:val="20"/>
        </w:rPr>
        <w:t xml:space="preserve">Finančné účty sú tvorené peňažnou hotovosťou, zostatkami na bankových účtoch a krátkodobým finančným majetkom, ktorý môže byť kedykoľvek prevedený na hotovosť, pričom riziko zmeny jeho hodnoty je zanedbateľne nízke. Oceňované sú v menovitej hodnote. Opravná položka je tvorená na </w:t>
      </w:r>
      <w:r>
        <w:rPr>
          <w:sz w:val="20"/>
        </w:rPr>
        <w:lastRenderedPageBreak/>
        <w:t>akékoľvek znehodnotenie.</w:t>
      </w:r>
    </w:p>
    <w:p w:rsidR="00DF6861" w:rsidRDefault="00DF6861">
      <w:pPr>
        <w:pStyle w:val="Notesubtitle"/>
      </w:pPr>
      <w:bookmarkStart w:id="26" w:name="_Toc61257298"/>
      <w:bookmarkStart w:id="27" w:name="_Toc464644538"/>
      <w:r>
        <w:t>Náklady budúcich období a príjmy budúcich období</w:t>
      </w:r>
      <w:bookmarkEnd w:id="26"/>
      <w:bookmarkEnd w:id="27"/>
    </w:p>
    <w:p w:rsidR="00DF6861" w:rsidRDefault="00DF6861">
      <w:pPr>
        <w:pStyle w:val="Notetext"/>
        <w:spacing w:after="120"/>
        <w:rPr>
          <w:sz w:val="20"/>
        </w:rPr>
      </w:pPr>
      <w:r>
        <w:rPr>
          <w:sz w:val="20"/>
        </w:rPr>
        <w:t>Náklady a výnosy sú účtované v súlade so zásadou časovej a vecnej súvislosti.</w:t>
      </w:r>
    </w:p>
    <w:p w:rsidR="00055338" w:rsidRDefault="00055338">
      <w:pPr>
        <w:pStyle w:val="Notetext"/>
        <w:spacing w:after="120"/>
        <w:rPr>
          <w:sz w:val="20"/>
        </w:rPr>
      </w:pPr>
    </w:p>
    <w:p w:rsidR="00DF6861" w:rsidRDefault="00DF6861">
      <w:pPr>
        <w:pStyle w:val="Notesubtitle"/>
      </w:pPr>
      <w:bookmarkStart w:id="28" w:name="_Toc61257300"/>
      <w:bookmarkStart w:id="29" w:name="_Toc62022761"/>
      <w:bookmarkStart w:id="30" w:name="_Toc464644539"/>
      <w:r>
        <w:t>Rezervy</w:t>
      </w:r>
      <w:bookmarkEnd w:id="28"/>
      <w:bookmarkEnd w:id="29"/>
      <w:bookmarkEnd w:id="30"/>
    </w:p>
    <w:p w:rsidR="00DF6861" w:rsidRDefault="00DF6861">
      <w:pPr>
        <w:pStyle w:val="Notetext"/>
        <w:spacing w:after="120"/>
        <w:rPr>
          <w:sz w:val="20"/>
        </w:rPr>
      </w:pPr>
      <w:r>
        <w:rPr>
          <w:sz w:val="20"/>
        </w:rPr>
        <w:t>Rezervy sú záväzky s neurčitým časovým vymedzením alebo výškou; tvoria sa na krytie známych rizík alebo strát z podnikania. Oceňujú sa v očakávanej výške záväzku.</w:t>
      </w:r>
    </w:p>
    <w:p w:rsidR="00DF6861" w:rsidRDefault="00DF6861">
      <w:pPr>
        <w:pStyle w:val="Notesubtitle"/>
      </w:pPr>
      <w:bookmarkStart w:id="31" w:name="_Toc61257301"/>
      <w:bookmarkStart w:id="32" w:name="_Toc62022762"/>
      <w:bookmarkStart w:id="33" w:name="_Toc464644540"/>
      <w:r>
        <w:t>Záväzky</w:t>
      </w:r>
      <w:bookmarkEnd w:id="31"/>
      <w:bookmarkEnd w:id="32"/>
      <w:bookmarkEnd w:id="33"/>
    </w:p>
    <w:p w:rsidR="00DF6861" w:rsidRDefault="00DF6861">
      <w:pPr>
        <w:pStyle w:val="Notetext"/>
        <w:rPr>
          <w:sz w:val="20"/>
        </w:rPr>
      </w:pPr>
      <w:r>
        <w:rPr>
          <w:sz w:val="20"/>
        </w:rPr>
        <w:t>Krátkodobé a dlhodobé záväzky sú účtované v ich menovitej hodnote, okrem záväzkov pri prevzatí, ktoré sú oceňované obstarávacou cenou v čase prevzatia.</w:t>
      </w:r>
    </w:p>
    <w:p w:rsidR="00DF6861" w:rsidRDefault="00DF6861">
      <w:pPr>
        <w:pStyle w:val="Notetext"/>
        <w:rPr>
          <w:sz w:val="20"/>
        </w:rPr>
      </w:pPr>
      <w:r>
        <w:rPr>
          <w:sz w:val="20"/>
        </w:rPr>
        <w:t>Ak sa pri inventarizácii zistí, že suma záväzkov je iná ako ich výška v účtovníctve, uvedú sa záväzky v účtovníctve a v účtovnej závierke v tomto zistenom ocenení.</w:t>
      </w:r>
    </w:p>
    <w:p w:rsidR="00DF6861" w:rsidRDefault="00DF6861">
      <w:pPr>
        <w:pStyle w:val="Notetext"/>
        <w:spacing w:after="0"/>
        <w:rPr>
          <w:sz w:val="20"/>
        </w:rPr>
      </w:pPr>
      <w:r>
        <w:rPr>
          <w:sz w:val="20"/>
        </w:rPr>
        <w:t>V priloženej súvahe sú záväzky so zostatkovou dobou splatnosti nad 12 mesiacov uvedené v položke B. II. Dlhodobé záväzky. Záväzky so zostatkovou dobou splatnosti do 12 mesiacov sú uvedené v položke B. III. Krátkodobé záväzky.</w:t>
      </w:r>
    </w:p>
    <w:p w:rsidR="00DF6861" w:rsidRDefault="00DF6861">
      <w:pPr>
        <w:pStyle w:val="Notesubtitle"/>
      </w:pPr>
      <w:bookmarkStart w:id="34" w:name="_Toc61257302"/>
      <w:bookmarkStart w:id="35" w:name="_Toc464644541"/>
      <w:r>
        <w:t>Daň z príjmov spoločnosti</w:t>
      </w:r>
      <w:bookmarkEnd w:id="34"/>
      <w:bookmarkEnd w:id="35"/>
    </w:p>
    <w:p w:rsidR="00DF6861" w:rsidRDefault="00DF6861">
      <w:pPr>
        <w:pStyle w:val="Notetext"/>
        <w:rPr>
          <w:sz w:val="20"/>
        </w:rPr>
      </w:pPr>
      <w:r>
        <w:rPr>
          <w:sz w:val="20"/>
        </w:rPr>
        <w:t>Daň z príjmov spoločnosti splatná v bežnom účtovnom období sa účtuje do nákladov spoločnosti a v predkladanom výkaze ziskov a strát spoločnosti je vypočítaná zo základu vyplývajúceho zo zisku pred zdanením, ktorý bol upravený o pripočítateľné a odpočítateľné položky z titulu trvalých a dočasných úprav daňového základu. Daňový záväzok je uvedený po znížení o preddavky, ktoré na daň z príjmov spoločnosť uhradila v priebehu roka.</w:t>
      </w:r>
    </w:p>
    <w:p w:rsidR="00DF6861" w:rsidRDefault="00DF6861">
      <w:pPr>
        <w:pStyle w:val="Notetext"/>
        <w:rPr>
          <w:sz w:val="20"/>
        </w:rPr>
      </w:pPr>
      <w:r>
        <w:rPr>
          <w:sz w:val="20"/>
        </w:rPr>
        <w:t>Daň z príjmov spoločnosti odložená do budúcich účtovných období sa  účtuje pri:</w:t>
      </w:r>
    </w:p>
    <w:p w:rsidR="00DF6861" w:rsidRDefault="00DF6861">
      <w:pPr>
        <w:pStyle w:val="Notetext"/>
        <w:numPr>
          <w:ilvl w:val="2"/>
          <w:numId w:val="5"/>
        </w:numPr>
        <w:tabs>
          <w:tab w:val="clear" w:pos="2264"/>
          <w:tab w:val="num" w:pos="993"/>
        </w:tabs>
        <w:spacing w:after="120"/>
        <w:ind w:left="992" w:hanging="425"/>
        <w:rPr>
          <w:sz w:val="20"/>
        </w:rPr>
      </w:pPr>
      <w:r>
        <w:rPr>
          <w:sz w:val="20"/>
        </w:rPr>
        <w:t>dočasných rozdieloch medzi účtovnou hodnotou majetku a účtovnou hodnotou záväzkov vykázanou v súvahe a ich daňovou základňou</w:t>
      </w:r>
    </w:p>
    <w:p w:rsidR="00DF6861" w:rsidRDefault="00DF6861">
      <w:pPr>
        <w:pStyle w:val="Notetext"/>
        <w:numPr>
          <w:ilvl w:val="2"/>
          <w:numId w:val="5"/>
        </w:numPr>
        <w:tabs>
          <w:tab w:val="clear" w:pos="2264"/>
          <w:tab w:val="num" w:pos="993"/>
        </w:tabs>
        <w:spacing w:after="120"/>
        <w:ind w:left="992" w:hanging="425"/>
        <w:rPr>
          <w:sz w:val="20"/>
        </w:rPr>
      </w:pPr>
      <w:r>
        <w:rPr>
          <w:sz w:val="20"/>
        </w:rPr>
        <w:t>možnosti umorovať daňovú stratu v budúcnosti, pod ktorou sa rozumie možnosť odpočítať daňovú stratu od základu dane v budúcnosti</w:t>
      </w:r>
    </w:p>
    <w:p w:rsidR="00DF6861" w:rsidRDefault="00DF6861">
      <w:pPr>
        <w:pStyle w:val="Notetext"/>
        <w:numPr>
          <w:ilvl w:val="2"/>
          <w:numId w:val="5"/>
        </w:numPr>
        <w:tabs>
          <w:tab w:val="clear" w:pos="2264"/>
          <w:tab w:val="num" w:pos="993"/>
        </w:tabs>
        <w:ind w:left="993" w:hanging="426"/>
        <w:rPr>
          <w:sz w:val="20"/>
        </w:rPr>
      </w:pPr>
      <w:r>
        <w:rPr>
          <w:sz w:val="20"/>
        </w:rPr>
        <w:t>možnosť previesť nevyužité daňové odpočty a iné daňové nároky do budúcich období</w:t>
      </w:r>
    </w:p>
    <w:p w:rsidR="00DF6861" w:rsidRDefault="00DF6861">
      <w:pPr>
        <w:pStyle w:val="Notesubtitle"/>
      </w:pPr>
      <w:bookmarkStart w:id="36" w:name="_Toc61257303"/>
      <w:bookmarkStart w:id="37" w:name="_Toc464644542"/>
      <w:r>
        <w:t>Výnosy budúcich období a výdavky budúcich období</w:t>
      </w:r>
      <w:bookmarkEnd w:id="36"/>
      <w:bookmarkEnd w:id="37"/>
    </w:p>
    <w:p w:rsidR="00DF6861" w:rsidRDefault="00DF6861">
      <w:pPr>
        <w:pStyle w:val="Notetext"/>
        <w:rPr>
          <w:sz w:val="20"/>
        </w:rPr>
      </w:pPr>
      <w:r>
        <w:rPr>
          <w:sz w:val="20"/>
        </w:rPr>
        <w:t>Výnosy budúcich období a výdavky budúcich období sa vykazujú vo výške, ktorá je potrebná na dodržanie  zásady časovej a vecnej súvislosti.</w:t>
      </w:r>
      <w:r>
        <w:rPr>
          <w:sz w:val="20"/>
        </w:rPr>
        <w:tab/>
      </w:r>
    </w:p>
    <w:p w:rsidR="00DF6861" w:rsidRDefault="00DF6861">
      <w:pPr>
        <w:pStyle w:val="Notesubtitle"/>
      </w:pPr>
      <w:bookmarkStart w:id="38" w:name="_Toc61257304"/>
      <w:bookmarkStart w:id="39" w:name="_Toc464644543"/>
      <w:r>
        <w:t>Operácie v cudzej mene</w:t>
      </w:r>
      <w:bookmarkEnd w:id="38"/>
      <w:bookmarkEnd w:id="39"/>
    </w:p>
    <w:p w:rsidR="00DF6861" w:rsidRDefault="00DF6861">
      <w:pPr>
        <w:pStyle w:val="Notetext"/>
        <w:rPr>
          <w:sz w:val="20"/>
        </w:rPr>
      </w:pPr>
      <w:r>
        <w:rPr>
          <w:sz w:val="20"/>
        </w:rPr>
        <w:t>Majetok a záväzky, vyjadrené v cudzej mene, sa prepočítavajú na menu euro referenčným výmenným kurom určeným a vyhláseným Európskou centrálnou bankou (ECB) v deň predchádzajúci dňu uskutočnenia účtovnej operácie a ku dňu zostavenia účtovnej závierky. Účtujú sa s vplyvom na výsledok hospodárenia.</w:t>
      </w:r>
    </w:p>
    <w:p w:rsidR="00DF6861" w:rsidRDefault="00DF6861">
      <w:pPr>
        <w:pStyle w:val="Notesubtitle"/>
      </w:pPr>
      <w:bookmarkStart w:id="40" w:name="_Toc61257305"/>
      <w:bookmarkStart w:id="41" w:name="_Toc464644544"/>
      <w:r>
        <w:t>Účtovanie výnosov a nákladov</w:t>
      </w:r>
      <w:bookmarkEnd w:id="40"/>
      <w:bookmarkEnd w:id="41"/>
    </w:p>
    <w:p w:rsidR="00DF6861" w:rsidRDefault="00DF6861">
      <w:pPr>
        <w:pStyle w:val="Notetext"/>
        <w:rPr>
          <w:sz w:val="20"/>
        </w:rPr>
      </w:pPr>
      <w:r>
        <w:rPr>
          <w:sz w:val="20"/>
        </w:rPr>
        <w:t>Spoločnosť účtuje náklady a výnosy časovo rozlíšené do obdobia, s ktorým časovo a vecne súvisia, t. j. bez ohľadu na to, kedy prichádza k ich peňažnej úhrade.</w:t>
      </w:r>
    </w:p>
    <w:p w:rsidR="00DF6861" w:rsidRDefault="00DF6861">
      <w:pPr>
        <w:pStyle w:val="Notetext"/>
        <w:rPr>
          <w:sz w:val="20"/>
        </w:rPr>
      </w:pPr>
      <w:r>
        <w:rPr>
          <w:sz w:val="20"/>
        </w:rPr>
        <w:lastRenderedPageBreak/>
        <w:t>V súlade so zásadou opatrnosti spoločnosť ku koncu roka účtuje len zrealizované výnosy upravené o daň z pridanej hodnoty. Výnosy sú znížené o bonusy a zľavy. Do nákladov sa účtujú všetky očakávané odhadné položky a straty, vrátane pravdepodobných strát bezodkladne po tom, čo sa o nich spoločnosť dozvedela.</w:t>
      </w:r>
    </w:p>
    <w:p w:rsidR="00055338" w:rsidRDefault="00055338">
      <w:pPr>
        <w:pStyle w:val="Notetext"/>
        <w:rPr>
          <w:sz w:val="20"/>
        </w:rPr>
      </w:pPr>
    </w:p>
    <w:p w:rsidR="00DF6861" w:rsidRDefault="00DF6861">
      <w:pPr>
        <w:pStyle w:val="Notesubtitle"/>
      </w:pPr>
      <w:bookmarkStart w:id="42" w:name="_Toc61257306"/>
      <w:bookmarkStart w:id="43" w:name="_Toc464644545"/>
      <w:r>
        <w:t>Deriváty</w:t>
      </w:r>
      <w:bookmarkEnd w:id="42"/>
      <w:bookmarkEnd w:id="43"/>
    </w:p>
    <w:p w:rsidR="00DF6861" w:rsidRDefault="00DF6861">
      <w:pPr>
        <w:pStyle w:val="Notetext"/>
        <w:rPr>
          <w:sz w:val="20"/>
        </w:rPr>
      </w:pPr>
      <w:r>
        <w:rPr>
          <w:sz w:val="20"/>
        </w:rPr>
        <w:t>Deriváty sa oceňujú reálnou hodnotou.</w:t>
      </w:r>
    </w:p>
    <w:p w:rsidR="00DF6861" w:rsidRDefault="00DF6861">
      <w:pPr>
        <w:pStyle w:val="Notetext"/>
        <w:rPr>
          <w:sz w:val="20"/>
        </w:rPr>
      </w:pPr>
      <w:r>
        <w:rPr>
          <w:sz w:val="20"/>
        </w:rPr>
        <w:t>Zmeny reálnych hodnôt zabezpečovacích derivátov sa účtujú bez vplyvu na výsledok hospodárenia, priamo do vlastného imania.</w:t>
      </w:r>
    </w:p>
    <w:p w:rsidR="00DF6861" w:rsidRDefault="00DF6861">
      <w:pPr>
        <w:pStyle w:val="Notetext"/>
        <w:rPr>
          <w:sz w:val="20"/>
        </w:rPr>
      </w:pPr>
      <w:r>
        <w:rPr>
          <w:sz w:val="20"/>
        </w:rPr>
        <w:t>Zmeny reálnych hodnôt derivátov určených na obchodovanie na tuzemskej burze, zahraničnej burze alebo inom verejnom trhu sa účtujú s vplyvom na výsledok hospodárenia.</w:t>
      </w:r>
    </w:p>
    <w:p w:rsidR="00DF6861" w:rsidRDefault="00DF6861">
      <w:pPr>
        <w:pStyle w:val="Notetext"/>
        <w:rPr>
          <w:sz w:val="20"/>
        </w:rPr>
      </w:pPr>
      <w:r>
        <w:rPr>
          <w:sz w:val="20"/>
        </w:rPr>
        <w:t>Zmeny reálnych hodnôt derivátov určených na obchodovanie na neverejnom trhu sa účtujú bez vplyvu na výsledok hospodárenia, priamo do vlastného imania.</w:t>
      </w:r>
    </w:p>
    <w:p w:rsidR="00DF6861" w:rsidRDefault="00DF6861">
      <w:pPr>
        <w:pStyle w:val="Notesubtitle"/>
      </w:pPr>
      <w:bookmarkStart w:id="44" w:name="_Toc464644546"/>
      <w:r>
        <w:t>Majetok a záväzky zabezpečené derivátmi</w:t>
      </w:r>
      <w:bookmarkEnd w:id="44"/>
    </w:p>
    <w:p w:rsidR="00DF6861" w:rsidRDefault="00DF6861">
      <w:pPr>
        <w:pStyle w:val="Pismenka"/>
      </w:pPr>
    </w:p>
    <w:p w:rsidR="00DF6861" w:rsidRDefault="00DF6861">
      <w:pPr>
        <w:pStyle w:val="Notetext"/>
        <w:rPr>
          <w:sz w:val="20"/>
        </w:rPr>
      </w:pPr>
      <w:r>
        <w:rPr>
          <w:sz w:val="20"/>
        </w:rPr>
        <w:t xml:space="preserve">Majetok a záväzky zabezpečené derivátmi sa oceňujú reálnou hodnotou. Zmeny reálnych hodnôt majetku a záväzkov zabezpečených derivátmi sa účtujú bez vplyvu na výsledok hospodárenia, priamo do vlastného imania.  </w:t>
      </w:r>
    </w:p>
    <w:p w:rsidR="00DF6861" w:rsidRDefault="00DF6861">
      <w:pPr>
        <w:pStyle w:val="Notesubtitle"/>
      </w:pPr>
      <w:bookmarkStart w:id="45" w:name="_Toc61257307"/>
      <w:bookmarkStart w:id="46" w:name="_Toc61257601"/>
      <w:bookmarkStart w:id="47" w:name="_Toc464644547"/>
      <w:r>
        <w:t>Prenajatý majetok</w:t>
      </w:r>
      <w:bookmarkEnd w:id="45"/>
      <w:bookmarkEnd w:id="46"/>
      <w:bookmarkEnd w:id="47"/>
    </w:p>
    <w:p w:rsidR="00DF6861" w:rsidRDefault="00DF6861">
      <w:pPr>
        <w:pStyle w:val="Notetext"/>
        <w:rPr>
          <w:sz w:val="20"/>
        </w:rPr>
      </w:pPr>
      <w:r>
        <w:rPr>
          <w:sz w:val="20"/>
        </w:rPr>
        <w:t>Operatívny prenájom. Majetok prenajatý na základe operatívneho prenájmu vykazuje ako svoj majetok jeho vlastník, nie nájomca.</w:t>
      </w:r>
    </w:p>
    <w:p w:rsidR="00DF6861" w:rsidRDefault="00DF6861">
      <w:pPr>
        <w:pStyle w:val="Notetext"/>
        <w:rPr>
          <w:sz w:val="20"/>
        </w:rPr>
      </w:pPr>
      <w:r>
        <w:rPr>
          <w:sz w:val="20"/>
        </w:rPr>
        <w:t>Finančný prenájom (s kúpnou opciou; bez kúpnej opcie je považovaný za operatívny prenájom). Majetok prenajatý na základe zmluvy uzatvorenej do 31. decembra 2003 vykazuje ako svoj majetok jeho vlastník, nie nájomca. Majetok prenajatý na základe zmluvy uzatvorenej 1. januára 2004 a neskôr vykazuje ako svoj majetok jeho nájomca, nie vlastník.</w:t>
      </w:r>
    </w:p>
    <w:p w:rsidR="00DF6861" w:rsidRDefault="00DF6861">
      <w:pPr>
        <w:pStyle w:val="Notetext"/>
        <w:rPr>
          <w:sz w:val="20"/>
        </w:rPr>
      </w:pPr>
    </w:p>
    <w:p w:rsidR="00DF6861" w:rsidRDefault="00DF6861">
      <w:pPr>
        <w:pStyle w:val="Notetitle"/>
        <w:numPr>
          <w:ilvl w:val="0"/>
          <w:numId w:val="0"/>
        </w:numPr>
        <w:tabs>
          <w:tab w:val="clear" w:pos="119"/>
          <w:tab w:val="num" w:pos="851"/>
        </w:tabs>
        <w:spacing w:before="120"/>
        <w:ind w:left="425" w:right="663"/>
        <w:rPr>
          <w:u w:val="single"/>
        </w:rPr>
      </w:pPr>
      <w:bookmarkStart w:id="48" w:name="_Toc464644548"/>
      <w:bookmarkStart w:id="49" w:name="_Toc61257308"/>
      <w:r>
        <w:rPr>
          <w:u w:val="single"/>
        </w:rPr>
        <w:t>čL. iv  INFORMÁCIE, KTORé VYSVETľUJú A DOPĹŇAJú SúVAHU A VýKAZ ZISKOV A STRáT</w:t>
      </w:r>
      <w:bookmarkEnd w:id="48"/>
    </w:p>
    <w:p w:rsidR="00DF6861" w:rsidRDefault="00DF6861">
      <w:pPr>
        <w:pStyle w:val="Notesubtitle"/>
        <w:numPr>
          <w:ilvl w:val="1"/>
          <w:numId w:val="21"/>
        </w:numPr>
      </w:pPr>
      <w:bookmarkStart w:id="50" w:name="_Toc61257317"/>
      <w:bookmarkStart w:id="51" w:name="_Toc464644549"/>
      <w:bookmarkEnd w:id="49"/>
      <w:r>
        <w:t>Záväzky</w:t>
      </w:r>
      <w:bookmarkEnd w:id="50"/>
      <w:bookmarkEnd w:id="51"/>
      <w:r>
        <w:t xml:space="preserve"> </w:t>
      </w:r>
    </w:p>
    <w:p w:rsidR="00DF6861" w:rsidRDefault="00DF6861">
      <w:pPr>
        <w:pStyle w:val="Notetext"/>
        <w:spacing w:before="120"/>
        <w:rPr>
          <w:sz w:val="20"/>
        </w:rPr>
      </w:pPr>
      <w:r>
        <w:rPr>
          <w:sz w:val="20"/>
        </w:rPr>
        <w:t>Štruktúra zostatkov dlhodobých záväzkov k 31. decembru 201</w:t>
      </w:r>
      <w:r w:rsidR="0085798A">
        <w:rPr>
          <w:sz w:val="20"/>
        </w:rPr>
        <w:t>6</w:t>
      </w:r>
      <w:r>
        <w:rPr>
          <w:sz w:val="20"/>
        </w:rPr>
        <w:t xml:space="preserve"> podľa zostatkovej doby splatnosti je nasledovná:</w:t>
      </w:r>
    </w:p>
    <w:p w:rsidR="00DF6861" w:rsidRDefault="001B569F">
      <w:pPr>
        <w:pStyle w:val="Notetext"/>
        <w:spacing w:after="0"/>
      </w:pPr>
      <w:r>
        <w:object w:dxaOrig="7690" w:dyaOrig="187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10.25pt;height:90.75pt" o:ole="" filled="t">
            <v:fill color2="black"/>
            <v:imagedata r:id="rId8" o:title=""/>
          </v:shape>
          <o:OLEObject Type="Embed" ProgID="Excel.Sheet.8" ShapeID="_x0000_i1025" DrawAspect="Content" ObjectID="_1565704984" r:id="rId9"/>
        </w:object>
      </w:r>
    </w:p>
    <w:p w:rsidR="00DF6861" w:rsidRDefault="00DF6861">
      <w:pPr>
        <w:pStyle w:val="Notetext"/>
        <w:spacing w:after="0"/>
      </w:pPr>
    </w:p>
    <w:p w:rsidR="00DF6861" w:rsidRDefault="00DF6861">
      <w:pPr>
        <w:pStyle w:val="Notetext"/>
        <w:spacing w:after="0"/>
      </w:pPr>
    </w:p>
    <w:p w:rsidR="00DF6861" w:rsidRDefault="00DF6861">
      <w:pPr>
        <w:pStyle w:val="Notesubtitle"/>
      </w:pPr>
      <w:bookmarkStart w:id="52" w:name="_Toc188080118"/>
      <w:bookmarkStart w:id="53" w:name="_Toc225677605"/>
      <w:bookmarkStart w:id="54" w:name="_Toc464644550"/>
      <w:r>
        <w:lastRenderedPageBreak/>
        <w:t>Bankové úvery a finančné výpomoci</w:t>
      </w:r>
      <w:bookmarkEnd w:id="52"/>
      <w:bookmarkEnd w:id="53"/>
      <w:bookmarkEnd w:id="54"/>
    </w:p>
    <w:p w:rsidR="00DF6861" w:rsidRDefault="00DF6861">
      <w:pPr>
        <w:pStyle w:val="Notetext"/>
        <w:spacing w:after="120"/>
        <w:rPr>
          <w:sz w:val="20"/>
        </w:rPr>
      </w:pPr>
      <w:r>
        <w:rPr>
          <w:sz w:val="20"/>
        </w:rPr>
        <w:t>Spoločnosť má poskytnutý investičný bankový úver vo výške 2</w:t>
      </w:r>
      <w:r w:rsidR="006E6055">
        <w:rPr>
          <w:sz w:val="20"/>
        </w:rPr>
        <w:t>50</w:t>
      </w:r>
      <w:r w:rsidR="002C566F">
        <w:rPr>
          <w:sz w:val="20"/>
        </w:rPr>
        <w:t xml:space="preserve"> </w:t>
      </w:r>
      <w:r w:rsidR="006E6055">
        <w:rPr>
          <w:sz w:val="20"/>
        </w:rPr>
        <w:t>000</w:t>
      </w:r>
      <w:r>
        <w:rPr>
          <w:sz w:val="20"/>
        </w:rPr>
        <w:t xml:space="preserve"> EUR, ktorý bol poskytnutý na výstavbu a zariadenie </w:t>
      </w:r>
      <w:proofErr w:type="spellStart"/>
      <w:r>
        <w:rPr>
          <w:sz w:val="20"/>
        </w:rPr>
        <w:t>bioplynovej</w:t>
      </w:r>
      <w:proofErr w:type="spellEnd"/>
      <w:r>
        <w:rPr>
          <w:sz w:val="20"/>
        </w:rPr>
        <w:t xml:space="preserve"> stanice.</w:t>
      </w:r>
    </w:p>
    <w:p w:rsidR="00DF6861" w:rsidRDefault="009A0ACA">
      <w:pPr>
        <w:pStyle w:val="Notetext"/>
        <w:spacing w:after="0"/>
      </w:pPr>
      <w:r w:rsidRPr="00081A04">
        <w:rPr>
          <w:color w:val="FF0000"/>
        </w:rPr>
        <w:object w:dxaOrig="9523" w:dyaOrig="3207">
          <v:shape id="_x0000_i1029" type="#_x0000_t75" style="width:477pt;height:152.25pt" o:ole="">
            <v:imagedata r:id="rId10" o:title=""/>
          </v:shape>
          <o:OLEObject Type="Embed" ProgID="Excel.Sheet.8" ShapeID="_x0000_i1029" DrawAspect="Content" ObjectID="_1565704985" r:id="rId11"/>
        </w:object>
      </w:r>
    </w:p>
    <w:p w:rsidR="00DF6861" w:rsidRDefault="00DF6861">
      <w:pPr>
        <w:pStyle w:val="Notetext"/>
        <w:spacing w:before="240" w:after="120"/>
        <w:rPr>
          <w:b/>
          <w:bCs/>
          <w:sz w:val="20"/>
        </w:rPr>
      </w:pPr>
      <w:bookmarkStart w:id="55" w:name="OLE_LINK56"/>
      <w:bookmarkStart w:id="56" w:name="OLE_LINK57"/>
      <w:bookmarkStart w:id="57" w:name="OLE_LINK58"/>
      <w:bookmarkStart w:id="58" w:name="OLE_LINK59"/>
      <w:bookmarkStart w:id="59" w:name="OLE_LINK60"/>
      <w:bookmarkStart w:id="60" w:name="OLE_LINK61"/>
      <w:bookmarkStart w:id="61" w:name="OLE_LINK62"/>
      <w:bookmarkStart w:id="62" w:name="OLE_LINK63"/>
      <w:bookmarkStart w:id="63" w:name="OLE_LINK64"/>
      <w:bookmarkStart w:id="64" w:name="_Toc61257324"/>
      <w:r>
        <w:rPr>
          <w:b/>
          <w:bCs/>
          <w:sz w:val="20"/>
        </w:rPr>
        <w:t>Založený majetok</w:t>
      </w:r>
    </w:p>
    <w:p w:rsidR="0078248C" w:rsidRDefault="00DF6861">
      <w:pPr>
        <w:pStyle w:val="Notetext"/>
        <w:spacing w:before="240" w:after="120"/>
        <w:jc w:val="left"/>
        <w:rPr>
          <w:color w:val="000000"/>
          <w:sz w:val="20"/>
        </w:rPr>
      </w:pPr>
      <w:r>
        <w:rPr>
          <w:color w:val="000000"/>
          <w:sz w:val="20"/>
        </w:rPr>
        <w:t>Spoločnosť SCBC, s.r.o. má založený majetok vo VÚB banke, a</w:t>
      </w:r>
      <w:r w:rsidR="0078248C">
        <w:rPr>
          <w:color w:val="000000"/>
          <w:sz w:val="20"/>
        </w:rPr>
        <w:t> </w:t>
      </w:r>
      <w:r>
        <w:rPr>
          <w:color w:val="000000"/>
          <w:sz w:val="20"/>
        </w:rPr>
        <w:t>to</w:t>
      </w:r>
      <w:r w:rsidR="0078248C">
        <w:rPr>
          <w:color w:val="000000"/>
          <w:sz w:val="20"/>
        </w:rPr>
        <w:t>:</w:t>
      </w:r>
    </w:p>
    <w:p w:rsidR="00DF6861" w:rsidRDefault="0078248C" w:rsidP="0078248C">
      <w:pPr>
        <w:pStyle w:val="Notetext"/>
        <w:spacing w:before="240" w:after="120"/>
        <w:jc w:val="left"/>
        <w:rPr>
          <w:color w:val="000000"/>
          <w:sz w:val="20"/>
        </w:rPr>
      </w:pPr>
      <w:r>
        <w:rPr>
          <w:color w:val="000000"/>
          <w:sz w:val="20"/>
        </w:rPr>
        <w:t xml:space="preserve">Hnuteľný majetok – jednoúčelové stroje, prístroje a zariadenia zabudované v budove alebo v technologickej linke v hodnote:                       </w:t>
      </w:r>
      <w:r w:rsidRPr="0078248C">
        <w:rPr>
          <w:b/>
          <w:color w:val="000000"/>
          <w:sz w:val="20"/>
        </w:rPr>
        <w:t>41 650 Eur</w:t>
      </w:r>
    </w:p>
    <w:p w:rsidR="0078248C" w:rsidRDefault="0078248C" w:rsidP="0078248C">
      <w:pPr>
        <w:pStyle w:val="Notetext"/>
        <w:spacing w:before="240" w:after="120"/>
        <w:jc w:val="left"/>
        <w:rPr>
          <w:color w:val="000000"/>
          <w:sz w:val="20"/>
        </w:rPr>
      </w:pPr>
      <w:r>
        <w:rPr>
          <w:color w:val="000000"/>
          <w:sz w:val="20"/>
        </w:rPr>
        <w:t xml:space="preserve">Nehnuteľný majetok – špecifické priemyselné objekty: kotolne, energetické stavby, </w:t>
      </w:r>
      <w:proofErr w:type="spellStart"/>
      <w:r>
        <w:rPr>
          <w:color w:val="000000"/>
          <w:sz w:val="20"/>
        </w:rPr>
        <w:t>výmenn.stanice</w:t>
      </w:r>
      <w:proofErr w:type="spellEnd"/>
      <w:r>
        <w:rPr>
          <w:color w:val="000000"/>
          <w:sz w:val="20"/>
        </w:rPr>
        <w:t xml:space="preserve"> v hodnote:                                                        </w:t>
      </w:r>
      <w:r w:rsidRPr="0078248C">
        <w:rPr>
          <w:b/>
          <w:color w:val="000000"/>
          <w:sz w:val="20"/>
        </w:rPr>
        <w:t>151 673 Eur</w:t>
      </w:r>
    </w:p>
    <w:p w:rsidR="0078248C" w:rsidRPr="0078248C" w:rsidRDefault="0078248C" w:rsidP="0078248C">
      <w:pPr>
        <w:pStyle w:val="Notetext"/>
        <w:spacing w:before="240" w:after="120"/>
        <w:jc w:val="left"/>
        <w:rPr>
          <w:color w:val="000000"/>
          <w:sz w:val="20"/>
        </w:rPr>
      </w:pPr>
    </w:p>
    <w:tbl>
      <w:tblPr>
        <w:tblW w:w="4203"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5185"/>
        <w:gridCol w:w="2897"/>
      </w:tblGrid>
      <w:tr w:rsidR="00DF6861">
        <w:trPr>
          <w:jc w:val="center"/>
        </w:trPr>
        <w:tc>
          <w:tcPr>
            <w:tcW w:w="5185" w:type="dxa"/>
            <w:vAlign w:val="center"/>
          </w:tcPr>
          <w:p w:rsidR="00DF6861" w:rsidRDefault="00DF6861">
            <w:pPr>
              <w:pStyle w:val="TopHeader"/>
              <w:jc w:val="left"/>
              <w:rPr>
                <w:rFonts w:ascii="Arial" w:hAnsi="Arial" w:cs="Arial"/>
                <w:sz w:val="18"/>
              </w:rPr>
            </w:pPr>
            <w:r>
              <w:rPr>
                <w:rFonts w:ascii="Arial" w:hAnsi="Arial" w:cs="Arial"/>
                <w:sz w:val="18"/>
              </w:rPr>
              <w:t>Dlhodobý hmotný majetok</w:t>
            </w:r>
          </w:p>
        </w:tc>
        <w:tc>
          <w:tcPr>
            <w:tcW w:w="2897" w:type="dxa"/>
            <w:vAlign w:val="center"/>
          </w:tcPr>
          <w:p w:rsidR="00DF6861" w:rsidRDefault="00DF6861">
            <w:pPr>
              <w:pStyle w:val="TopHeader"/>
              <w:rPr>
                <w:rFonts w:ascii="Arial" w:hAnsi="Arial" w:cs="Arial"/>
                <w:sz w:val="18"/>
              </w:rPr>
            </w:pPr>
            <w:r>
              <w:rPr>
                <w:rFonts w:ascii="Arial" w:hAnsi="Arial" w:cs="Arial"/>
                <w:sz w:val="18"/>
              </w:rPr>
              <w:t>Hodnota za bežné účtovné obdobie</w:t>
            </w:r>
          </w:p>
        </w:tc>
      </w:tr>
      <w:tr w:rsidR="00DF6861">
        <w:trPr>
          <w:jc w:val="center"/>
        </w:trPr>
        <w:tc>
          <w:tcPr>
            <w:tcW w:w="5185" w:type="dxa"/>
            <w:vAlign w:val="center"/>
          </w:tcPr>
          <w:p w:rsidR="00DF6861" w:rsidRDefault="00DF6861">
            <w:pPr>
              <w:rPr>
                <w:rFonts w:cs="Arial"/>
                <w:sz w:val="18"/>
                <w:szCs w:val="22"/>
              </w:rPr>
            </w:pPr>
            <w:r>
              <w:rPr>
                <w:rFonts w:cs="Arial"/>
                <w:sz w:val="18"/>
                <w:szCs w:val="22"/>
              </w:rPr>
              <w:t>Dlhodobý hmotný majetok, na ktorý je zriadené záložné právo</w:t>
            </w:r>
          </w:p>
        </w:tc>
        <w:tc>
          <w:tcPr>
            <w:tcW w:w="2897" w:type="dxa"/>
            <w:vAlign w:val="center"/>
          </w:tcPr>
          <w:p w:rsidR="00DF6861" w:rsidRPr="0078248C" w:rsidRDefault="00DF6861">
            <w:pPr>
              <w:spacing w:line="360" w:lineRule="auto"/>
              <w:jc w:val="center"/>
              <w:rPr>
                <w:rFonts w:cs="Arial"/>
                <w:b/>
                <w:sz w:val="18"/>
                <w:szCs w:val="22"/>
              </w:rPr>
            </w:pPr>
            <w:r w:rsidRPr="0078248C">
              <w:rPr>
                <w:rFonts w:cs="Arial"/>
                <w:b/>
                <w:sz w:val="18"/>
                <w:szCs w:val="22"/>
              </w:rPr>
              <w:t>1</w:t>
            </w:r>
            <w:r w:rsidR="00A51305" w:rsidRPr="0078248C">
              <w:rPr>
                <w:rFonts w:cs="Arial"/>
                <w:b/>
                <w:sz w:val="18"/>
                <w:szCs w:val="22"/>
              </w:rPr>
              <w:t>9</w:t>
            </w:r>
            <w:r w:rsidR="0078248C" w:rsidRPr="0078248C">
              <w:rPr>
                <w:rFonts w:cs="Arial"/>
                <w:b/>
                <w:sz w:val="18"/>
                <w:szCs w:val="22"/>
              </w:rPr>
              <w:t>3 323</w:t>
            </w:r>
          </w:p>
        </w:tc>
      </w:tr>
      <w:tr w:rsidR="00DF6861">
        <w:trPr>
          <w:trHeight w:val="330"/>
          <w:jc w:val="center"/>
        </w:trPr>
        <w:tc>
          <w:tcPr>
            <w:tcW w:w="5185" w:type="dxa"/>
          </w:tcPr>
          <w:p w:rsidR="00DF6861" w:rsidRDefault="00DF6861">
            <w:pPr>
              <w:rPr>
                <w:rFonts w:cs="Arial"/>
                <w:sz w:val="18"/>
                <w:szCs w:val="22"/>
              </w:rPr>
            </w:pPr>
            <w:r>
              <w:rPr>
                <w:rFonts w:cs="Arial"/>
                <w:sz w:val="18"/>
                <w:szCs w:val="22"/>
              </w:rPr>
              <w:t>Dlhodobý hmotný majetok, pri ktorom má účtovná jednotka obmedzené právo s ním nakladať</w:t>
            </w:r>
          </w:p>
        </w:tc>
        <w:tc>
          <w:tcPr>
            <w:tcW w:w="2897" w:type="dxa"/>
            <w:vAlign w:val="center"/>
          </w:tcPr>
          <w:p w:rsidR="00DF6861" w:rsidRDefault="00DF6861">
            <w:pPr>
              <w:spacing w:line="360" w:lineRule="auto"/>
              <w:rPr>
                <w:rFonts w:cs="Arial"/>
                <w:sz w:val="18"/>
                <w:szCs w:val="22"/>
              </w:rPr>
            </w:pPr>
          </w:p>
        </w:tc>
      </w:tr>
    </w:tbl>
    <w:p w:rsidR="00DF6861" w:rsidRDefault="00DF6861">
      <w:pPr>
        <w:pStyle w:val="Notesubtitle"/>
        <w:numPr>
          <w:ilvl w:val="0"/>
          <w:numId w:val="0"/>
        </w:numPr>
        <w:spacing w:before="0"/>
        <w:ind w:left="1355"/>
      </w:pPr>
      <w:bookmarkStart w:id="65" w:name="_Toc61257310"/>
      <w:bookmarkEnd w:id="55"/>
      <w:bookmarkEnd w:id="56"/>
      <w:bookmarkEnd w:id="57"/>
      <w:bookmarkEnd w:id="58"/>
      <w:bookmarkEnd w:id="59"/>
      <w:bookmarkEnd w:id="60"/>
      <w:bookmarkEnd w:id="61"/>
      <w:bookmarkEnd w:id="62"/>
      <w:bookmarkEnd w:id="63"/>
    </w:p>
    <w:p w:rsidR="00DF6861" w:rsidRDefault="00DF6861">
      <w:pPr>
        <w:pStyle w:val="Notetitle"/>
        <w:numPr>
          <w:ilvl w:val="0"/>
          <w:numId w:val="0"/>
        </w:numPr>
        <w:tabs>
          <w:tab w:val="clear" w:pos="119"/>
          <w:tab w:val="num" w:pos="851"/>
        </w:tabs>
        <w:spacing w:before="240"/>
        <w:ind w:left="425" w:right="663"/>
        <w:rPr>
          <w:u w:val="single"/>
        </w:rPr>
      </w:pPr>
      <w:bookmarkStart w:id="66" w:name="_Toc464644551"/>
      <w:bookmarkStart w:id="67" w:name="_Toc61257325"/>
      <w:bookmarkEnd w:id="64"/>
      <w:bookmarkEnd w:id="65"/>
      <w:r>
        <w:rPr>
          <w:u w:val="single"/>
        </w:rPr>
        <w:t>čL. v Informácie o iných aktívach a iných pasívach</w:t>
      </w:r>
      <w:bookmarkEnd w:id="66"/>
    </w:p>
    <w:p w:rsidR="00DF6861" w:rsidRDefault="00DF6861">
      <w:pPr>
        <w:pStyle w:val="Notesubtitle"/>
        <w:numPr>
          <w:ilvl w:val="1"/>
          <w:numId w:val="20"/>
        </w:numPr>
      </w:pPr>
      <w:bookmarkStart w:id="68" w:name="_Toc530739921"/>
      <w:bookmarkStart w:id="69" w:name="_Toc464644552"/>
      <w:r>
        <w:t>Podmienené záväzky</w:t>
      </w:r>
      <w:bookmarkEnd w:id="68"/>
      <w:bookmarkEnd w:id="69"/>
    </w:p>
    <w:p w:rsidR="00DF6861" w:rsidRDefault="00DF6861">
      <w:pPr>
        <w:pStyle w:val="Zkladntext"/>
        <w:rPr>
          <w:rFonts w:ascii="Arial" w:hAnsi="Arial" w:cs="Arial"/>
          <w:sz w:val="20"/>
        </w:rPr>
      </w:pPr>
      <w:r>
        <w:rPr>
          <w:rFonts w:ascii="Arial" w:hAnsi="Arial" w:cs="Arial"/>
          <w:sz w:val="20"/>
        </w:rPr>
        <w:t>Spoločnosť nemá podmienené záväzky, ktoré sa nesledujú v bežnom účtovníctve a neuvádzajú sa v súvahe.</w:t>
      </w:r>
    </w:p>
    <w:p w:rsidR="00DF6861" w:rsidRDefault="00DF6861">
      <w:pPr>
        <w:pStyle w:val="Notesubtitle"/>
      </w:pPr>
      <w:bookmarkStart w:id="70" w:name="_Toc464644553"/>
      <w:r>
        <w:t>Podmienený majetok</w:t>
      </w:r>
      <w:bookmarkEnd w:id="70"/>
    </w:p>
    <w:p w:rsidR="00DF6861" w:rsidRDefault="00DF6861">
      <w:pPr>
        <w:pStyle w:val="Zkladntext"/>
        <w:rPr>
          <w:rFonts w:ascii="Arial" w:hAnsi="Arial" w:cs="Arial"/>
          <w:sz w:val="20"/>
        </w:rPr>
      </w:pPr>
      <w:r>
        <w:rPr>
          <w:rFonts w:ascii="Arial" w:hAnsi="Arial" w:cs="Arial"/>
          <w:sz w:val="20"/>
        </w:rPr>
        <w:t>Spoločnosť nemá podmienený majetok.</w:t>
      </w:r>
    </w:p>
    <w:p w:rsidR="00DF6861" w:rsidRDefault="00DF6861">
      <w:pPr>
        <w:pStyle w:val="Zkladntext"/>
        <w:rPr>
          <w:rFonts w:ascii="Arial" w:hAnsi="Arial" w:cs="Arial"/>
          <w:sz w:val="20"/>
        </w:rPr>
      </w:pPr>
    </w:p>
    <w:p w:rsidR="00DF6861" w:rsidRDefault="00DF6861">
      <w:pPr>
        <w:pStyle w:val="Zkladntext"/>
        <w:rPr>
          <w:rFonts w:ascii="Arial" w:hAnsi="Arial" w:cs="Arial"/>
          <w:sz w:val="20"/>
        </w:rPr>
      </w:pPr>
    </w:p>
    <w:p w:rsidR="00DF6861" w:rsidRDefault="00DF6861">
      <w:pPr>
        <w:pStyle w:val="Zkladntext"/>
        <w:rPr>
          <w:rFonts w:ascii="Arial" w:hAnsi="Arial" w:cs="Arial"/>
          <w:sz w:val="20"/>
        </w:rPr>
      </w:pPr>
    </w:p>
    <w:p w:rsidR="00DF6861" w:rsidRDefault="00DF6861">
      <w:pPr>
        <w:pStyle w:val="Zkladntext"/>
        <w:rPr>
          <w:rFonts w:ascii="Arial" w:hAnsi="Arial" w:cs="Arial"/>
          <w:sz w:val="20"/>
        </w:rPr>
      </w:pPr>
    </w:p>
    <w:p w:rsidR="00DF6861" w:rsidRDefault="00DF6861">
      <w:pPr>
        <w:pStyle w:val="Zkladntext"/>
        <w:rPr>
          <w:rFonts w:ascii="Arial" w:hAnsi="Arial" w:cs="Arial"/>
          <w:sz w:val="20"/>
        </w:rPr>
      </w:pPr>
    </w:p>
    <w:p w:rsidR="00DF6861" w:rsidRDefault="00DF6861">
      <w:pPr>
        <w:pStyle w:val="Zkladntext"/>
        <w:rPr>
          <w:rFonts w:ascii="Arial" w:hAnsi="Arial" w:cs="Arial"/>
          <w:sz w:val="20"/>
        </w:rPr>
      </w:pPr>
    </w:p>
    <w:p w:rsidR="00DF6861" w:rsidRDefault="00DF6861">
      <w:pPr>
        <w:pStyle w:val="Zkladntext"/>
        <w:rPr>
          <w:rFonts w:ascii="Arial" w:hAnsi="Arial" w:cs="Arial"/>
          <w:sz w:val="20"/>
        </w:rPr>
      </w:pPr>
    </w:p>
    <w:p w:rsidR="00DF6861" w:rsidRDefault="00DF6861">
      <w:pPr>
        <w:pStyle w:val="Zkladntext"/>
        <w:rPr>
          <w:rFonts w:ascii="Arial" w:hAnsi="Arial" w:cs="Arial"/>
          <w:sz w:val="20"/>
        </w:rPr>
      </w:pPr>
    </w:p>
    <w:p w:rsidR="00DF6861" w:rsidRDefault="00DF6861">
      <w:pPr>
        <w:pStyle w:val="Zkladntext"/>
        <w:rPr>
          <w:rFonts w:ascii="Arial" w:hAnsi="Arial" w:cs="Arial"/>
          <w:sz w:val="20"/>
        </w:rPr>
      </w:pPr>
    </w:p>
    <w:p w:rsidR="00DF6861" w:rsidRDefault="00DF6861">
      <w:pPr>
        <w:pStyle w:val="Notetitle"/>
        <w:numPr>
          <w:ilvl w:val="0"/>
          <w:numId w:val="0"/>
        </w:numPr>
        <w:tabs>
          <w:tab w:val="clear" w:pos="119"/>
          <w:tab w:val="num" w:pos="851"/>
        </w:tabs>
        <w:ind w:left="425" w:right="663"/>
        <w:rPr>
          <w:u w:val="single"/>
        </w:rPr>
      </w:pPr>
      <w:bookmarkStart w:id="71" w:name="_Toc61257330"/>
      <w:bookmarkStart w:id="72" w:name="_Toc464644554"/>
      <w:bookmarkStart w:id="73" w:name="_Toc61257328"/>
      <w:bookmarkEnd w:id="67"/>
      <w:r>
        <w:rPr>
          <w:u w:val="single"/>
        </w:rPr>
        <w:t>čl. vi uDALOSTI, KTORé nastali po dni, ku kt</w:t>
      </w:r>
      <w:bookmarkEnd w:id="71"/>
      <w:r>
        <w:rPr>
          <w:u w:val="single"/>
        </w:rPr>
        <w:t>orému sa zostavuje účtovná závierka</w:t>
      </w:r>
      <w:bookmarkEnd w:id="72"/>
      <w:r>
        <w:rPr>
          <w:u w:val="single"/>
        </w:rPr>
        <w:t xml:space="preserve"> </w:t>
      </w:r>
    </w:p>
    <w:p w:rsidR="00DF6861" w:rsidRDefault="00DF6861">
      <w:pPr>
        <w:pStyle w:val="Notetext"/>
        <w:rPr>
          <w:sz w:val="20"/>
        </w:rPr>
      </w:pPr>
      <w:r>
        <w:rPr>
          <w:snapToGrid/>
          <w:sz w:val="20"/>
        </w:rPr>
        <w:t>Od 31. decembra 201</w:t>
      </w:r>
      <w:r w:rsidR="0085798A">
        <w:rPr>
          <w:snapToGrid/>
          <w:sz w:val="20"/>
        </w:rPr>
        <w:t>6</w:t>
      </w:r>
      <w:r>
        <w:rPr>
          <w:snapToGrid/>
          <w:sz w:val="20"/>
        </w:rPr>
        <w:t xml:space="preserve"> do dátumu zostavenia tejto účtovnej závierky nenastali žiadne skutočnosti, ktoré neboli v predmetnej účtovnej závierke zohľadnené a mali by nepriaznivý vplyv na verné zobrazenie skutočností, ktoré sú predmetom účtovníctva. Na základe dostupných informácií, konatelia spoločnosti neočakávajú, že by činnosť spoločnosti mohla byť v nasledovnom období nepriaznivo ovplyvnená</w:t>
      </w:r>
      <w:r>
        <w:rPr>
          <w:sz w:val="20"/>
        </w:rPr>
        <w:t xml:space="preserve">. </w:t>
      </w:r>
    </w:p>
    <w:p w:rsidR="00A51305" w:rsidRDefault="00A51305">
      <w:pPr>
        <w:pStyle w:val="Notetext"/>
        <w:rPr>
          <w:sz w:val="20"/>
        </w:rPr>
      </w:pPr>
    </w:p>
    <w:p w:rsidR="00DF6861" w:rsidRDefault="00DF6861">
      <w:pPr>
        <w:pStyle w:val="Notetext"/>
        <w:spacing w:after="120"/>
      </w:pPr>
    </w:p>
    <w:p w:rsidR="00DF6861" w:rsidRDefault="00DF6861">
      <w:pPr>
        <w:pStyle w:val="Notetext"/>
        <w:spacing w:after="120"/>
      </w:pPr>
    </w:p>
    <w:p w:rsidR="00DF6861" w:rsidRDefault="00DF6861">
      <w:pPr>
        <w:pStyle w:val="Notetext"/>
        <w:spacing w:after="120"/>
      </w:pPr>
    </w:p>
    <w:p w:rsidR="00DF6861" w:rsidRDefault="00DF6861">
      <w:pPr>
        <w:pStyle w:val="Notetext"/>
        <w:spacing w:after="120"/>
      </w:pPr>
    </w:p>
    <w:p w:rsidR="00DF6861" w:rsidRDefault="00DF6861">
      <w:pPr>
        <w:pStyle w:val="Notetext"/>
        <w:spacing w:after="120"/>
      </w:pPr>
    </w:p>
    <w:p w:rsidR="00DF6861" w:rsidRDefault="00DF6861">
      <w:pPr>
        <w:pStyle w:val="Notetext"/>
        <w:spacing w:after="120"/>
      </w:pPr>
    </w:p>
    <w:p w:rsidR="00DF6861" w:rsidRDefault="00DF6861">
      <w:pPr>
        <w:pStyle w:val="Notetext"/>
        <w:spacing w:after="120"/>
      </w:pPr>
    </w:p>
    <w:p w:rsidR="00DF6861" w:rsidRDefault="00DF6861">
      <w:pPr>
        <w:pStyle w:val="Notetext"/>
        <w:spacing w:after="120"/>
      </w:pPr>
    </w:p>
    <w:p w:rsidR="00DF6861" w:rsidRDefault="00DF6861">
      <w:pPr>
        <w:pStyle w:val="Notetext"/>
        <w:spacing w:after="120"/>
      </w:pPr>
    </w:p>
    <w:p w:rsidR="00DF6861" w:rsidRDefault="00DF6861">
      <w:pPr>
        <w:pStyle w:val="Notetext"/>
        <w:spacing w:after="120"/>
      </w:pPr>
    </w:p>
    <w:p w:rsidR="00DF6861" w:rsidRDefault="00DF6861">
      <w:pPr>
        <w:pStyle w:val="Notetext"/>
        <w:spacing w:after="120"/>
      </w:pPr>
    </w:p>
    <w:p w:rsidR="00DF6861" w:rsidRDefault="00DF6861">
      <w:pPr>
        <w:pStyle w:val="Notetext"/>
        <w:spacing w:after="120"/>
      </w:pPr>
    </w:p>
    <w:bookmarkEnd w:id="73"/>
    <w:p w:rsidR="00DF6861" w:rsidRDefault="00DF6861" w:rsidP="0078248C">
      <w:pPr>
        <w:pStyle w:val="Notetext"/>
        <w:spacing w:after="0"/>
        <w:ind w:left="0"/>
      </w:pPr>
    </w:p>
    <w:p w:rsidR="00DF6861" w:rsidRDefault="00DF6861">
      <w:pPr>
        <w:pStyle w:val="Zkladntext"/>
        <w:rPr>
          <w:rFonts w:ascii="Arial" w:hAnsi="Arial"/>
          <w:sz w:val="20"/>
        </w:rPr>
      </w:pPr>
    </w:p>
    <w:p w:rsidR="00DF6861" w:rsidRDefault="00DF6861">
      <w:pPr>
        <w:pStyle w:val="Notetext"/>
      </w:pPr>
    </w:p>
    <w:p w:rsidR="00DF6861" w:rsidRDefault="00DF6861">
      <w:pPr>
        <w:pStyle w:val="Notetext"/>
        <w:ind w:left="0"/>
        <w:jc w:val="center"/>
      </w:pPr>
      <w:r>
        <w:t>*</w:t>
      </w:r>
      <w:r>
        <w:tab/>
        <w:t>*</w:t>
      </w:r>
      <w:r>
        <w:tab/>
        <w:t>*</w:t>
      </w:r>
      <w:r>
        <w:tab/>
        <w:t>*</w:t>
      </w:r>
      <w:r>
        <w:tab/>
        <w:t>*</w:t>
      </w:r>
    </w:p>
    <w:p w:rsidR="00DF6861" w:rsidRDefault="00DF6861">
      <w:pPr>
        <w:pStyle w:val="Notetext"/>
        <w:outlineLvl w:val="0"/>
        <w:rPr>
          <w:sz w:val="20"/>
        </w:rPr>
      </w:pPr>
      <w:r>
        <w:rPr>
          <w:sz w:val="20"/>
        </w:rPr>
        <w:t xml:space="preserve">Táto účtovná závierka bola pripravená v Stropkove dňa  </w:t>
      </w:r>
      <w:r w:rsidR="00504161">
        <w:rPr>
          <w:sz w:val="20"/>
        </w:rPr>
        <w:t>3</w:t>
      </w:r>
      <w:r w:rsidR="009A0ACA">
        <w:rPr>
          <w:sz w:val="20"/>
        </w:rPr>
        <w:t>1</w:t>
      </w:r>
      <w:r w:rsidR="00504161">
        <w:rPr>
          <w:sz w:val="20"/>
        </w:rPr>
        <w:t>.08.2017</w:t>
      </w:r>
    </w:p>
    <w:p w:rsidR="00DF6861" w:rsidRDefault="00DF6861">
      <w:pPr>
        <w:pStyle w:val="Notetext"/>
        <w:ind w:left="0"/>
        <w:jc w:val="center"/>
      </w:pPr>
    </w:p>
    <w:p w:rsidR="00DF6861" w:rsidRDefault="00DF6861">
      <w:pPr>
        <w:pStyle w:val="Notetext"/>
        <w:ind w:left="0"/>
        <w:jc w:val="center"/>
      </w:pPr>
    </w:p>
    <w:tbl>
      <w:tblPr>
        <w:tblW w:w="0" w:type="auto"/>
        <w:tblInd w:w="622" w:type="dxa"/>
        <w:tblLayout w:type="fixed"/>
        <w:tblCellMar>
          <w:left w:w="7" w:type="dxa"/>
          <w:right w:w="7" w:type="dxa"/>
        </w:tblCellMar>
        <w:tblLook w:val="00E7"/>
      </w:tblPr>
      <w:tblGrid>
        <w:gridCol w:w="4145"/>
        <w:gridCol w:w="169"/>
        <w:gridCol w:w="4145"/>
      </w:tblGrid>
      <w:tr w:rsidR="00DF6861">
        <w:tc>
          <w:tcPr>
            <w:tcW w:w="4145" w:type="dxa"/>
          </w:tcPr>
          <w:p w:rsidR="00DF6861" w:rsidRDefault="00DF6861">
            <w:pPr>
              <w:spacing w:before="900"/>
              <w:jc w:val="center"/>
              <w:rPr>
                <w:color w:val="FF0000"/>
                <w:sz w:val="20"/>
              </w:rPr>
            </w:pPr>
          </w:p>
        </w:tc>
        <w:tc>
          <w:tcPr>
            <w:tcW w:w="169" w:type="dxa"/>
          </w:tcPr>
          <w:p w:rsidR="00DF6861" w:rsidRDefault="00DF6861">
            <w:pPr>
              <w:spacing w:before="900"/>
              <w:jc w:val="center"/>
              <w:rPr>
                <w:color w:val="FF0000"/>
                <w:sz w:val="20"/>
              </w:rPr>
            </w:pPr>
          </w:p>
        </w:tc>
        <w:tc>
          <w:tcPr>
            <w:tcW w:w="4145" w:type="dxa"/>
          </w:tcPr>
          <w:p w:rsidR="00DF6861" w:rsidRDefault="00DF6861">
            <w:pPr>
              <w:spacing w:before="900"/>
              <w:jc w:val="center"/>
              <w:rPr>
                <w:color w:val="FF0000"/>
                <w:sz w:val="20"/>
              </w:rPr>
            </w:pPr>
          </w:p>
        </w:tc>
      </w:tr>
      <w:tr w:rsidR="00DF6861">
        <w:tc>
          <w:tcPr>
            <w:tcW w:w="4145" w:type="dxa"/>
            <w:tcBorders>
              <w:top w:val="single" w:sz="4" w:space="0" w:color="auto"/>
            </w:tcBorders>
          </w:tcPr>
          <w:p w:rsidR="00DF6861" w:rsidRDefault="00DF6861">
            <w:pPr>
              <w:jc w:val="center"/>
              <w:rPr>
                <w:sz w:val="20"/>
              </w:rPr>
            </w:pPr>
            <w:r>
              <w:rPr>
                <w:sz w:val="20"/>
              </w:rPr>
              <w:t xml:space="preserve">Michal </w:t>
            </w:r>
            <w:proofErr w:type="spellStart"/>
            <w:r>
              <w:rPr>
                <w:sz w:val="20"/>
              </w:rPr>
              <w:t>Olearnik</w:t>
            </w:r>
            <w:proofErr w:type="spellEnd"/>
          </w:p>
          <w:p w:rsidR="00DF6861" w:rsidRDefault="00DF6861">
            <w:pPr>
              <w:jc w:val="center"/>
              <w:rPr>
                <w:sz w:val="20"/>
              </w:rPr>
            </w:pPr>
            <w:r>
              <w:rPr>
                <w:sz w:val="20"/>
              </w:rPr>
              <w:t>Konateľ spoločnosti</w:t>
            </w:r>
          </w:p>
          <w:p w:rsidR="00DF6861" w:rsidRDefault="00DF6861">
            <w:pPr>
              <w:jc w:val="center"/>
              <w:rPr>
                <w:sz w:val="20"/>
              </w:rPr>
            </w:pPr>
            <w:r>
              <w:rPr>
                <w:sz w:val="20"/>
              </w:rPr>
              <w:t xml:space="preserve">  </w:t>
            </w:r>
          </w:p>
        </w:tc>
        <w:tc>
          <w:tcPr>
            <w:tcW w:w="169" w:type="dxa"/>
          </w:tcPr>
          <w:p w:rsidR="00DF6861" w:rsidRDefault="00DF6861">
            <w:pPr>
              <w:rPr>
                <w:sz w:val="20"/>
              </w:rPr>
            </w:pPr>
          </w:p>
        </w:tc>
        <w:tc>
          <w:tcPr>
            <w:tcW w:w="4145" w:type="dxa"/>
            <w:tcBorders>
              <w:top w:val="single" w:sz="4" w:space="0" w:color="auto"/>
            </w:tcBorders>
          </w:tcPr>
          <w:p w:rsidR="00DF6861" w:rsidRDefault="00DF6861">
            <w:pPr>
              <w:jc w:val="center"/>
              <w:rPr>
                <w:sz w:val="20"/>
              </w:rPr>
            </w:pPr>
            <w:r>
              <w:rPr>
                <w:sz w:val="20"/>
              </w:rPr>
              <w:t xml:space="preserve">Jaroslav </w:t>
            </w:r>
            <w:proofErr w:type="spellStart"/>
            <w:r>
              <w:rPr>
                <w:sz w:val="20"/>
              </w:rPr>
              <w:t>Novický</w:t>
            </w:r>
            <w:proofErr w:type="spellEnd"/>
          </w:p>
          <w:p w:rsidR="00DF6861" w:rsidRDefault="00DF6861">
            <w:pPr>
              <w:jc w:val="center"/>
              <w:rPr>
                <w:sz w:val="20"/>
              </w:rPr>
            </w:pPr>
            <w:r>
              <w:rPr>
                <w:sz w:val="20"/>
              </w:rPr>
              <w:t>Konateľ spoločnosti</w:t>
            </w:r>
          </w:p>
        </w:tc>
      </w:tr>
    </w:tbl>
    <w:p w:rsidR="00DF6861" w:rsidRDefault="00DF6861">
      <w:pPr>
        <w:pStyle w:val="Notetitle"/>
        <w:numPr>
          <w:ilvl w:val="0"/>
          <w:numId w:val="0"/>
        </w:numPr>
        <w:ind w:left="734" w:hanging="450"/>
      </w:pPr>
      <w:bookmarkStart w:id="74" w:name="_Toc61257331"/>
    </w:p>
    <w:p w:rsidR="00B94EF3" w:rsidRDefault="00B94EF3" w:rsidP="00B94EF3">
      <w:pPr>
        <w:pStyle w:val="Notetext"/>
      </w:pPr>
    </w:p>
    <w:p w:rsidR="00B94EF3" w:rsidRPr="00B94EF3" w:rsidRDefault="00B94EF3" w:rsidP="00B94EF3">
      <w:pPr>
        <w:pStyle w:val="Notetext"/>
      </w:pPr>
    </w:p>
    <w:p w:rsidR="00DF6861" w:rsidRDefault="00DF6861">
      <w:pPr>
        <w:pStyle w:val="Notetext"/>
      </w:pPr>
    </w:p>
    <w:p w:rsidR="00DF6861" w:rsidRDefault="00DF6861">
      <w:pPr>
        <w:pStyle w:val="Notetext"/>
      </w:pPr>
    </w:p>
    <w:bookmarkEnd w:id="74"/>
    <w:p w:rsidR="00DF6861" w:rsidRDefault="00DF6861">
      <w:pPr>
        <w:pStyle w:val="Notetext"/>
        <w:outlineLvl w:val="0"/>
        <w:rPr>
          <w:b/>
          <w:bCs/>
          <w:sz w:val="20"/>
        </w:rPr>
      </w:pPr>
      <w:r>
        <w:rPr>
          <w:b/>
          <w:bCs/>
          <w:sz w:val="20"/>
        </w:rPr>
        <w:t xml:space="preserve">   OBSAH</w:t>
      </w:r>
    </w:p>
    <w:p w:rsidR="00DF6861" w:rsidRDefault="00102DA4">
      <w:pPr>
        <w:pStyle w:val="Obsah1"/>
        <w:rPr>
          <w:rFonts w:ascii="Times New Roman" w:hAnsi="Times New Roman" w:cs="Times New Roman"/>
          <w:bCs w:val="0"/>
          <w:caps w:val="0"/>
          <w:sz w:val="24"/>
          <w:szCs w:val="24"/>
          <w:lang w:val="cs-CZ" w:eastAsia="cs-CZ"/>
        </w:rPr>
      </w:pPr>
      <w:r w:rsidRPr="00102DA4">
        <w:rPr>
          <w:b/>
        </w:rPr>
        <w:fldChar w:fldCharType="begin"/>
      </w:r>
      <w:r w:rsidR="00DF6861">
        <w:rPr>
          <w:b/>
        </w:rPr>
        <w:instrText xml:space="preserve"> TOC \h \z \t "Note title;1;letter title;2;Note subtitle;2" </w:instrText>
      </w:r>
      <w:r w:rsidRPr="00102DA4">
        <w:rPr>
          <w:b/>
        </w:rPr>
        <w:fldChar w:fldCharType="separate"/>
      </w:r>
      <w:hyperlink w:anchor="_Toc464644523" w:history="1">
        <w:r w:rsidR="00DF6861">
          <w:rPr>
            <w:rStyle w:val="Hypertextovprepojenie"/>
          </w:rPr>
          <w:t>čl. I  všEOBECNé INFORMáCIE</w:t>
        </w:r>
        <w:r w:rsidR="00DF6861">
          <w:rPr>
            <w:webHidden/>
          </w:rPr>
          <w:tab/>
        </w:r>
        <w:r>
          <w:rPr>
            <w:webHidden/>
          </w:rPr>
          <w:fldChar w:fldCharType="begin"/>
        </w:r>
        <w:r w:rsidR="00DF6861">
          <w:rPr>
            <w:webHidden/>
          </w:rPr>
          <w:instrText xml:space="preserve"> PAGEREF _Toc464644523 \h </w:instrText>
        </w:r>
        <w:r>
          <w:rPr>
            <w:webHidden/>
          </w:rPr>
        </w:r>
        <w:r>
          <w:rPr>
            <w:webHidden/>
          </w:rPr>
          <w:fldChar w:fldCharType="separate"/>
        </w:r>
        <w:r w:rsidR="00F146C1">
          <w:rPr>
            <w:webHidden/>
          </w:rPr>
          <w:t>1</w:t>
        </w:r>
        <w:r>
          <w:rPr>
            <w:webHidden/>
          </w:rPr>
          <w:fldChar w:fldCharType="end"/>
        </w:r>
      </w:hyperlink>
    </w:p>
    <w:p w:rsidR="00DF6861" w:rsidRDefault="00102DA4">
      <w:pPr>
        <w:pStyle w:val="Obsah2"/>
        <w:rPr>
          <w:rFonts w:ascii="Times New Roman" w:hAnsi="Times New Roman"/>
          <w:bCs w:val="0"/>
          <w:sz w:val="24"/>
          <w:lang w:val="cs-CZ" w:eastAsia="cs-CZ"/>
        </w:rPr>
      </w:pPr>
      <w:hyperlink w:anchor="_Toc464644524" w:history="1">
        <w:r w:rsidR="00DF6861">
          <w:rPr>
            <w:rStyle w:val="Hypertextovprepojenie"/>
          </w:rPr>
          <w:t>1.</w:t>
        </w:r>
        <w:r w:rsidR="00DF6861">
          <w:rPr>
            <w:rFonts w:ascii="Times New Roman" w:hAnsi="Times New Roman"/>
            <w:bCs w:val="0"/>
            <w:sz w:val="24"/>
            <w:lang w:val="cs-CZ" w:eastAsia="cs-CZ"/>
          </w:rPr>
          <w:tab/>
        </w:r>
        <w:r w:rsidR="00DF6861">
          <w:rPr>
            <w:rStyle w:val="Hypertextovprepojenie"/>
          </w:rPr>
          <w:t>Obchodné meno a sídlo spoločnosti:</w:t>
        </w:r>
        <w:r w:rsidR="00DF6861">
          <w:rPr>
            <w:webHidden/>
          </w:rPr>
          <w:tab/>
        </w:r>
        <w:r>
          <w:rPr>
            <w:webHidden/>
          </w:rPr>
          <w:fldChar w:fldCharType="begin"/>
        </w:r>
        <w:r w:rsidR="00DF6861">
          <w:rPr>
            <w:webHidden/>
          </w:rPr>
          <w:instrText xml:space="preserve"> PAGEREF _Toc464644524 \h </w:instrText>
        </w:r>
        <w:r>
          <w:rPr>
            <w:webHidden/>
          </w:rPr>
        </w:r>
        <w:r>
          <w:rPr>
            <w:webHidden/>
          </w:rPr>
          <w:fldChar w:fldCharType="separate"/>
        </w:r>
        <w:r w:rsidR="00F146C1">
          <w:rPr>
            <w:webHidden/>
          </w:rPr>
          <w:t>1</w:t>
        </w:r>
        <w:r>
          <w:rPr>
            <w:webHidden/>
          </w:rPr>
          <w:fldChar w:fldCharType="end"/>
        </w:r>
      </w:hyperlink>
    </w:p>
    <w:p w:rsidR="00DF6861" w:rsidRDefault="00102DA4">
      <w:pPr>
        <w:pStyle w:val="Obsah2"/>
        <w:rPr>
          <w:rFonts w:ascii="Times New Roman" w:hAnsi="Times New Roman"/>
          <w:bCs w:val="0"/>
          <w:sz w:val="24"/>
          <w:lang w:val="cs-CZ" w:eastAsia="cs-CZ"/>
        </w:rPr>
      </w:pPr>
      <w:hyperlink w:anchor="_Toc464644525" w:history="1">
        <w:r w:rsidR="00DF6861">
          <w:rPr>
            <w:rStyle w:val="Hypertextovprepojenie"/>
          </w:rPr>
          <w:t>2.</w:t>
        </w:r>
        <w:r w:rsidR="00DF6861">
          <w:rPr>
            <w:rFonts w:ascii="Times New Roman" w:hAnsi="Times New Roman"/>
            <w:bCs w:val="0"/>
            <w:sz w:val="24"/>
            <w:lang w:val="cs-CZ" w:eastAsia="cs-CZ"/>
          </w:rPr>
          <w:tab/>
        </w:r>
        <w:r w:rsidR="00DF6861">
          <w:rPr>
            <w:rStyle w:val="Hypertextovprepojenie"/>
          </w:rPr>
          <w:t>Hlavným predmetom činnosti spoločnosti podľa výpisu z Obchodného registra          je (len hlavné aktivity):</w:t>
        </w:r>
        <w:r w:rsidR="00DF6861">
          <w:rPr>
            <w:webHidden/>
          </w:rPr>
          <w:tab/>
        </w:r>
        <w:r>
          <w:rPr>
            <w:webHidden/>
          </w:rPr>
          <w:fldChar w:fldCharType="begin"/>
        </w:r>
        <w:r w:rsidR="00DF6861">
          <w:rPr>
            <w:webHidden/>
          </w:rPr>
          <w:instrText xml:space="preserve"> PAGEREF _Toc464644525 \h </w:instrText>
        </w:r>
        <w:r>
          <w:rPr>
            <w:webHidden/>
          </w:rPr>
        </w:r>
        <w:r>
          <w:rPr>
            <w:webHidden/>
          </w:rPr>
          <w:fldChar w:fldCharType="separate"/>
        </w:r>
        <w:r w:rsidR="00F146C1">
          <w:rPr>
            <w:webHidden/>
          </w:rPr>
          <w:t>1</w:t>
        </w:r>
        <w:r>
          <w:rPr>
            <w:webHidden/>
          </w:rPr>
          <w:fldChar w:fldCharType="end"/>
        </w:r>
      </w:hyperlink>
    </w:p>
    <w:p w:rsidR="00DF6861" w:rsidRDefault="00102DA4">
      <w:pPr>
        <w:pStyle w:val="Obsah2"/>
        <w:rPr>
          <w:rFonts w:ascii="Times New Roman" w:hAnsi="Times New Roman"/>
          <w:bCs w:val="0"/>
          <w:sz w:val="24"/>
          <w:lang w:val="cs-CZ" w:eastAsia="cs-CZ"/>
        </w:rPr>
      </w:pPr>
      <w:hyperlink w:anchor="_Toc464644526" w:history="1">
        <w:r w:rsidR="00DF6861">
          <w:rPr>
            <w:rStyle w:val="Hypertextovprepojenie"/>
          </w:rPr>
          <w:t>3.</w:t>
        </w:r>
        <w:r w:rsidR="00DF6861">
          <w:rPr>
            <w:rFonts w:ascii="Times New Roman" w:hAnsi="Times New Roman"/>
            <w:bCs w:val="0"/>
            <w:sz w:val="24"/>
            <w:lang w:val="cs-CZ" w:eastAsia="cs-CZ"/>
          </w:rPr>
          <w:tab/>
        </w:r>
        <w:r w:rsidR="00DF6861">
          <w:rPr>
            <w:rStyle w:val="Hypertextovprepojenie"/>
          </w:rPr>
          <w:t>Priemerný počet zamestnancov spoločnosti</w:t>
        </w:r>
        <w:r w:rsidR="00DF6861">
          <w:rPr>
            <w:webHidden/>
          </w:rPr>
          <w:tab/>
        </w:r>
        <w:r>
          <w:rPr>
            <w:webHidden/>
          </w:rPr>
          <w:fldChar w:fldCharType="begin"/>
        </w:r>
        <w:r w:rsidR="00DF6861">
          <w:rPr>
            <w:webHidden/>
          </w:rPr>
          <w:instrText xml:space="preserve"> PAGEREF _Toc464644526 \h </w:instrText>
        </w:r>
        <w:r>
          <w:rPr>
            <w:webHidden/>
          </w:rPr>
        </w:r>
        <w:r>
          <w:rPr>
            <w:webHidden/>
          </w:rPr>
          <w:fldChar w:fldCharType="separate"/>
        </w:r>
        <w:r w:rsidR="00F146C1">
          <w:rPr>
            <w:webHidden/>
          </w:rPr>
          <w:t>1</w:t>
        </w:r>
        <w:r>
          <w:rPr>
            <w:webHidden/>
          </w:rPr>
          <w:fldChar w:fldCharType="end"/>
        </w:r>
      </w:hyperlink>
    </w:p>
    <w:p w:rsidR="00DF6861" w:rsidRDefault="00102DA4">
      <w:pPr>
        <w:pStyle w:val="Obsah2"/>
        <w:rPr>
          <w:rFonts w:ascii="Times New Roman" w:hAnsi="Times New Roman"/>
          <w:bCs w:val="0"/>
          <w:sz w:val="24"/>
          <w:lang w:val="cs-CZ" w:eastAsia="cs-CZ"/>
        </w:rPr>
      </w:pPr>
      <w:hyperlink w:anchor="_Toc464644527" w:history="1">
        <w:r w:rsidR="00DF6861">
          <w:rPr>
            <w:rStyle w:val="Hypertextovprepojenie"/>
          </w:rPr>
          <w:t>4.</w:t>
        </w:r>
        <w:r w:rsidR="00DF6861">
          <w:rPr>
            <w:rFonts w:ascii="Times New Roman" w:hAnsi="Times New Roman"/>
            <w:bCs w:val="0"/>
            <w:sz w:val="24"/>
            <w:lang w:val="cs-CZ" w:eastAsia="cs-CZ"/>
          </w:rPr>
          <w:tab/>
        </w:r>
        <w:r w:rsidR="00DF6861">
          <w:rPr>
            <w:rStyle w:val="Hypertextovprepojenie"/>
          </w:rPr>
          <w:t>Právny dôvod na zostavenie účtovnej závierky</w:t>
        </w:r>
        <w:r w:rsidR="00DF6861">
          <w:rPr>
            <w:webHidden/>
          </w:rPr>
          <w:tab/>
        </w:r>
        <w:r>
          <w:rPr>
            <w:webHidden/>
          </w:rPr>
          <w:fldChar w:fldCharType="begin"/>
        </w:r>
        <w:r w:rsidR="00DF6861">
          <w:rPr>
            <w:webHidden/>
          </w:rPr>
          <w:instrText xml:space="preserve"> PAGEREF _Toc464644527 \h </w:instrText>
        </w:r>
        <w:r>
          <w:rPr>
            <w:webHidden/>
          </w:rPr>
        </w:r>
        <w:r>
          <w:rPr>
            <w:webHidden/>
          </w:rPr>
          <w:fldChar w:fldCharType="separate"/>
        </w:r>
        <w:r w:rsidR="00F146C1">
          <w:rPr>
            <w:webHidden/>
          </w:rPr>
          <w:t>1</w:t>
        </w:r>
        <w:r>
          <w:rPr>
            <w:webHidden/>
          </w:rPr>
          <w:fldChar w:fldCharType="end"/>
        </w:r>
      </w:hyperlink>
    </w:p>
    <w:p w:rsidR="00DF6861" w:rsidRDefault="00102DA4">
      <w:pPr>
        <w:pStyle w:val="Obsah2"/>
        <w:rPr>
          <w:rFonts w:ascii="Times New Roman" w:hAnsi="Times New Roman"/>
          <w:bCs w:val="0"/>
          <w:sz w:val="24"/>
          <w:lang w:val="cs-CZ" w:eastAsia="cs-CZ"/>
        </w:rPr>
      </w:pPr>
      <w:hyperlink w:anchor="_Toc464644528" w:history="1">
        <w:r w:rsidR="00DF6861">
          <w:rPr>
            <w:rStyle w:val="Hypertextovprepojenie"/>
          </w:rPr>
          <w:t>5.</w:t>
        </w:r>
        <w:r w:rsidR="00DF6861">
          <w:rPr>
            <w:rFonts w:ascii="Times New Roman" w:hAnsi="Times New Roman"/>
            <w:bCs w:val="0"/>
            <w:sz w:val="24"/>
            <w:lang w:val="cs-CZ" w:eastAsia="cs-CZ"/>
          </w:rPr>
          <w:tab/>
        </w:r>
        <w:r w:rsidR="00DF6861">
          <w:rPr>
            <w:rStyle w:val="Hypertextovprepojenie"/>
          </w:rPr>
          <w:t>Dátum schválenia účtovnej závierky za predchádzajúce účtovné obdobie</w:t>
        </w:r>
        <w:r w:rsidR="00DF6861">
          <w:rPr>
            <w:webHidden/>
          </w:rPr>
          <w:tab/>
        </w:r>
        <w:r>
          <w:rPr>
            <w:webHidden/>
          </w:rPr>
          <w:fldChar w:fldCharType="begin"/>
        </w:r>
        <w:r w:rsidR="00DF6861">
          <w:rPr>
            <w:webHidden/>
          </w:rPr>
          <w:instrText xml:space="preserve"> PAGEREF _Toc464644528 \h </w:instrText>
        </w:r>
        <w:r>
          <w:rPr>
            <w:webHidden/>
          </w:rPr>
        </w:r>
        <w:r>
          <w:rPr>
            <w:webHidden/>
          </w:rPr>
          <w:fldChar w:fldCharType="separate"/>
        </w:r>
        <w:r w:rsidR="00F146C1">
          <w:rPr>
            <w:webHidden/>
          </w:rPr>
          <w:t>1</w:t>
        </w:r>
        <w:r>
          <w:rPr>
            <w:webHidden/>
          </w:rPr>
          <w:fldChar w:fldCharType="end"/>
        </w:r>
      </w:hyperlink>
    </w:p>
    <w:p w:rsidR="00DF6861" w:rsidRDefault="00102DA4">
      <w:pPr>
        <w:pStyle w:val="Obsah1"/>
        <w:rPr>
          <w:rFonts w:ascii="Times New Roman" w:hAnsi="Times New Roman" w:cs="Times New Roman"/>
          <w:bCs w:val="0"/>
          <w:caps w:val="0"/>
          <w:sz w:val="24"/>
          <w:szCs w:val="24"/>
          <w:lang w:val="cs-CZ" w:eastAsia="cs-CZ"/>
        </w:rPr>
      </w:pPr>
      <w:hyperlink w:anchor="_Toc464644529" w:history="1">
        <w:r w:rsidR="00DF6861">
          <w:rPr>
            <w:rStyle w:val="Hypertextovprepojenie"/>
          </w:rPr>
          <w:t>čL. ii  Informácie o orgánoch SPOLOčNOSTI</w:t>
        </w:r>
        <w:r w:rsidR="00DF6861">
          <w:rPr>
            <w:webHidden/>
          </w:rPr>
          <w:tab/>
        </w:r>
        <w:r>
          <w:rPr>
            <w:webHidden/>
          </w:rPr>
          <w:fldChar w:fldCharType="begin"/>
        </w:r>
        <w:r w:rsidR="00DF6861">
          <w:rPr>
            <w:webHidden/>
          </w:rPr>
          <w:instrText xml:space="preserve"> PAGEREF _Toc464644529 \h </w:instrText>
        </w:r>
        <w:r>
          <w:rPr>
            <w:webHidden/>
          </w:rPr>
        </w:r>
        <w:r>
          <w:rPr>
            <w:webHidden/>
          </w:rPr>
          <w:fldChar w:fldCharType="separate"/>
        </w:r>
        <w:r w:rsidR="00F146C1">
          <w:rPr>
            <w:webHidden/>
          </w:rPr>
          <w:t>2</w:t>
        </w:r>
        <w:r>
          <w:rPr>
            <w:webHidden/>
          </w:rPr>
          <w:fldChar w:fldCharType="end"/>
        </w:r>
      </w:hyperlink>
    </w:p>
    <w:p w:rsidR="00DF6861" w:rsidRDefault="00102DA4">
      <w:pPr>
        <w:pStyle w:val="Obsah1"/>
        <w:rPr>
          <w:rFonts w:ascii="Times New Roman" w:hAnsi="Times New Roman" w:cs="Times New Roman"/>
          <w:bCs w:val="0"/>
          <w:caps w:val="0"/>
          <w:sz w:val="24"/>
          <w:szCs w:val="24"/>
          <w:lang w:val="cs-CZ" w:eastAsia="cs-CZ"/>
        </w:rPr>
      </w:pPr>
      <w:hyperlink w:anchor="_Toc464644530" w:history="1">
        <w:r w:rsidR="00DF6861">
          <w:rPr>
            <w:rStyle w:val="Hypertextovprepojenie"/>
          </w:rPr>
          <w:t>čL. iii  iNFORMáCIE O PRIJATýCH POSTUPOCH</w:t>
        </w:r>
        <w:r w:rsidR="00DF6861">
          <w:rPr>
            <w:webHidden/>
          </w:rPr>
          <w:tab/>
        </w:r>
        <w:r>
          <w:rPr>
            <w:webHidden/>
          </w:rPr>
          <w:fldChar w:fldCharType="begin"/>
        </w:r>
        <w:r w:rsidR="00DF6861">
          <w:rPr>
            <w:webHidden/>
          </w:rPr>
          <w:instrText xml:space="preserve"> PAGEREF _Toc464644530 \h </w:instrText>
        </w:r>
        <w:r>
          <w:rPr>
            <w:webHidden/>
          </w:rPr>
        </w:r>
        <w:r>
          <w:rPr>
            <w:webHidden/>
          </w:rPr>
          <w:fldChar w:fldCharType="separate"/>
        </w:r>
        <w:r w:rsidR="00F146C1">
          <w:rPr>
            <w:webHidden/>
          </w:rPr>
          <w:t>2</w:t>
        </w:r>
        <w:r>
          <w:rPr>
            <w:webHidden/>
          </w:rPr>
          <w:fldChar w:fldCharType="end"/>
        </w:r>
      </w:hyperlink>
    </w:p>
    <w:p w:rsidR="00DF6861" w:rsidRDefault="00102DA4">
      <w:pPr>
        <w:pStyle w:val="Obsah2"/>
        <w:rPr>
          <w:rFonts w:ascii="Times New Roman" w:hAnsi="Times New Roman"/>
          <w:bCs w:val="0"/>
          <w:sz w:val="24"/>
          <w:lang w:val="cs-CZ" w:eastAsia="cs-CZ"/>
        </w:rPr>
      </w:pPr>
      <w:hyperlink w:anchor="_Toc464644531" w:history="1">
        <w:r w:rsidR="00DF6861">
          <w:rPr>
            <w:rStyle w:val="Hypertextovprepojenie"/>
          </w:rPr>
          <w:t>1.</w:t>
        </w:r>
        <w:r w:rsidR="00DF6861">
          <w:rPr>
            <w:rFonts w:ascii="Times New Roman" w:hAnsi="Times New Roman"/>
            <w:bCs w:val="0"/>
            <w:sz w:val="24"/>
            <w:lang w:val="cs-CZ" w:eastAsia="cs-CZ"/>
          </w:rPr>
          <w:tab/>
        </w:r>
        <w:r w:rsidR="00DF6861">
          <w:rPr>
            <w:rStyle w:val="Hypertextovprepojenie"/>
          </w:rPr>
          <w:t>Východiská pre zostavenie účtovnej závierky</w:t>
        </w:r>
        <w:r w:rsidR="00DF6861">
          <w:rPr>
            <w:webHidden/>
          </w:rPr>
          <w:tab/>
        </w:r>
        <w:r>
          <w:rPr>
            <w:webHidden/>
          </w:rPr>
          <w:fldChar w:fldCharType="begin"/>
        </w:r>
        <w:r w:rsidR="00DF6861">
          <w:rPr>
            <w:webHidden/>
          </w:rPr>
          <w:instrText xml:space="preserve"> PAGEREF _Toc464644531 \h </w:instrText>
        </w:r>
        <w:r>
          <w:rPr>
            <w:webHidden/>
          </w:rPr>
        </w:r>
        <w:r>
          <w:rPr>
            <w:webHidden/>
          </w:rPr>
          <w:fldChar w:fldCharType="separate"/>
        </w:r>
        <w:r w:rsidR="00F146C1">
          <w:rPr>
            <w:webHidden/>
          </w:rPr>
          <w:t>2</w:t>
        </w:r>
        <w:r>
          <w:rPr>
            <w:webHidden/>
          </w:rPr>
          <w:fldChar w:fldCharType="end"/>
        </w:r>
      </w:hyperlink>
    </w:p>
    <w:p w:rsidR="00DF6861" w:rsidRDefault="00102DA4">
      <w:pPr>
        <w:pStyle w:val="Obsah2"/>
        <w:rPr>
          <w:rFonts w:ascii="Times New Roman" w:hAnsi="Times New Roman"/>
          <w:bCs w:val="0"/>
          <w:sz w:val="24"/>
          <w:lang w:val="cs-CZ" w:eastAsia="cs-CZ"/>
        </w:rPr>
      </w:pPr>
      <w:hyperlink w:anchor="_Toc464644532" w:history="1">
        <w:r w:rsidR="00DF6861">
          <w:rPr>
            <w:rStyle w:val="Hypertextovprepojenie"/>
          </w:rPr>
          <w:t>2.</w:t>
        </w:r>
        <w:r w:rsidR="00DF6861">
          <w:rPr>
            <w:rFonts w:ascii="Times New Roman" w:hAnsi="Times New Roman"/>
            <w:bCs w:val="0"/>
            <w:sz w:val="24"/>
            <w:lang w:val="cs-CZ" w:eastAsia="cs-CZ"/>
          </w:rPr>
          <w:tab/>
        </w:r>
        <w:r w:rsidR="00DF6861">
          <w:rPr>
            <w:rStyle w:val="Hypertextovprepojenie"/>
          </w:rPr>
          <w:t>Dlhodobý nehmotný a dlhodobý hmotný majetok</w:t>
        </w:r>
        <w:r w:rsidR="00DF6861">
          <w:rPr>
            <w:webHidden/>
          </w:rPr>
          <w:tab/>
        </w:r>
        <w:r>
          <w:rPr>
            <w:webHidden/>
          </w:rPr>
          <w:fldChar w:fldCharType="begin"/>
        </w:r>
        <w:r w:rsidR="00DF6861">
          <w:rPr>
            <w:webHidden/>
          </w:rPr>
          <w:instrText xml:space="preserve"> PAGEREF _Toc464644532 \h </w:instrText>
        </w:r>
        <w:r>
          <w:rPr>
            <w:webHidden/>
          </w:rPr>
        </w:r>
        <w:r>
          <w:rPr>
            <w:webHidden/>
          </w:rPr>
          <w:fldChar w:fldCharType="separate"/>
        </w:r>
        <w:r w:rsidR="00F146C1">
          <w:rPr>
            <w:webHidden/>
          </w:rPr>
          <w:t>2</w:t>
        </w:r>
        <w:r>
          <w:rPr>
            <w:webHidden/>
          </w:rPr>
          <w:fldChar w:fldCharType="end"/>
        </w:r>
      </w:hyperlink>
    </w:p>
    <w:p w:rsidR="00DF6861" w:rsidRDefault="00102DA4">
      <w:pPr>
        <w:pStyle w:val="Obsah2"/>
        <w:rPr>
          <w:rFonts w:ascii="Times New Roman" w:hAnsi="Times New Roman"/>
          <w:bCs w:val="0"/>
          <w:sz w:val="24"/>
          <w:lang w:val="cs-CZ" w:eastAsia="cs-CZ"/>
        </w:rPr>
      </w:pPr>
      <w:hyperlink w:anchor="_Toc464644533" w:history="1">
        <w:r w:rsidR="00DF6861">
          <w:rPr>
            <w:rStyle w:val="Hypertextovprepojenie"/>
          </w:rPr>
          <w:t>3.</w:t>
        </w:r>
        <w:r w:rsidR="00DF6861">
          <w:rPr>
            <w:rFonts w:ascii="Times New Roman" w:hAnsi="Times New Roman"/>
            <w:bCs w:val="0"/>
            <w:sz w:val="24"/>
            <w:lang w:val="cs-CZ" w:eastAsia="cs-CZ"/>
          </w:rPr>
          <w:tab/>
        </w:r>
        <w:r w:rsidR="00DF6861">
          <w:rPr>
            <w:rStyle w:val="Hypertextovprepojenie"/>
          </w:rPr>
          <w:t>Dlhodobý finančný majetok</w:t>
        </w:r>
        <w:r w:rsidR="00DF6861">
          <w:rPr>
            <w:webHidden/>
          </w:rPr>
          <w:tab/>
        </w:r>
        <w:r>
          <w:rPr>
            <w:webHidden/>
          </w:rPr>
          <w:fldChar w:fldCharType="begin"/>
        </w:r>
        <w:r w:rsidR="00DF6861">
          <w:rPr>
            <w:webHidden/>
          </w:rPr>
          <w:instrText xml:space="preserve"> PAGEREF _Toc464644533 \h </w:instrText>
        </w:r>
        <w:r>
          <w:rPr>
            <w:webHidden/>
          </w:rPr>
        </w:r>
        <w:r>
          <w:rPr>
            <w:webHidden/>
          </w:rPr>
          <w:fldChar w:fldCharType="separate"/>
        </w:r>
        <w:r w:rsidR="00F146C1">
          <w:rPr>
            <w:webHidden/>
          </w:rPr>
          <w:t>3</w:t>
        </w:r>
        <w:r>
          <w:rPr>
            <w:webHidden/>
          </w:rPr>
          <w:fldChar w:fldCharType="end"/>
        </w:r>
      </w:hyperlink>
    </w:p>
    <w:p w:rsidR="00DF6861" w:rsidRDefault="00102DA4">
      <w:pPr>
        <w:pStyle w:val="Obsah2"/>
        <w:rPr>
          <w:rFonts w:ascii="Times New Roman" w:hAnsi="Times New Roman"/>
          <w:bCs w:val="0"/>
          <w:sz w:val="24"/>
          <w:lang w:val="cs-CZ" w:eastAsia="cs-CZ"/>
        </w:rPr>
      </w:pPr>
      <w:hyperlink w:anchor="_Toc464644534" w:history="1">
        <w:r w:rsidR="00DF6861">
          <w:rPr>
            <w:rStyle w:val="Hypertextovprepojenie"/>
          </w:rPr>
          <w:t>4.</w:t>
        </w:r>
        <w:r w:rsidR="00DF6861">
          <w:rPr>
            <w:rFonts w:ascii="Times New Roman" w:hAnsi="Times New Roman"/>
            <w:bCs w:val="0"/>
            <w:sz w:val="24"/>
            <w:lang w:val="cs-CZ" w:eastAsia="cs-CZ"/>
          </w:rPr>
          <w:tab/>
        </w:r>
        <w:r w:rsidR="00DF6861">
          <w:rPr>
            <w:rStyle w:val="Hypertextovprepojenie"/>
          </w:rPr>
          <w:t>Zásoby</w:t>
        </w:r>
        <w:r w:rsidR="00DF6861">
          <w:rPr>
            <w:webHidden/>
          </w:rPr>
          <w:tab/>
        </w:r>
        <w:r>
          <w:rPr>
            <w:webHidden/>
          </w:rPr>
          <w:fldChar w:fldCharType="begin"/>
        </w:r>
        <w:r w:rsidR="00DF6861">
          <w:rPr>
            <w:webHidden/>
          </w:rPr>
          <w:instrText xml:space="preserve"> PAGEREF _Toc464644534 \h </w:instrText>
        </w:r>
        <w:r>
          <w:rPr>
            <w:webHidden/>
          </w:rPr>
        </w:r>
        <w:r>
          <w:rPr>
            <w:webHidden/>
          </w:rPr>
          <w:fldChar w:fldCharType="separate"/>
        </w:r>
        <w:r w:rsidR="00F146C1">
          <w:rPr>
            <w:webHidden/>
          </w:rPr>
          <w:t>3</w:t>
        </w:r>
        <w:r>
          <w:rPr>
            <w:webHidden/>
          </w:rPr>
          <w:fldChar w:fldCharType="end"/>
        </w:r>
      </w:hyperlink>
    </w:p>
    <w:p w:rsidR="00DF6861" w:rsidRDefault="00102DA4">
      <w:pPr>
        <w:pStyle w:val="Obsah2"/>
        <w:rPr>
          <w:rFonts w:ascii="Times New Roman" w:hAnsi="Times New Roman"/>
          <w:bCs w:val="0"/>
          <w:sz w:val="24"/>
          <w:lang w:val="cs-CZ" w:eastAsia="cs-CZ"/>
        </w:rPr>
      </w:pPr>
      <w:hyperlink w:anchor="_Toc464644535" w:history="1">
        <w:r w:rsidR="00DF6861">
          <w:rPr>
            <w:rStyle w:val="Hypertextovprepojenie"/>
          </w:rPr>
          <w:t>5.</w:t>
        </w:r>
        <w:r w:rsidR="00DF6861">
          <w:rPr>
            <w:rFonts w:ascii="Times New Roman" w:hAnsi="Times New Roman"/>
            <w:bCs w:val="0"/>
            <w:sz w:val="24"/>
            <w:lang w:val="cs-CZ" w:eastAsia="cs-CZ"/>
          </w:rPr>
          <w:tab/>
        </w:r>
        <w:r w:rsidR="00DF6861">
          <w:rPr>
            <w:rStyle w:val="Hypertextovprepojenie"/>
          </w:rPr>
          <w:t>Dlhodobé a krátkodobé pohľadávky</w:t>
        </w:r>
        <w:r w:rsidR="00DF6861">
          <w:rPr>
            <w:webHidden/>
          </w:rPr>
          <w:tab/>
        </w:r>
        <w:r>
          <w:rPr>
            <w:webHidden/>
          </w:rPr>
          <w:fldChar w:fldCharType="begin"/>
        </w:r>
        <w:r w:rsidR="00DF6861">
          <w:rPr>
            <w:webHidden/>
          </w:rPr>
          <w:instrText xml:space="preserve"> PAGEREF _Toc464644535 \h </w:instrText>
        </w:r>
        <w:r>
          <w:rPr>
            <w:webHidden/>
          </w:rPr>
        </w:r>
        <w:r>
          <w:rPr>
            <w:webHidden/>
          </w:rPr>
          <w:fldChar w:fldCharType="separate"/>
        </w:r>
        <w:r w:rsidR="00F146C1">
          <w:rPr>
            <w:webHidden/>
          </w:rPr>
          <w:t>4</w:t>
        </w:r>
        <w:r>
          <w:rPr>
            <w:webHidden/>
          </w:rPr>
          <w:fldChar w:fldCharType="end"/>
        </w:r>
      </w:hyperlink>
    </w:p>
    <w:p w:rsidR="00DF6861" w:rsidRDefault="00102DA4">
      <w:pPr>
        <w:pStyle w:val="Obsah2"/>
        <w:rPr>
          <w:rFonts w:ascii="Times New Roman" w:hAnsi="Times New Roman"/>
          <w:bCs w:val="0"/>
          <w:sz w:val="24"/>
          <w:lang w:val="cs-CZ" w:eastAsia="cs-CZ"/>
        </w:rPr>
      </w:pPr>
      <w:hyperlink w:anchor="_Toc464644536" w:history="1">
        <w:r w:rsidR="00DF6861">
          <w:rPr>
            <w:rStyle w:val="Hypertextovprepojenie"/>
          </w:rPr>
          <w:t>6.</w:t>
        </w:r>
        <w:r w:rsidR="00DF6861">
          <w:rPr>
            <w:rFonts w:ascii="Times New Roman" w:hAnsi="Times New Roman"/>
            <w:bCs w:val="0"/>
            <w:sz w:val="24"/>
            <w:lang w:val="cs-CZ" w:eastAsia="cs-CZ"/>
          </w:rPr>
          <w:tab/>
        </w:r>
        <w:r w:rsidR="00DF6861">
          <w:rPr>
            <w:rStyle w:val="Hypertextovprepojenie"/>
          </w:rPr>
          <w:t>Zákazková výroba</w:t>
        </w:r>
        <w:r w:rsidR="00DF6861">
          <w:rPr>
            <w:webHidden/>
          </w:rPr>
          <w:tab/>
        </w:r>
        <w:r>
          <w:rPr>
            <w:webHidden/>
          </w:rPr>
          <w:fldChar w:fldCharType="begin"/>
        </w:r>
        <w:r w:rsidR="00DF6861">
          <w:rPr>
            <w:webHidden/>
          </w:rPr>
          <w:instrText xml:space="preserve"> PAGEREF _Toc464644536 \h </w:instrText>
        </w:r>
        <w:r>
          <w:rPr>
            <w:webHidden/>
          </w:rPr>
        </w:r>
        <w:r>
          <w:rPr>
            <w:webHidden/>
          </w:rPr>
          <w:fldChar w:fldCharType="separate"/>
        </w:r>
        <w:r w:rsidR="00F146C1">
          <w:rPr>
            <w:webHidden/>
          </w:rPr>
          <w:t>4</w:t>
        </w:r>
        <w:r>
          <w:rPr>
            <w:webHidden/>
          </w:rPr>
          <w:fldChar w:fldCharType="end"/>
        </w:r>
      </w:hyperlink>
    </w:p>
    <w:p w:rsidR="00DF6861" w:rsidRDefault="00102DA4">
      <w:pPr>
        <w:pStyle w:val="Obsah2"/>
        <w:rPr>
          <w:rFonts w:ascii="Times New Roman" w:hAnsi="Times New Roman"/>
          <w:bCs w:val="0"/>
          <w:sz w:val="24"/>
          <w:lang w:val="cs-CZ" w:eastAsia="cs-CZ"/>
        </w:rPr>
      </w:pPr>
      <w:hyperlink w:anchor="_Toc464644537" w:history="1">
        <w:r w:rsidR="00DF6861">
          <w:rPr>
            <w:rStyle w:val="Hypertextovprepojenie"/>
          </w:rPr>
          <w:t>7.</w:t>
        </w:r>
        <w:r w:rsidR="00DF6861">
          <w:rPr>
            <w:rFonts w:ascii="Times New Roman" w:hAnsi="Times New Roman"/>
            <w:bCs w:val="0"/>
            <w:sz w:val="24"/>
            <w:lang w:val="cs-CZ" w:eastAsia="cs-CZ"/>
          </w:rPr>
          <w:tab/>
        </w:r>
        <w:r w:rsidR="00DF6861">
          <w:rPr>
            <w:rStyle w:val="Hypertextovprepojenie"/>
          </w:rPr>
          <w:t>Finančné účty</w:t>
        </w:r>
        <w:r w:rsidR="00DF6861">
          <w:rPr>
            <w:webHidden/>
          </w:rPr>
          <w:tab/>
        </w:r>
        <w:r>
          <w:rPr>
            <w:webHidden/>
          </w:rPr>
          <w:fldChar w:fldCharType="begin"/>
        </w:r>
        <w:r w:rsidR="00DF6861">
          <w:rPr>
            <w:webHidden/>
          </w:rPr>
          <w:instrText xml:space="preserve"> PAGEREF _Toc464644537 \h </w:instrText>
        </w:r>
        <w:r>
          <w:rPr>
            <w:webHidden/>
          </w:rPr>
        </w:r>
        <w:r>
          <w:rPr>
            <w:webHidden/>
          </w:rPr>
          <w:fldChar w:fldCharType="separate"/>
        </w:r>
        <w:r w:rsidR="00F146C1">
          <w:rPr>
            <w:webHidden/>
          </w:rPr>
          <w:t>4</w:t>
        </w:r>
        <w:r>
          <w:rPr>
            <w:webHidden/>
          </w:rPr>
          <w:fldChar w:fldCharType="end"/>
        </w:r>
      </w:hyperlink>
    </w:p>
    <w:p w:rsidR="00DF6861" w:rsidRDefault="00102DA4">
      <w:pPr>
        <w:pStyle w:val="Obsah2"/>
        <w:rPr>
          <w:rFonts w:ascii="Times New Roman" w:hAnsi="Times New Roman"/>
          <w:bCs w:val="0"/>
          <w:sz w:val="24"/>
          <w:lang w:val="cs-CZ" w:eastAsia="cs-CZ"/>
        </w:rPr>
      </w:pPr>
      <w:hyperlink w:anchor="_Toc464644538" w:history="1">
        <w:r w:rsidR="00DF6861">
          <w:rPr>
            <w:rStyle w:val="Hypertextovprepojenie"/>
          </w:rPr>
          <w:t>8.</w:t>
        </w:r>
        <w:r w:rsidR="00DF6861">
          <w:rPr>
            <w:rFonts w:ascii="Times New Roman" w:hAnsi="Times New Roman"/>
            <w:bCs w:val="0"/>
            <w:sz w:val="24"/>
            <w:lang w:val="cs-CZ" w:eastAsia="cs-CZ"/>
          </w:rPr>
          <w:tab/>
        </w:r>
        <w:r w:rsidR="00DF6861">
          <w:rPr>
            <w:rStyle w:val="Hypertextovprepojenie"/>
          </w:rPr>
          <w:t>Náklady budúcich období a príjmy budúcich období</w:t>
        </w:r>
        <w:r w:rsidR="00DF6861">
          <w:rPr>
            <w:webHidden/>
          </w:rPr>
          <w:tab/>
        </w:r>
        <w:r>
          <w:rPr>
            <w:webHidden/>
          </w:rPr>
          <w:fldChar w:fldCharType="begin"/>
        </w:r>
        <w:r w:rsidR="00DF6861">
          <w:rPr>
            <w:webHidden/>
          </w:rPr>
          <w:instrText xml:space="preserve"> PAGEREF _Toc464644538 \h </w:instrText>
        </w:r>
        <w:r>
          <w:rPr>
            <w:webHidden/>
          </w:rPr>
        </w:r>
        <w:r>
          <w:rPr>
            <w:webHidden/>
          </w:rPr>
          <w:fldChar w:fldCharType="separate"/>
        </w:r>
        <w:r w:rsidR="00F146C1">
          <w:rPr>
            <w:webHidden/>
          </w:rPr>
          <w:t>4</w:t>
        </w:r>
        <w:r>
          <w:rPr>
            <w:webHidden/>
          </w:rPr>
          <w:fldChar w:fldCharType="end"/>
        </w:r>
      </w:hyperlink>
    </w:p>
    <w:p w:rsidR="00DF6861" w:rsidRDefault="00102DA4">
      <w:pPr>
        <w:pStyle w:val="Obsah2"/>
        <w:rPr>
          <w:rFonts w:ascii="Times New Roman" w:hAnsi="Times New Roman"/>
          <w:bCs w:val="0"/>
          <w:sz w:val="24"/>
          <w:lang w:val="cs-CZ" w:eastAsia="cs-CZ"/>
        </w:rPr>
      </w:pPr>
      <w:hyperlink w:anchor="_Toc464644539" w:history="1">
        <w:r w:rsidR="00DF6861">
          <w:rPr>
            <w:rStyle w:val="Hypertextovprepojenie"/>
          </w:rPr>
          <w:t>9.</w:t>
        </w:r>
        <w:r w:rsidR="00DF6861">
          <w:rPr>
            <w:rFonts w:ascii="Times New Roman" w:hAnsi="Times New Roman"/>
            <w:bCs w:val="0"/>
            <w:sz w:val="24"/>
            <w:lang w:val="cs-CZ" w:eastAsia="cs-CZ"/>
          </w:rPr>
          <w:tab/>
        </w:r>
        <w:r w:rsidR="00DF6861">
          <w:rPr>
            <w:rStyle w:val="Hypertextovprepojenie"/>
          </w:rPr>
          <w:t>Rezervy</w:t>
        </w:r>
        <w:r w:rsidR="00DF6861">
          <w:rPr>
            <w:webHidden/>
          </w:rPr>
          <w:tab/>
        </w:r>
        <w:r>
          <w:rPr>
            <w:webHidden/>
          </w:rPr>
          <w:fldChar w:fldCharType="begin"/>
        </w:r>
        <w:r w:rsidR="00DF6861">
          <w:rPr>
            <w:webHidden/>
          </w:rPr>
          <w:instrText xml:space="preserve"> PAGEREF _Toc464644539 \h </w:instrText>
        </w:r>
        <w:r>
          <w:rPr>
            <w:webHidden/>
          </w:rPr>
        </w:r>
        <w:r>
          <w:rPr>
            <w:webHidden/>
          </w:rPr>
          <w:fldChar w:fldCharType="separate"/>
        </w:r>
        <w:r w:rsidR="00F146C1">
          <w:rPr>
            <w:webHidden/>
          </w:rPr>
          <w:t>5</w:t>
        </w:r>
        <w:r>
          <w:rPr>
            <w:webHidden/>
          </w:rPr>
          <w:fldChar w:fldCharType="end"/>
        </w:r>
      </w:hyperlink>
    </w:p>
    <w:p w:rsidR="00DF6861" w:rsidRDefault="00102DA4">
      <w:pPr>
        <w:pStyle w:val="Obsah2"/>
        <w:rPr>
          <w:rFonts w:ascii="Times New Roman" w:hAnsi="Times New Roman"/>
          <w:bCs w:val="0"/>
          <w:sz w:val="24"/>
          <w:lang w:val="cs-CZ" w:eastAsia="cs-CZ"/>
        </w:rPr>
      </w:pPr>
      <w:hyperlink w:anchor="_Toc464644540" w:history="1">
        <w:r w:rsidR="00DF6861">
          <w:rPr>
            <w:rStyle w:val="Hypertextovprepojenie"/>
          </w:rPr>
          <w:t>10.</w:t>
        </w:r>
        <w:r w:rsidR="00DF6861">
          <w:rPr>
            <w:rFonts w:ascii="Times New Roman" w:hAnsi="Times New Roman"/>
            <w:bCs w:val="0"/>
            <w:sz w:val="24"/>
            <w:lang w:val="cs-CZ" w:eastAsia="cs-CZ"/>
          </w:rPr>
          <w:tab/>
        </w:r>
        <w:r w:rsidR="00DF6861">
          <w:rPr>
            <w:rStyle w:val="Hypertextovprepojenie"/>
          </w:rPr>
          <w:t>Záväzky</w:t>
        </w:r>
        <w:r w:rsidR="00DF6861">
          <w:rPr>
            <w:webHidden/>
          </w:rPr>
          <w:tab/>
        </w:r>
        <w:r>
          <w:rPr>
            <w:webHidden/>
          </w:rPr>
          <w:fldChar w:fldCharType="begin"/>
        </w:r>
        <w:r w:rsidR="00DF6861">
          <w:rPr>
            <w:webHidden/>
          </w:rPr>
          <w:instrText xml:space="preserve"> PAGEREF _Toc464644540 \h </w:instrText>
        </w:r>
        <w:r>
          <w:rPr>
            <w:webHidden/>
          </w:rPr>
        </w:r>
        <w:r>
          <w:rPr>
            <w:webHidden/>
          </w:rPr>
          <w:fldChar w:fldCharType="separate"/>
        </w:r>
        <w:r w:rsidR="00F146C1">
          <w:rPr>
            <w:webHidden/>
          </w:rPr>
          <w:t>5</w:t>
        </w:r>
        <w:r>
          <w:rPr>
            <w:webHidden/>
          </w:rPr>
          <w:fldChar w:fldCharType="end"/>
        </w:r>
      </w:hyperlink>
    </w:p>
    <w:p w:rsidR="00DF6861" w:rsidRDefault="00102DA4">
      <w:pPr>
        <w:pStyle w:val="Obsah2"/>
        <w:rPr>
          <w:rFonts w:ascii="Times New Roman" w:hAnsi="Times New Roman"/>
          <w:bCs w:val="0"/>
          <w:sz w:val="24"/>
          <w:lang w:val="cs-CZ" w:eastAsia="cs-CZ"/>
        </w:rPr>
      </w:pPr>
      <w:hyperlink w:anchor="_Toc464644541" w:history="1">
        <w:r w:rsidR="00DF6861">
          <w:rPr>
            <w:rStyle w:val="Hypertextovprepojenie"/>
          </w:rPr>
          <w:t>11.</w:t>
        </w:r>
        <w:r w:rsidR="00DF6861">
          <w:rPr>
            <w:rFonts w:ascii="Times New Roman" w:hAnsi="Times New Roman"/>
            <w:bCs w:val="0"/>
            <w:sz w:val="24"/>
            <w:lang w:val="cs-CZ" w:eastAsia="cs-CZ"/>
          </w:rPr>
          <w:tab/>
        </w:r>
        <w:r w:rsidR="00DF6861">
          <w:rPr>
            <w:rStyle w:val="Hypertextovprepojenie"/>
          </w:rPr>
          <w:t>Daň z príjmov spoločnosti</w:t>
        </w:r>
        <w:r w:rsidR="00DF6861">
          <w:rPr>
            <w:webHidden/>
          </w:rPr>
          <w:tab/>
        </w:r>
        <w:r>
          <w:rPr>
            <w:webHidden/>
          </w:rPr>
          <w:fldChar w:fldCharType="begin"/>
        </w:r>
        <w:r w:rsidR="00DF6861">
          <w:rPr>
            <w:webHidden/>
          </w:rPr>
          <w:instrText xml:space="preserve"> PAGEREF _Toc464644541 \h </w:instrText>
        </w:r>
        <w:r>
          <w:rPr>
            <w:webHidden/>
          </w:rPr>
        </w:r>
        <w:r>
          <w:rPr>
            <w:webHidden/>
          </w:rPr>
          <w:fldChar w:fldCharType="separate"/>
        </w:r>
        <w:r w:rsidR="00F146C1">
          <w:rPr>
            <w:webHidden/>
          </w:rPr>
          <w:t>5</w:t>
        </w:r>
        <w:r>
          <w:rPr>
            <w:webHidden/>
          </w:rPr>
          <w:fldChar w:fldCharType="end"/>
        </w:r>
      </w:hyperlink>
    </w:p>
    <w:p w:rsidR="00DF6861" w:rsidRDefault="00102DA4">
      <w:pPr>
        <w:pStyle w:val="Obsah2"/>
        <w:rPr>
          <w:rFonts w:ascii="Times New Roman" w:hAnsi="Times New Roman"/>
          <w:bCs w:val="0"/>
          <w:sz w:val="24"/>
          <w:lang w:val="cs-CZ" w:eastAsia="cs-CZ"/>
        </w:rPr>
      </w:pPr>
      <w:hyperlink w:anchor="_Toc464644542" w:history="1">
        <w:r w:rsidR="00DF6861">
          <w:rPr>
            <w:rStyle w:val="Hypertextovprepojenie"/>
          </w:rPr>
          <w:t>12.</w:t>
        </w:r>
        <w:r w:rsidR="00DF6861">
          <w:rPr>
            <w:rFonts w:ascii="Times New Roman" w:hAnsi="Times New Roman"/>
            <w:bCs w:val="0"/>
            <w:sz w:val="24"/>
            <w:lang w:val="cs-CZ" w:eastAsia="cs-CZ"/>
          </w:rPr>
          <w:tab/>
        </w:r>
        <w:r w:rsidR="00DF6861">
          <w:rPr>
            <w:rStyle w:val="Hypertextovprepojenie"/>
          </w:rPr>
          <w:t>Výnosy budúcich období a výdavky budúcich období</w:t>
        </w:r>
        <w:r w:rsidR="00DF6861">
          <w:rPr>
            <w:webHidden/>
          </w:rPr>
          <w:tab/>
        </w:r>
        <w:r>
          <w:rPr>
            <w:webHidden/>
          </w:rPr>
          <w:fldChar w:fldCharType="begin"/>
        </w:r>
        <w:r w:rsidR="00DF6861">
          <w:rPr>
            <w:webHidden/>
          </w:rPr>
          <w:instrText xml:space="preserve"> PAGEREF _Toc464644542 \h </w:instrText>
        </w:r>
        <w:r>
          <w:rPr>
            <w:webHidden/>
          </w:rPr>
        </w:r>
        <w:r>
          <w:rPr>
            <w:webHidden/>
          </w:rPr>
          <w:fldChar w:fldCharType="separate"/>
        </w:r>
        <w:r w:rsidR="00F146C1">
          <w:rPr>
            <w:webHidden/>
          </w:rPr>
          <w:t>5</w:t>
        </w:r>
        <w:r>
          <w:rPr>
            <w:webHidden/>
          </w:rPr>
          <w:fldChar w:fldCharType="end"/>
        </w:r>
      </w:hyperlink>
    </w:p>
    <w:p w:rsidR="00DF6861" w:rsidRDefault="00102DA4">
      <w:pPr>
        <w:pStyle w:val="Obsah2"/>
        <w:rPr>
          <w:rFonts w:ascii="Times New Roman" w:hAnsi="Times New Roman"/>
          <w:bCs w:val="0"/>
          <w:sz w:val="24"/>
          <w:lang w:val="cs-CZ" w:eastAsia="cs-CZ"/>
        </w:rPr>
      </w:pPr>
      <w:hyperlink w:anchor="_Toc464644543" w:history="1">
        <w:r w:rsidR="00DF6861">
          <w:rPr>
            <w:rStyle w:val="Hypertextovprepojenie"/>
          </w:rPr>
          <w:t>13.</w:t>
        </w:r>
        <w:r w:rsidR="00DF6861">
          <w:rPr>
            <w:rFonts w:ascii="Times New Roman" w:hAnsi="Times New Roman"/>
            <w:bCs w:val="0"/>
            <w:sz w:val="24"/>
            <w:lang w:val="cs-CZ" w:eastAsia="cs-CZ"/>
          </w:rPr>
          <w:tab/>
        </w:r>
        <w:r w:rsidR="00DF6861">
          <w:rPr>
            <w:rStyle w:val="Hypertextovprepojenie"/>
          </w:rPr>
          <w:t>Operácie v cudzej mene</w:t>
        </w:r>
        <w:r w:rsidR="00DF6861">
          <w:rPr>
            <w:webHidden/>
          </w:rPr>
          <w:tab/>
        </w:r>
        <w:r>
          <w:rPr>
            <w:webHidden/>
          </w:rPr>
          <w:fldChar w:fldCharType="begin"/>
        </w:r>
        <w:r w:rsidR="00DF6861">
          <w:rPr>
            <w:webHidden/>
          </w:rPr>
          <w:instrText xml:space="preserve"> PAGEREF _Toc464644543 \h </w:instrText>
        </w:r>
        <w:r>
          <w:rPr>
            <w:webHidden/>
          </w:rPr>
        </w:r>
        <w:r>
          <w:rPr>
            <w:webHidden/>
          </w:rPr>
          <w:fldChar w:fldCharType="separate"/>
        </w:r>
        <w:r w:rsidR="00F146C1">
          <w:rPr>
            <w:webHidden/>
          </w:rPr>
          <w:t>5</w:t>
        </w:r>
        <w:r>
          <w:rPr>
            <w:webHidden/>
          </w:rPr>
          <w:fldChar w:fldCharType="end"/>
        </w:r>
      </w:hyperlink>
    </w:p>
    <w:p w:rsidR="00DF6861" w:rsidRDefault="00102DA4">
      <w:pPr>
        <w:pStyle w:val="Obsah2"/>
        <w:rPr>
          <w:rFonts w:ascii="Times New Roman" w:hAnsi="Times New Roman"/>
          <w:bCs w:val="0"/>
          <w:sz w:val="24"/>
          <w:lang w:val="cs-CZ" w:eastAsia="cs-CZ"/>
        </w:rPr>
      </w:pPr>
      <w:hyperlink w:anchor="_Toc464644544" w:history="1">
        <w:r w:rsidR="00DF6861">
          <w:rPr>
            <w:rStyle w:val="Hypertextovprepojenie"/>
          </w:rPr>
          <w:t>14.</w:t>
        </w:r>
        <w:r w:rsidR="00DF6861">
          <w:rPr>
            <w:rFonts w:ascii="Times New Roman" w:hAnsi="Times New Roman"/>
            <w:bCs w:val="0"/>
            <w:sz w:val="24"/>
            <w:lang w:val="cs-CZ" w:eastAsia="cs-CZ"/>
          </w:rPr>
          <w:tab/>
        </w:r>
        <w:r w:rsidR="00DF6861">
          <w:rPr>
            <w:rStyle w:val="Hypertextovprepojenie"/>
          </w:rPr>
          <w:t>Účtovanie výnosov a nákladov</w:t>
        </w:r>
        <w:r w:rsidR="00DF6861">
          <w:rPr>
            <w:webHidden/>
          </w:rPr>
          <w:tab/>
        </w:r>
        <w:r>
          <w:rPr>
            <w:webHidden/>
          </w:rPr>
          <w:fldChar w:fldCharType="begin"/>
        </w:r>
        <w:r w:rsidR="00DF6861">
          <w:rPr>
            <w:webHidden/>
          </w:rPr>
          <w:instrText xml:space="preserve"> PAGEREF _Toc464644544 \h </w:instrText>
        </w:r>
        <w:r>
          <w:rPr>
            <w:webHidden/>
          </w:rPr>
        </w:r>
        <w:r>
          <w:rPr>
            <w:webHidden/>
          </w:rPr>
          <w:fldChar w:fldCharType="separate"/>
        </w:r>
        <w:r w:rsidR="00F146C1">
          <w:rPr>
            <w:webHidden/>
          </w:rPr>
          <w:t>5</w:t>
        </w:r>
        <w:r>
          <w:rPr>
            <w:webHidden/>
          </w:rPr>
          <w:fldChar w:fldCharType="end"/>
        </w:r>
      </w:hyperlink>
    </w:p>
    <w:p w:rsidR="00DF6861" w:rsidRDefault="00102DA4">
      <w:pPr>
        <w:pStyle w:val="Obsah2"/>
        <w:rPr>
          <w:rFonts w:ascii="Times New Roman" w:hAnsi="Times New Roman"/>
          <w:bCs w:val="0"/>
          <w:sz w:val="24"/>
          <w:lang w:val="cs-CZ" w:eastAsia="cs-CZ"/>
        </w:rPr>
      </w:pPr>
      <w:hyperlink w:anchor="_Toc464644545" w:history="1">
        <w:r w:rsidR="00DF6861">
          <w:rPr>
            <w:rStyle w:val="Hypertextovprepojenie"/>
          </w:rPr>
          <w:t>15.</w:t>
        </w:r>
        <w:r w:rsidR="00DF6861">
          <w:rPr>
            <w:rFonts w:ascii="Times New Roman" w:hAnsi="Times New Roman"/>
            <w:bCs w:val="0"/>
            <w:sz w:val="24"/>
            <w:lang w:val="cs-CZ" w:eastAsia="cs-CZ"/>
          </w:rPr>
          <w:tab/>
        </w:r>
        <w:r w:rsidR="00DF6861">
          <w:rPr>
            <w:rStyle w:val="Hypertextovprepojenie"/>
          </w:rPr>
          <w:t>Deriváty</w:t>
        </w:r>
        <w:r w:rsidR="00DF6861">
          <w:rPr>
            <w:webHidden/>
          </w:rPr>
          <w:tab/>
        </w:r>
        <w:r>
          <w:rPr>
            <w:webHidden/>
          </w:rPr>
          <w:fldChar w:fldCharType="begin"/>
        </w:r>
        <w:r w:rsidR="00DF6861">
          <w:rPr>
            <w:webHidden/>
          </w:rPr>
          <w:instrText xml:space="preserve"> PAGEREF _Toc464644545 \h </w:instrText>
        </w:r>
        <w:r>
          <w:rPr>
            <w:webHidden/>
          </w:rPr>
        </w:r>
        <w:r>
          <w:rPr>
            <w:webHidden/>
          </w:rPr>
          <w:fldChar w:fldCharType="separate"/>
        </w:r>
        <w:r w:rsidR="00F146C1">
          <w:rPr>
            <w:webHidden/>
          </w:rPr>
          <w:t>6</w:t>
        </w:r>
        <w:r>
          <w:rPr>
            <w:webHidden/>
          </w:rPr>
          <w:fldChar w:fldCharType="end"/>
        </w:r>
      </w:hyperlink>
    </w:p>
    <w:p w:rsidR="00DF6861" w:rsidRDefault="00102DA4">
      <w:pPr>
        <w:pStyle w:val="Obsah2"/>
        <w:rPr>
          <w:rFonts w:ascii="Times New Roman" w:hAnsi="Times New Roman"/>
          <w:bCs w:val="0"/>
          <w:sz w:val="24"/>
          <w:lang w:val="cs-CZ" w:eastAsia="cs-CZ"/>
        </w:rPr>
      </w:pPr>
      <w:hyperlink w:anchor="_Toc464644546" w:history="1">
        <w:r w:rsidR="00DF6861">
          <w:rPr>
            <w:rStyle w:val="Hypertextovprepojenie"/>
          </w:rPr>
          <w:t>16.</w:t>
        </w:r>
        <w:r w:rsidR="00DF6861">
          <w:rPr>
            <w:rFonts w:ascii="Times New Roman" w:hAnsi="Times New Roman"/>
            <w:bCs w:val="0"/>
            <w:sz w:val="24"/>
            <w:lang w:val="cs-CZ" w:eastAsia="cs-CZ"/>
          </w:rPr>
          <w:tab/>
        </w:r>
        <w:r w:rsidR="00DF6861">
          <w:rPr>
            <w:rStyle w:val="Hypertextovprepojenie"/>
          </w:rPr>
          <w:t>Majetok a záväzky zabezpečené derivátmi</w:t>
        </w:r>
        <w:r w:rsidR="00DF6861">
          <w:rPr>
            <w:webHidden/>
          </w:rPr>
          <w:tab/>
        </w:r>
        <w:r>
          <w:rPr>
            <w:webHidden/>
          </w:rPr>
          <w:fldChar w:fldCharType="begin"/>
        </w:r>
        <w:r w:rsidR="00DF6861">
          <w:rPr>
            <w:webHidden/>
          </w:rPr>
          <w:instrText xml:space="preserve"> PAGEREF _Toc464644546 \h </w:instrText>
        </w:r>
        <w:r>
          <w:rPr>
            <w:webHidden/>
          </w:rPr>
        </w:r>
        <w:r>
          <w:rPr>
            <w:webHidden/>
          </w:rPr>
          <w:fldChar w:fldCharType="separate"/>
        </w:r>
        <w:r w:rsidR="00F146C1">
          <w:rPr>
            <w:webHidden/>
          </w:rPr>
          <w:t>6</w:t>
        </w:r>
        <w:r>
          <w:rPr>
            <w:webHidden/>
          </w:rPr>
          <w:fldChar w:fldCharType="end"/>
        </w:r>
      </w:hyperlink>
    </w:p>
    <w:p w:rsidR="00DF6861" w:rsidRDefault="00102DA4">
      <w:pPr>
        <w:pStyle w:val="Obsah2"/>
        <w:rPr>
          <w:rFonts w:ascii="Times New Roman" w:hAnsi="Times New Roman"/>
          <w:bCs w:val="0"/>
          <w:sz w:val="24"/>
          <w:lang w:val="cs-CZ" w:eastAsia="cs-CZ"/>
        </w:rPr>
      </w:pPr>
      <w:hyperlink w:anchor="_Toc464644547" w:history="1">
        <w:r w:rsidR="00DF6861">
          <w:rPr>
            <w:rStyle w:val="Hypertextovprepojenie"/>
          </w:rPr>
          <w:t>17.</w:t>
        </w:r>
        <w:r w:rsidR="00DF6861">
          <w:rPr>
            <w:rFonts w:ascii="Times New Roman" w:hAnsi="Times New Roman"/>
            <w:bCs w:val="0"/>
            <w:sz w:val="24"/>
            <w:lang w:val="cs-CZ" w:eastAsia="cs-CZ"/>
          </w:rPr>
          <w:tab/>
        </w:r>
        <w:r w:rsidR="00DF6861">
          <w:rPr>
            <w:rStyle w:val="Hypertextovprepojenie"/>
          </w:rPr>
          <w:t>Prenajatý majetok</w:t>
        </w:r>
        <w:r w:rsidR="00DF6861">
          <w:rPr>
            <w:webHidden/>
          </w:rPr>
          <w:tab/>
        </w:r>
        <w:r>
          <w:rPr>
            <w:webHidden/>
          </w:rPr>
          <w:fldChar w:fldCharType="begin"/>
        </w:r>
        <w:r w:rsidR="00DF6861">
          <w:rPr>
            <w:webHidden/>
          </w:rPr>
          <w:instrText xml:space="preserve"> PAGEREF _Toc464644547 \h </w:instrText>
        </w:r>
        <w:r>
          <w:rPr>
            <w:webHidden/>
          </w:rPr>
        </w:r>
        <w:r>
          <w:rPr>
            <w:webHidden/>
          </w:rPr>
          <w:fldChar w:fldCharType="separate"/>
        </w:r>
        <w:r w:rsidR="00F146C1">
          <w:rPr>
            <w:webHidden/>
          </w:rPr>
          <w:t>6</w:t>
        </w:r>
        <w:r>
          <w:rPr>
            <w:webHidden/>
          </w:rPr>
          <w:fldChar w:fldCharType="end"/>
        </w:r>
      </w:hyperlink>
    </w:p>
    <w:p w:rsidR="00DF6861" w:rsidRDefault="00102DA4">
      <w:pPr>
        <w:pStyle w:val="Obsah1"/>
        <w:rPr>
          <w:rFonts w:ascii="Times New Roman" w:hAnsi="Times New Roman" w:cs="Times New Roman"/>
          <w:bCs w:val="0"/>
          <w:caps w:val="0"/>
          <w:sz w:val="24"/>
          <w:szCs w:val="24"/>
          <w:lang w:val="cs-CZ" w:eastAsia="cs-CZ"/>
        </w:rPr>
      </w:pPr>
      <w:hyperlink w:anchor="_Toc464644548" w:history="1">
        <w:r w:rsidR="00DF6861">
          <w:rPr>
            <w:rStyle w:val="Hypertextovprepojenie"/>
          </w:rPr>
          <w:t>čL. iv  INFORMÁCIE, KTORé VYSVETľUJú A DOPĹŇAJú SúVAHU A VýKAZ ZISKOV A STRáT</w:t>
        </w:r>
        <w:r w:rsidR="00DF6861">
          <w:rPr>
            <w:webHidden/>
          </w:rPr>
          <w:tab/>
        </w:r>
        <w:r>
          <w:rPr>
            <w:webHidden/>
          </w:rPr>
          <w:fldChar w:fldCharType="begin"/>
        </w:r>
        <w:r w:rsidR="00DF6861">
          <w:rPr>
            <w:webHidden/>
          </w:rPr>
          <w:instrText xml:space="preserve"> PAGEREF _Toc464644548 \h </w:instrText>
        </w:r>
        <w:r>
          <w:rPr>
            <w:webHidden/>
          </w:rPr>
        </w:r>
        <w:r>
          <w:rPr>
            <w:webHidden/>
          </w:rPr>
          <w:fldChar w:fldCharType="separate"/>
        </w:r>
        <w:r w:rsidR="00F146C1">
          <w:rPr>
            <w:webHidden/>
          </w:rPr>
          <w:t>6</w:t>
        </w:r>
        <w:r>
          <w:rPr>
            <w:webHidden/>
          </w:rPr>
          <w:fldChar w:fldCharType="end"/>
        </w:r>
      </w:hyperlink>
    </w:p>
    <w:p w:rsidR="00DF6861" w:rsidRDefault="00102DA4">
      <w:pPr>
        <w:pStyle w:val="Obsah2"/>
        <w:rPr>
          <w:rFonts w:ascii="Times New Roman" w:hAnsi="Times New Roman"/>
          <w:bCs w:val="0"/>
          <w:sz w:val="24"/>
          <w:lang w:val="cs-CZ" w:eastAsia="cs-CZ"/>
        </w:rPr>
      </w:pPr>
      <w:hyperlink w:anchor="_Toc464644549" w:history="1">
        <w:r w:rsidR="00DF6861">
          <w:rPr>
            <w:rStyle w:val="Hypertextovprepojenie"/>
          </w:rPr>
          <w:t>1.</w:t>
        </w:r>
        <w:r w:rsidR="00DF6861">
          <w:rPr>
            <w:rFonts w:ascii="Times New Roman" w:hAnsi="Times New Roman"/>
            <w:bCs w:val="0"/>
            <w:sz w:val="24"/>
            <w:lang w:val="cs-CZ" w:eastAsia="cs-CZ"/>
          </w:rPr>
          <w:tab/>
        </w:r>
        <w:r w:rsidR="00DF6861">
          <w:rPr>
            <w:rStyle w:val="Hypertextovprepojenie"/>
          </w:rPr>
          <w:t>Záväzky</w:t>
        </w:r>
        <w:r w:rsidR="00DF6861">
          <w:rPr>
            <w:webHidden/>
          </w:rPr>
          <w:tab/>
        </w:r>
        <w:r>
          <w:rPr>
            <w:webHidden/>
          </w:rPr>
          <w:fldChar w:fldCharType="begin"/>
        </w:r>
        <w:r w:rsidR="00DF6861">
          <w:rPr>
            <w:webHidden/>
          </w:rPr>
          <w:instrText xml:space="preserve"> PAGEREF _Toc464644549 \h </w:instrText>
        </w:r>
        <w:r>
          <w:rPr>
            <w:webHidden/>
          </w:rPr>
        </w:r>
        <w:r>
          <w:rPr>
            <w:webHidden/>
          </w:rPr>
          <w:fldChar w:fldCharType="separate"/>
        </w:r>
        <w:r w:rsidR="00F146C1">
          <w:rPr>
            <w:webHidden/>
          </w:rPr>
          <w:t>6</w:t>
        </w:r>
        <w:r>
          <w:rPr>
            <w:webHidden/>
          </w:rPr>
          <w:fldChar w:fldCharType="end"/>
        </w:r>
      </w:hyperlink>
    </w:p>
    <w:p w:rsidR="00DF6861" w:rsidRDefault="00102DA4">
      <w:pPr>
        <w:pStyle w:val="Obsah2"/>
        <w:rPr>
          <w:rFonts w:ascii="Times New Roman" w:hAnsi="Times New Roman"/>
          <w:bCs w:val="0"/>
          <w:sz w:val="24"/>
          <w:lang w:val="cs-CZ" w:eastAsia="cs-CZ"/>
        </w:rPr>
      </w:pPr>
      <w:hyperlink w:anchor="_Toc464644550" w:history="1">
        <w:r w:rsidR="00DF6861">
          <w:rPr>
            <w:rStyle w:val="Hypertextovprepojenie"/>
          </w:rPr>
          <w:t>2.</w:t>
        </w:r>
        <w:r w:rsidR="00DF6861">
          <w:rPr>
            <w:rFonts w:ascii="Times New Roman" w:hAnsi="Times New Roman"/>
            <w:bCs w:val="0"/>
            <w:sz w:val="24"/>
            <w:lang w:val="cs-CZ" w:eastAsia="cs-CZ"/>
          </w:rPr>
          <w:tab/>
        </w:r>
        <w:r w:rsidR="00DF6861">
          <w:rPr>
            <w:rStyle w:val="Hypertextovprepojenie"/>
          </w:rPr>
          <w:t>Bankové úvery a finančné výpomoci</w:t>
        </w:r>
        <w:r w:rsidR="00DF6861">
          <w:rPr>
            <w:webHidden/>
          </w:rPr>
          <w:tab/>
        </w:r>
        <w:r>
          <w:rPr>
            <w:webHidden/>
          </w:rPr>
          <w:fldChar w:fldCharType="begin"/>
        </w:r>
        <w:r w:rsidR="00DF6861">
          <w:rPr>
            <w:webHidden/>
          </w:rPr>
          <w:instrText xml:space="preserve"> PAGEREF _Toc464644550 \h </w:instrText>
        </w:r>
        <w:r>
          <w:rPr>
            <w:webHidden/>
          </w:rPr>
        </w:r>
        <w:r>
          <w:rPr>
            <w:webHidden/>
          </w:rPr>
          <w:fldChar w:fldCharType="separate"/>
        </w:r>
        <w:r w:rsidR="00F146C1">
          <w:rPr>
            <w:webHidden/>
          </w:rPr>
          <w:t>6</w:t>
        </w:r>
        <w:r>
          <w:rPr>
            <w:webHidden/>
          </w:rPr>
          <w:fldChar w:fldCharType="end"/>
        </w:r>
      </w:hyperlink>
    </w:p>
    <w:p w:rsidR="00DF6861" w:rsidRDefault="00102DA4">
      <w:pPr>
        <w:pStyle w:val="Obsah1"/>
        <w:rPr>
          <w:rFonts w:ascii="Times New Roman" w:hAnsi="Times New Roman" w:cs="Times New Roman"/>
          <w:bCs w:val="0"/>
          <w:caps w:val="0"/>
          <w:sz w:val="24"/>
          <w:szCs w:val="24"/>
          <w:lang w:val="cs-CZ" w:eastAsia="cs-CZ"/>
        </w:rPr>
      </w:pPr>
      <w:hyperlink w:anchor="_Toc464644551" w:history="1">
        <w:r w:rsidR="00DF6861">
          <w:rPr>
            <w:rStyle w:val="Hypertextovprepojenie"/>
          </w:rPr>
          <w:t>čL. v Informácie o iných aktívach a iných pasívach</w:t>
        </w:r>
        <w:r w:rsidR="00DF6861">
          <w:rPr>
            <w:webHidden/>
          </w:rPr>
          <w:tab/>
        </w:r>
        <w:r>
          <w:rPr>
            <w:webHidden/>
          </w:rPr>
          <w:fldChar w:fldCharType="begin"/>
        </w:r>
        <w:r w:rsidR="00DF6861">
          <w:rPr>
            <w:webHidden/>
          </w:rPr>
          <w:instrText xml:space="preserve"> PAGEREF _Toc464644551 \h </w:instrText>
        </w:r>
        <w:r>
          <w:rPr>
            <w:webHidden/>
          </w:rPr>
        </w:r>
        <w:r>
          <w:rPr>
            <w:webHidden/>
          </w:rPr>
          <w:fldChar w:fldCharType="separate"/>
        </w:r>
        <w:r w:rsidR="00F146C1">
          <w:rPr>
            <w:webHidden/>
          </w:rPr>
          <w:t>7</w:t>
        </w:r>
        <w:r>
          <w:rPr>
            <w:webHidden/>
          </w:rPr>
          <w:fldChar w:fldCharType="end"/>
        </w:r>
      </w:hyperlink>
    </w:p>
    <w:p w:rsidR="00DF6861" w:rsidRDefault="00102DA4">
      <w:pPr>
        <w:pStyle w:val="Obsah2"/>
        <w:rPr>
          <w:rFonts w:ascii="Times New Roman" w:hAnsi="Times New Roman"/>
          <w:bCs w:val="0"/>
          <w:sz w:val="24"/>
          <w:lang w:val="cs-CZ" w:eastAsia="cs-CZ"/>
        </w:rPr>
      </w:pPr>
      <w:hyperlink w:anchor="_Toc464644552" w:history="1">
        <w:r w:rsidR="00DF6861">
          <w:rPr>
            <w:rStyle w:val="Hypertextovprepojenie"/>
          </w:rPr>
          <w:t>1.</w:t>
        </w:r>
        <w:r w:rsidR="00DF6861">
          <w:rPr>
            <w:rFonts w:ascii="Times New Roman" w:hAnsi="Times New Roman"/>
            <w:bCs w:val="0"/>
            <w:sz w:val="24"/>
            <w:lang w:val="cs-CZ" w:eastAsia="cs-CZ"/>
          </w:rPr>
          <w:tab/>
        </w:r>
        <w:r w:rsidR="00DF6861">
          <w:rPr>
            <w:rStyle w:val="Hypertextovprepojenie"/>
          </w:rPr>
          <w:t>Podmienené záväzky</w:t>
        </w:r>
        <w:r w:rsidR="00DF6861">
          <w:rPr>
            <w:webHidden/>
          </w:rPr>
          <w:tab/>
        </w:r>
        <w:r>
          <w:rPr>
            <w:webHidden/>
          </w:rPr>
          <w:fldChar w:fldCharType="begin"/>
        </w:r>
        <w:r w:rsidR="00DF6861">
          <w:rPr>
            <w:webHidden/>
          </w:rPr>
          <w:instrText xml:space="preserve"> PAGEREF _Toc464644552 \h </w:instrText>
        </w:r>
        <w:r>
          <w:rPr>
            <w:webHidden/>
          </w:rPr>
        </w:r>
        <w:r>
          <w:rPr>
            <w:webHidden/>
          </w:rPr>
          <w:fldChar w:fldCharType="separate"/>
        </w:r>
        <w:r w:rsidR="00F146C1">
          <w:rPr>
            <w:webHidden/>
          </w:rPr>
          <w:t>7</w:t>
        </w:r>
        <w:r>
          <w:rPr>
            <w:webHidden/>
          </w:rPr>
          <w:fldChar w:fldCharType="end"/>
        </w:r>
      </w:hyperlink>
    </w:p>
    <w:p w:rsidR="00DF6861" w:rsidRDefault="00102DA4">
      <w:pPr>
        <w:pStyle w:val="Obsah2"/>
        <w:rPr>
          <w:rFonts w:ascii="Times New Roman" w:hAnsi="Times New Roman"/>
          <w:bCs w:val="0"/>
          <w:sz w:val="24"/>
          <w:lang w:val="cs-CZ" w:eastAsia="cs-CZ"/>
        </w:rPr>
      </w:pPr>
      <w:hyperlink w:anchor="_Toc464644553" w:history="1">
        <w:r w:rsidR="00DF6861">
          <w:rPr>
            <w:rStyle w:val="Hypertextovprepojenie"/>
          </w:rPr>
          <w:t>2.</w:t>
        </w:r>
        <w:r w:rsidR="00DF6861">
          <w:rPr>
            <w:rFonts w:ascii="Times New Roman" w:hAnsi="Times New Roman"/>
            <w:bCs w:val="0"/>
            <w:sz w:val="24"/>
            <w:lang w:val="cs-CZ" w:eastAsia="cs-CZ"/>
          </w:rPr>
          <w:tab/>
        </w:r>
        <w:r w:rsidR="00DF6861">
          <w:rPr>
            <w:rStyle w:val="Hypertextovprepojenie"/>
          </w:rPr>
          <w:t>Podmienený majetok</w:t>
        </w:r>
        <w:r w:rsidR="00DF6861">
          <w:rPr>
            <w:webHidden/>
          </w:rPr>
          <w:tab/>
        </w:r>
        <w:r>
          <w:rPr>
            <w:webHidden/>
          </w:rPr>
          <w:fldChar w:fldCharType="begin"/>
        </w:r>
        <w:r w:rsidR="00DF6861">
          <w:rPr>
            <w:webHidden/>
          </w:rPr>
          <w:instrText xml:space="preserve"> PAGEREF _Toc464644553 \h </w:instrText>
        </w:r>
        <w:r>
          <w:rPr>
            <w:webHidden/>
          </w:rPr>
        </w:r>
        <w:r>
          <w:rPr>
            <w:webHidden/>
          </w:rPr>
          <w:fldChar w:fldCharType="separate"/>
        </w:r>
        <w:r w:rsidR="00F146C1">
          <w:rPr>
            <w:webHidden/>
          </w:rPr>
          <w:t>7</w:t>
        </w:r>
        <w:r>
          <w:rPr>
            <w:webHidden/>
          </w:rPr>
          <w:fldChar w:fldCharType="end"/>
        </w:r>
      </w:hyperlink>
    </w:p>
    <w:p w:rsidR="00DF6861" w:rsidRDefault="00102DA4">
      <w:pPr>
        <w:pStyle w:val="Obsah1"/>
        <w:rPr>
          <w:rFonts w:ascii="Times New Roman" w:hAnsi="Times New Roman" w:cs="Times New Roman"/>
          <w:bCs w:val="0"/>
          <w:caps w:val="0"/>
          <w:sz w:val="24"/>
          <w:szCs w:val="24"/>
          <w:lang w:val="cs-CZ" w:eastAsia="cs-CZ"/>
        </w:rPr>
      </w:pPr>
      <w:hyperlink w:anchor="_Toc464644554" w:history="1">
        <w:r w:rsidR="00DF6861">
          <w:rPr>
            <w:rStyle w:val="Hypertextovprepojenie"/>
          </w:rPr>
          <w:t>čl. vi uDALOSTI, KTORé nastali po dni, ku ktorému sa zostavuje účtovná závierka</w:t>
        </w:r>
        <w:r w:rsidR="00DF6861">
          <w:rPr>
            <w:webHidden/>
          </w:rPr>
          <w:tab/>
        </w:r>
        <w:r>
          <w:rPr>
            <w:webHidden/>
          </w:rPr>
          <w:fldChar w:fldCharType="begin"/>
        </w:r>
        <w:r w:rsidR="00DF6861">
          <w:rPr>
            <w:webHidden/>
          </w:rPr>
          <w:instrText xml:space="preserve"> PAGEREF _Toc464644554 \h </w:instrText>
        </w:r>
        <w:r>
          <w:rPr>
            <w:webHidden/>
          </w:rPr>
        </w:r>
        <w:r>
          <w:rPr>
            <w:webHidden/>
          </w:rPr>
          <w:fldChar w:fldCharType="separate"/>
        </w:r>
        <w:r w:rsidR="00F146C1">
          <w:rPr>
            <w:webHidden/>
          </w:rPr>
          <w:t>8</w:t>
        </w:r>
        <w:r>
          <w:rPr>
            <w:webHidden/>
          </w:rPr>
          <w:fldChar w:fldCharType="end"/>
        </w:r>
      </w:hyperlink>
    </w:p>
    <w:p w:rsidR="00DF6861" w:rsidRDefault="00102DA4">
      <w:pPr>
        <w:pStyle w:val="Notetext"/>
        <w:spacing w:before="60" w:after="60"/>
      </w:pPr>
      <w:r>
        <w:rPr>
          <w:sz w:val="20"/>
        </w:rPr>
        <w:fldChar w:fldCharType="end"/>
      </w:r>
    </w:p>
    <w:sectPr w:rsidR="00DF6861" w:rsidSect="00D3372F">
      <w:footerReference w:type="default" r:id="rId12"/>
      <w:headerReference w:type="first" r:id="rId13"/>
      <w:pgSz w:w="11907" w:h="16840" w:code="9"/>
      <w:pgMar w:top="1440" w:right="1440" w:bottom="1440" w:left="993" w:header="992" w:footer="708" w:gutter="0"/>
      <w:cols w:space="708"/>
      <w:titlePg/>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AD6A88" w:rsidRDefault="00AD6A88">
      <w:r>
        <w:separator/>
      </w:r>
    </w:p>
  </w:endnote>
  <w:endnote w:type="continuationSeparator" w:id="1">
    <w:p w:rsidR="00AD6A88" w:rsidRDefault="00AD6A88">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43"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notTrueType/>
    <w:pitch w:val="variable"/>
    <w:sig w:usb0="00000003" w:usb1="00000000" w:usb2="00000000" w:usb3="00000000" w:csb0="00000001" w:csb1="00000000"/>
  </w:font>
  <w:font w:name="Arial Narrow">
    <w:panose1 w:val="020B0606020202030204"/>
    <w:charset w:val="EE"/>
    <w:family w:val="swiss"/>
    <w:pitch w:val="variable"/>
    <w:sig w:usb0="00000287" w:usb1="00000800" w:usb2="00000000" w:usb3="00000000" w:csb0="0000009F" w:csb1="00000000"/>
  </w:font>
  <w:font w:name="Calibri">
    <w:panose1 w:val="020F0502020204030204"/>
    <w:charset w:val="EE"/>
    <w:family w:val="swiss"/>
    <w:pitch w:val="variable"/>
    <w:sig w:usb0="E0002AFF" w:usb1="C000247B" w:usb2="00000009" w:usb3="00000000" w:csb0="000001FF" w:csb1="00000000"/>
  </w:font>
  <w:font w:name="Consolas">
    <w:panose1 w:val="020B0609020204030204"/>
    <w:charset w:val="EE"/>
    <w:family w:val="modern"/>
    <w:pitch w:val="fixed"/>
    <w:sig w:usb0="E00006FF" w:usb1="0000FCFF" w:usb2="00000001" w:usb3="00000000" w:csb0="0000019F"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F6861" w:rsidRDefault="00DF6861">
    <w:pPr>
      <w:pStyle w:val="CurrencyNote"/>
      <w:rPr>
        <w:rStyle w:val="slostrany"/>
      </w:rPr>
    </w:pPr>
    <w:r>
      <w:rPr>
        <w:rStyle w:val="slostrany"/>
      </w:rPr>
      <w:t xml:space="preserve">- </w:t>
    </w:r>
    <w:r w:rsidR="00102DA4">
      <w:rPr>
        <w:rStyle w:val="slostrany"/>
      </w:rPr>
      <w:fldChar w:fldCharType="begin"/>
    </w:r>
    <w:r>
      <w:rPr>
        <w:rStyle w:val="slostrany"/>
      </w:rPr>
      <w:instrText xml:space="preserve"> PAGE </w:instrText>
    </w:r>
    <w:r w:rsidR="00102DA4">
      <w:rPr>
        <w:rStyle w:val="slostrany"/>
      </w:rPr>
      <w:fldChar w:fldCharType="separate"/>
    </w:r>
    <w:r w:rsidR="009A0ACA">
      <w:rPr>
        <w:rStyle w:val="slostrany"/>
        <w:noProof/>
      </w:rPr>
      <w:t>2</w:t>
    </w:r>
    <w:r w:rsidR="00102DA4">
      <w:rPr>
        <w:rStyle w:val="slostrany"/>
      </w:rPr>
      <w:fldChar w:fldCharType="end"/>
    </w:r>
    <w:r>
      <w:rPr>
        <w:rStyle w:val="slostrany"/>
      </w:rPr>
      <w:t xml:space="preserve"> - </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AD6A88" w:rsidRDefault="00AD6A88">
      <w:r>
        <w:separator/>
      </w:r>
    </w:p>
  </w:footnote>
  <w:footnote w:type="continuationSeparator" w:id="1">
    <w:p w:rsidR="00AD6A88" w:rsidRDefault="00AD6A88">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F6861" w:rsidRDefault="00DF6861">
    <w:pPr>
      <w:pStyle w:val="Hlavika"/>
      <w:tabs>
        <w:tab w:val="clear" w:pos="4536"/>
        <w:tab w:val="clear" w:pos="9072"/>
        <w:tab w:val="center" w:pos="4737"/>
        <w:tab w:val="right" w:pos="9474"/>
      </w:tabs>
    </w:pPr>
    <w:r>
      <w:t xml:space="preserve">Poznámky </w:t>
    </w:r>
    <w:proofErr w:type="spellStart"/>
    <w:r>
      <w:t>Úč</w:t>
    </w:r>
    <w:proofErr w:type="spellEnd"/>
    <w:r>
      <w:t xml:space="preserve"> POD 3-01</w:t>
    </w:r>
    <w:r>
      <w:tab/>
    </w:r>
    <w:r>
      <w:tab/>
      <w:t xml:space="preserve">IČO: </w:t>
    </w:r>
    <w:r w:rsidR="001276E7">
      <w:t>36495123</w:t>
    </w:r>
    <w:r>
      <w:t xml:space="preserve">  DIČ: </w:t>
    </w:r>
    <w:r w:rsidR="001276E7">
      <w:t>20218466</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83"/>
    <w:multiLevelType w:val="singleLevel"/>
    <w:tmpl w:val="38881BA0"/>
    <w:lvl w:ilvl="0">
      <w:start w:val="1"/>
      <w:numFmt w:val="bullet"/>
      <w:pStyle w:val="Zoznamsodrkami2"/>
      <w:lvlText w:val=""/>
      <w:lvlJc w:val="left"/>
      <w:pPr>
        <w:tabs>
          <w:tab w:val="num" w:pos="643"/>
        </w:tabs>
        <w:ind w:left="643" w:hanging="360"/>
      </w:pPr>
      <w:rPr>
        <w:rFonts w:ascii="Symbol" w:hAnsi="Symbol" w:hint="default"/>
      </w:rPr>
    </w:lvl>
  </w:abstractNum>
  <w:abstractNum w:abstractNumId="1">
    <w:nsid w:val="00000003"/>
    <w:multiLevelType w:val="multilevel"/>
    <w:tmpl w:val="00000003"/>
    <w:name w:val="WW8Num3"/>
    <w:lvl w:ilvl="0">
      <w:start w:val="1"/>
      <w:numFmt w:val="upperLetter"/>
      <w:lvlText w:val="%1."/>
      <w:lvlJc w:val="left"/>
      <w:pPr>
        <w:tabs>
          <w:tab w:val="num" w:pos="644"/>
        </w:tabs>
        <w:ind w:left="644" w:hanging="360"/>
      </w:pPr>
    </w:lvl>
    <w:lvl w:ilvl="1">
      <w:start w:val="1"/>
      <w:numFmt w:val="decimal"/>
      <w:lvlText w:val="%2."/>
      <w:lvlJc w:val="left"/>
      <w:pPr>
        <w:tabs>
          <w:tab w:val="num" w:pos="1495"/>
        </w:tabs>
        <w:ind w:left="1495" w:hanging="360"/>
      </w:pPr>
    </w:lvl>
    <w:lvl w:ilvl="2">
      <w:start w:val="1"/>
      <w:numFmt w:val="bullet"/>
      <w:lvlText w:val=""/>
      <w:lvlJc w:val="left"/>
      <w:pPr>
        <w:tabs>
          <w:tab w:val="num" w:pos="2264"/>
        </w:tabs>
        <w:ind w:left="2264" w:hanging="360"/>
      </w:pPr>
      <w:rPr>
        <w:rFonts w:ascii="Symbol" w:hAnsi="Symbol"/>
      </w:rPr>
    </w:lvl>
    <w:lvl w:ilvl="3">
      <w:start w:val="1"/>
      <w:numFmt w:val="decimal"/>
      <w:lvlText w:val="%4."/>
      <w:lvlJc w:val="left"/>
      <w:pPr>
        <w:tabs>
          <w:tab w:val="num" w:pos="2804"/>
        </w:tabs>
        <w:ind w:left="2804" w:hanging="360"/>
      </w:pPr>
    </w:lvl>
    <w:lvl w:ilvl="4">
      <w:start w:val="1"/>
      <w:numFmt w:val="lowerLetter"/>
      <w:lvlText w:val="%5."/>
      <w:lvlJc w:val="left"/>
      <w:pPr>
        <w:tabs>
          <w:tab w:val="num" w:pos="3524"/>
        </w:tabs>
        <w:ind w:left="3524" w:hanging="360"/>
      </w:pPr>
    </w:lvl>
    <w:lvl w:ilvl="5">
      <w:start w:val="1"/>
      <w:numFmt w:val="lowerRoman"/>
      <w:lvlText w:val="%6."/>
      <w:lvlJc w:val="left"/>
      <w:pPr>
        <w:tabs>
          <w:tab w:val="num" w:pos="4244"/>
        </w:tabs>
        <w:ind w:left="4244" w:hanging="180"/>
      </w:pPr>
    </w:lvl>
    <w:lvl w:ilvl="6">
      <w:start w:val="1"/>
      <w:numFmt w:val="decimal"/>
      <w:lvlText w:val="%7."/>
      <w:lvlJc w:val="left"/>
      <w:pPr>
        <w:tabs>
          <w:tab w:val="num" w:pos="4964"/>
        </w:tabs>
        <w:ind w:left="4964" w:hanging="360"/>
      </w:pPr>
    </w:lvl>
    <w:lvl w:ilvl="7">
      <w:start w:val="1"/>
      <w:numFmt w:val="lowerLetter"/>
      <w:lvlText w:val="%8."/>
      <w:lvlJc w:val="left"/>
      <w:pPr>
        <w:tabs>
          <w:tab w:val="num" w:pos="5684"/>
        </w:tabs>
        <w:ind w:left="5684" w:hanging="360"/>
      </w:pPr>
    </w:lvl>
    <w:lvl w:ilvl="8">
      <w:start w:val="1"/>
      <w:numFmt w:val="lowerRoman"/>
      <w:lvlText w:val="%9."/>
      <w:lvlJc w:val="left"/>
      <w:pPr>
        <w:tabs>
          <w:tab w:val="num" w:pos="6404"/>
        </w:tabs>
        <w:ind w:left="6404" w:hanging="180"/>
      </w:pPr>
    </w:lvl>
  </w:abstractNum>
  <w:abstractNum w:abstractNumId="2">
    <w:nsid w:val="1DFD365A"/>
    <w:multiLevelType w:val="hybridMultilevel"/>
    <w:tmpl w:val="A9ACAC00"/>
    <w:lvl w:ilvl="0" w:tplc="998AC746">
      <w:start w:val="1"/>
      <w:numFmt w:val="lowerLetter"/>
      <w:pStyle w:val="lettertitle"/>
      <w:lvlText w:val="%1)"/>
      <w:lvlJc w:val="left"/>
      <w:pPr>
        <w:tabs>
          <w:tab w:val="num" w:pos="851"/>
        </w:tabs>
        <w:ind w:left="851" w:hanging="454"/>
      </w:pPr>
      <w:rPr>
        <w:rFonts w:hint="default"/>
      </w:rPr>
    </w:lvl>
    <w:lvl w:ilvl="1" w:tplc="59C8EAC6" w:tentative="1">
      <w:start w:val="1"/>
      <w:numFmt w:val="lowerLetter"/>
      <w:lvlText w:val="%2."/>
      <w:lvlJc w:val="left"/>
      <w:pPr>
        <w:tabs>
          <w:tab w:val="num" w:pos="1528"/>
        </w:tabs>
        <w:ind w:left="1528" w:hanging="360"/>
      </w:pPr>
    </w:lvl>
    <w:lvl w:ilvl="2" w:tplc="34364B68" w:tentative="1">
      <w:start w:val="1"/>
      <w:numFmt w:val="lowerRoman"/>
      <w:lvlText w:val="%3."/>
      <w:lvlJc w:val="right"/>
      <w:pPr>
        <w:tabs>
          <w:tab w:val="num" w:pos="2248"/>
        </w:tabs>
        <w:ind w:left="2248" w:hanging="180"/>
      </w:pPr>
    </w:lvl>
    <w:lvl w:ilvl="3" w:tplc="6C5A562E" w:tentative="1">
      <w:start w:val="1"/>
      <w:numFmt w:val="decimal"/>
      <w:lvlText w:val="%4."/>
      <w:lvlJc w:val="left"/>
      <w:pPr>
        <w:tabs>
          <w:tab w:val="num" w:pos="2968"/>
        </w:tabs>
        <w:ind w:left="2968" w:hanging="360"/>
      </w:pPr>
    </w:lvl>
    <w:lvl w:ilvl="4" w:tplc="7716EA06" w:tentative="1">
      <w:start w:val="1"/>
      <w:numFmt w:val="lowerLetter"/>
      <w:lvlText w:val="%5."/>
      <w:lvlJc w:val="left"/>
      <w:pPr>
        <w:tabs>
          <w:tab w:val="num" w:pos="3688"/>
        </w:tabs>
        <w:ind w:left="3688" w:hanging="360"/>
      </w:pPr>
    </w:lvl>
    <w:lvl w:ilvl="5" w:tplc="A42A5A8E" w:tentative="1">
      <w:start w:val="1"/>
      <w:numFmt w:val="lowerRoman"/>
      <w:lvlText w:val="%6."/>
      <w:lvlJc w:val="right"/>
      <w:pPr>
        <w:tabs>
          <w:tab w:val="num" w:pos="4408"/>
        </w:tabs>
        <w:ind w:left="4408" w:hanging="180"/>
      </w:pPr>
    </w:lvl>
    <w:lvl w:ilvl="6" w:tplc="6D1088A8" w:tentative="1">
      <w:start w:val="1"/>
      <w:numFmt w:val="decimal"/>
      <w:lvlText w:val="%7."/>
      <w:lvlJc w:val="left"/>
      <w:pPr>
        <w:tabs>
          <w:tab w:val="num" w:pos="5128"/>
        </w:tabs>
        <w:ind w:left="5128" w:hanging="360"/>
      </w:pPr>
    </w:lvl>
    <w:lvl w:ilvl="7" w:tplc="12D85C64" w:tentative="1">
      <w:start w:val="1"/>
      <w:numFmt w:val="lowerLetter"/>
      <w:lvlText w:val="%8."/>
      <w:lvlJc w:val="left"/>
      <w:pPr>
        <w:tabs>
          <w:tab w:val="num" w:pos="5848"/>
        </w:tabs>
        <w:ind w:left="5848" w:hanging="360"/>
      </w:pPr>
    </w:lvl>
    <w:lvl w:ilvl="8" w:tplc="D3109970" w:tentative="1">
      <w:start w:val="1"/>
      <w:numFmt w:val="lowerRoman"/>
      <w:lvlText w:val="%9."/>
      <w:lvlJc w:val="right"/>
      <w:pPr>
        <w:tabs>
          <w:tab w:val="num" w:pos="6568"/>
        </w:tabs>
        <w:ind w:left="6568" w:hanging="180"/>
      </w:pPr>
    </w:lvl>
  </w:abstractNum>
  <w:abstractNum w:abstractNumId="3">
    <w:nsid w:val="22205F9C"/>
    <w:multiLevelType w:val="hybridMultilevel"/>
    <w:tmpl w:val="1E18E230"/>
    <w:lvl w:ilvl="0" w:tplc="B2CE3808">
      <w:start w:val="10"/>
      <w:numFmt w:val="bullet"/>
      <w:lvlText w:val="-"/>
      <w:lvlJc w:val="left"/>
      <w:pPr>
        <w:ind w:left="810" w:hanging="360"/>
      </w:pPr>
      <w:rPr>
        <w:rFonts w:ascii="Arial" w:eastAsia="Times New Roman" w:hAnsi="Arial" w:cs="Arial" w:hint="default"/>
      </w:rPr>
    </w:lvl>
    <w:lvl w:ilvl="1" w:tplc="041B0003" w:tentative="1">
      <w:start w:val="1"/>
      <w:numFmt w:val="bullet"/>
      <w:lvlText w:val="o"/>
      <w:lvlJc w:val="left"/>
      <w:pPr>
        <w:ind w:left="1530" w:hanging="360"/>
      </w:pPr>
      <w:rPr>
        <w:rFonts w:ascii="Courier New" w:hAnsi="Courier New" w:cs="Courier New" w:hint="default"/>
      </w:rPr>
    </w:lvl>
    <w:lvl w:ilvl="2" w:tplc="041B0005" w:tentative="1">
      <w:start w:val="1"/>
      <w:numFmt w:val="bullet"/>
      <w:lvlText w:val=""/>
      <w:lvlJc w:val="left"/>
      <w:pPr>
        <w:ind w:left="2250" w:hanging="360"/>
      </w:pPr>
      <w:rPr>
        <w:rFonts w:ascii="Wingdings" w:hAnsi="Wingdings" w:hint="default"/>
      </w:rPr>
    </w:lvl>
    <w:lvl w:ilvl="3" w:tplc="041B0001" w:tentative="1">
      <w:start w:val="1"/>
      <w:numFmt w:val="bullet"/>
      <w:lvlText w:val=""/>
      <w:lvlJc w:val="left"/>
      <w:pPr>
        <w:ind w:left="2970" w:hanging="360"/>
      </w:pPr>
      <w:rPr>
        <w:rFonts w:ascii="Symbol" w:hAnsi="Symbol" w:hint="default"/>
      </w:rPr>
    </w:lvl>
    <w:lvl w:ilvl="4" w:tplc="041B0003" w:tentative="1">
      <w:start w:val="1"/>
      <w:numFmt w:val="bullet"/>
      <w:lvlText w:val="o"/>
      <w:lvlJc w:val="left"/>
      <w:pPr>
        <w:ind w:left="3690" w:hanging="360"/>
      </w:pPr>
      <w:rPr>
        <w:rFonts w:ascii="Courier New" w:hAnsi="Courier New" w:cs="Courier New" w:hint="default"/>
      </w:rPr>
    </w:lvl>
    <w:lvl w:ilvl="5" w:tplc="041B0005" w:tentative="1">
      <w:start w:val="1"/>
      <w:numFmt w:val="bullet"/>
      <w:lvlText w:val=""/>
      <w:lvlJc w:val="left"/>
      <w:pPr>
        <w:ind w:left="4410" w:hanging="360"/>
      </w:pPr>
      <w:rPr>
        <w:rFonts w:ascii="Wingdings" w:hAnsi="Wingdings" w:hint="default"/>
      </w:rPr>
    </w:lvl>
    <w:lvl w:ilvl="6" w:tplc="041B0001" w:tentative="1">
      <w:start w:val="1"/>
      <w:numFmt w:val="bullet"/>
      <w:lvlText w:val=""/>
      <w:lvlJc w:val="left"/>
      <w:pPr>
        <w:ind w:left="5130" w:hanging="360"/>
      </w:pPr>
      <w:rPr>
        <w:rFonts w:ascii="Symbol" w:hAnsi="Symbol" w:hint="default"/>
      </w:rPr>
    </w:lvl>
    <w:lvl w:ilvl="7" w:tplc="041B0003" w:tentative="1">
      <w:start w:val="1"/>
      <w:numFmt w:val="bullet"/>
      <w:lvlText w:val="o"/>
      <w:lvlJc w:val="left"/>
      <w:pPr>
        <w:ind w:left="5850" w:hanging="360"/>
      </w:pPr>
      <w:rPr>
        <w:rFonts w:ascii="Courier New" w:hAnsi="Courier New" w:cs="Courier New" w:hint="default"/>
      </w:rPr>
    </w:lvl>
    <w:lvl w:ilvl="8" w:tplc="041B0005" w:tentative="1">
      <w:start w:val="1"/>
      <w:numFmt w:val="bullet"/>
      <w:lvlText w:val=""/>
      <w:lvlJc w:val="left"/>
      <w:pPr>
        <w:ind w:left="6570" w:hanging="360"/>
      </w:pPr>
      <w:rPr>
        <w:rFonts w:ascii="Wingdings" w:hAnsi="Wingdings" w:hint="default"/>
      </w:rPr>
    </w:lvl>
  </w:abstractNum>
  <w:abstractNum w:abstractNumId="4">
    <w:nsid w:val="5347225B"/>
    <w:multiLevelType w:val="hybridMultilevel"/>
    <w:tmpl w:val="4CF849B8"/>
    <w:lvl w:ilvl="0" w:tplc="21C62CD8">
      <w:start w:val="1"/>
      <w:numFmt w:val="upperLetter"/>
      <w:lvlText w:val="%1."/>
      <w:lvlJc w:val="left"/>
      <w:pPr>
        <w:tabs>
          <w:tab w:val="num" w:pos="502"/>
        </w:tabs>
        <w:ind w:left="502" w:hanging="360"/>
      </w:pPr>
      <w:rPr>
        <w:rFonts w:hint="default"/>
        <w:color w:val="auto"/>
      </w:rPr>
    </w:lvl>
    <w:lvl w:ilvl="1" w:tplc="A5E4883C">
      <w:start w:val="1"/>
      <w:numFmt w:val="decimal"/>
      <w:pStyle w:val="Notesubtitle"/>
      <w:lvlText w:val="%2."/>
      <w:lvlJc w:val="left"/>
      <w:pPr>
        <w:tabs>
          <w:tab w:val="num" w:pos="1353"/>
        </w:tabs>
        <w:ind w:left="1353" w:hanging="360"/>
      </w:pPr>
    </w:lvl>
    <w:lvl w:ilvl="2" w:tplc="04050001">
      <w:start w:val="1"/>
      <w:numFmt w:val="bullet"/>
      <w:lvlText w:val=""/>
      <w:lvlJc w:val="left"/>
      <w:pPr>
        <w:tabs>
          <w:tab w:val="num" w:pos="2264"/>
        </w:tabs>
        <w:ind w:left="2264" w:hanging="360"/>
      </w:pPr>
      <w:rPr>
        <w:rFonts w:ascii="Symbol" w:hAnsi="Symbol" w:hint="default"/>
      </w:rPr>
    </w:lvl>
    <w:lvl w:ilvl="3" w:tplc="CE1CC128">
      <w:start w:val="1"/>
      <w:numFmt w:val="decimal"/>
      <w:lvlText w:val="%4."/>
      <w:lvlJc w:val="left"/>
      <w:pPr>
        <w:tabs>
          <w:tab w:val="num" w:pos="2804"/>
        </w:tabs>
        <w:ind w:left="2804" w:hanging="360"/>
      </w:pPr>
    </w:lvl>
    <w:lvl w:ilvl="4" w:tplc="04050019" w:tentative="1">
      <w:start w:val="1"/>
      <w:numFmt w:val="lowerLetter"/>
      <w:lvlText w:val="%5."/>
      <w:lvlJc w:val="left"/>
      <w:pPr>
        <w:tabs>
          <w:tab w:val="num" w:pos="3524"/>
        </w:tabs>
        <w:ind w:left="3524" w:hanging="360"/>
      </w:pPr>
    </w:lvl>
    <w:lvl w:ilvl="5" w:tplc="0405001B" w:tentative="1">
      <w:start w:val="1"/>
      <w:numFmt w:val="lowerRoman"/>
      <w:lvlText w:val="%6."/>
      <w:lvlJc w:val="right"/>
      <w:pPr>
        <w:tabs>
          <w:tab w:val="num" w:pos="4244"/>
        </w:tabs>
        <w:ind w:left="4244" w:hanging="180"/>
      </w:pPr>
    </w:lvl>
    <w:lvl w:ilvl="6" w:tplc="0405000F" w:tentative="1">
      <w:start w:val="1"/>
      <w:numFmt w:val="decimal"/>
      <w:lvlText w:val="%7."/>
      <w:lvlJc w:val="left"/>
      <w:pPr>
        <w:tabs>
          <w:tab w:val="num" w:pos="4964"/>
        </w:tabs>
        <w:ind w:left="4964" w:hanging="360"/>
      </w:pPr>
    </w:lvl>
    <w:lvl w:ilvl="7" w:tplc="04050019" w:tentative="1">
      <w:start w:val="1"/>
      <w:numFmt w:val="lowerLetter"/>
      <w:lvlText w:val="%8."/>
      <w:lvlJc w:val="left"/>
      <w:pPr>
        <w:tabs>
          <w:tab w:val="num" w:pos="5684"/>
        </w:tabs>
        <w:ind w:left="5684" w:hanging="360"/>
      </w:pPr>
    </w:lvl>
    <w:lvl w:ilvl="8" w:tplc="0405001B" w:tentative="1">
      <w:start w:val="1"/>
      <w:numFmt w:val="lowerRoman"/>
      <w:lvlText w:val="%9."/>
      <w:lvlJc w:val="right"/>
      <w:pPr>
        <w:tabs>
          <w:tab w:val="num" w:pos="6404"/>
        </w:tabs>
        <w:ind w:left="6404" w:hanging="180"/>
      </w:pPr>
    </w:lvl>
  </w:abstractNum>
  <w:abstractNum w:abstractNumId="5">
    <w:nsid w:val="6E434E45"/>
    <w:multiLevelType w:val="hybridMultilevel"/>
    <w:tmpl w:val="8812B520"/>
    <w:lvl w:ilvl="0" w:tplc="4338282A">
      <w:numFmt w:val="bullet"/>
      <w:lvlText w:val="-"/>
      <w:lvlJc w:val="left"/>
      <w:pPr>
        <w:tabs>
          <w:tab w:val="num" w:pos="786"/>
        </w:tabs>
        <w:ind w:left="786" w:hanging="360"/>
      </w:pPr>
      <w:rPr>
        <w:rFonts w:ascii="Times New Roman" w:eastAsia="Times New Roman" w:hAnsi="Times New Roman" w:cs="Times New Roman" w:hint="default"/>
      </w:rPr>
    </w:lvl>
    <w:lvl w:ilvl="1" w:tplc="39F273F4" w:tentative="1">
      <w:start w:val="1"/>
      <w:numFmt w:val="bullet"/>
      <w:lvlText w:val="o"/>
      <w:lvlJc w:val="left"/>
      <w:pPr>
        <w:tabs>
          <w:tab w:val="num" w:pos="1506"/>
        </w:tabs>
        <w:ind w:left="1506" w:hanging="360"/>
      </w:pPr>
      <w:rPr>
        <w:rFonts w:ascii="Courier New" w:hAnsi="Courier New" w:hint="default"/>
      </w:rPr>
    </w:lvl>
    <w:lvl w:ilvl="2" w:tplc="D850319E" w:tentative="1">
      <w:start w:val="1"/>
      <w:numFmt w:val="bullet"/>
      <w:lvlText w:val=""/>
      <w:lvlJc w:val="left"/>
      <w:pPr>
        <w:tabs>
          <w:tab w:val="num" w:pos="2226"/>
        </w:tabs>
        <w:ind w:left="2226" w:hanging="360"/>
      </w:pPr>
      <w:rPr>
        <w:rFonts w:ascii="Wingdings" w:hAnsi="Wingdings" w:hint="default"/>
      </w:rPr>
    </w:lvl>
    <w:lvl w:ilvl="3" w:tplc="DD9ADD64" w:tentative="1">
      <w:start w:val="1"/>
      <w:numFmt w:val="bullet"/>
      <w:lvlText w:val=""/>
      <w:lvlJc w:val="left"/>
      <w:pPr>
        <w:tabs>
          <w:tab w:val="num" w:pos="2946"/>
        </w:tabs>
        <w:ind w:left="2946" w:hanging="360"/>
      </w:pPr>
      <w:rPr>
        <w:rFonts w:ascii="Symbol" w:hAnsi="Symbol" w:hint="default"/>
      </w:rPr>
    </w:lvl>
    <w:lvl w:ilvl="4" w:tplc="C9A2DAB8" w:tentative="1">
      <w:start w:val="1"/>
      <w:numFmt w:val="bullet"/>
      <w:lvlText w:val="o"/>
      <w:lvlJc w:val="left"/>
      <w:pPr>
        <w:tabs>
          <w:tab w:val="num" w:pos="3666"/>
        </w:tabs>
        <w:ind w:left="3666" w:hanging="360"/>
      </w:pPr>
      <w:rPr>
        <w:rFonts w:ascii="Courier New" w:hAnsi="Courier New" w:hint="default"/>
      </w:rPr>
    </w:lvl>
    <w:lvl w:ilvl="5" w:tplc="66960624" w:tentative="1">
      <w:start w:val="1"/>
      <w:numFmt w:val="bullet"/>
      <w:lvlText w:val=""/>
      <w:lvlJc w:val="left"/>
      <w:pPr>
        <w:tabs>
          <w:tab w:val="num" w:pos="4386"/>
        </w:tabs>
        <w:ind w:left="4386" w:hanging="360"/>
      </w:pPr>
      <w:rPr>
        <w:rFonts w:ascii="Wingdings" w:hAnsi="Wingdings" w:hint="default"/>
      </w:rPr>
    </w:lvl>
    <w:lvl w:ilvl="6" w:tplc="E536E3C2" w:tentative="1">
      <w:start w:val="1"/>
      <w:numFmt w:val="bullet"/>
      <w:lvlText w:val=""/>
      <w:lvlJc w:val="left"/>
      <w:pPr>
        <w:tabs>
          <w:tab w:val="num" w:pos="5106"/>
        </w:tabs>
        <w:ind w:left="5106" w:hanging="360"/>
      </w:pPr>
      <w:rPr>
        <w:rFonts w:ascii="Symbol" w:hAnsi="Symbol" w:hint="default"/>
      </w:rPr>
    </w:lvl>
    <w:lvl w:ilvl="7" w:tplc="137CC6B0" w:tentative="1">
      <w:start w:val="1"/>
      <w:numFmt w:val="bullet"/>
      <w:lvlText w:val="o"/>
      <w:lvlJc w:val="left"/>
      <w:pPr>
        <w:tabs>
          <w:tab w:val="num" w:pos="5826"/>
        </w:tabs>
        <w:ind w:left="5826" w:hanging="360"/>
      </w:pPr>
      <w:rPr>
        <w:rFonts w:ascii="Courier New" w:hAnsi="Courier New" w:hint="default"/>
      </w:rPr>
    </w:lvl>
    <w:lvl w:ilvl="8" w:tplc="CDCA32C8" w:tentative="1">
      <w:start w:val="1"/>
      <w:numFmt w:val="bullet"/>
      <w:lvlText w:val=""/>
      <w:lvlJc w:val="left"/>
      <w:pPr>
        <w:tabs>
          <w:tab w:val="num" w:pos="6546"/>
        </w:tabs>
        <w:ind w:left="6546" w:hanging="360"/>
      </w:pPr>
      <w:rPr>
        <w:rFonts w:ascii="Wingdings" w:hAnsi="Wingdings" w:hint="default"/>
      </w:rPr>
    </w:lvl>
  </w:abstractNum>
  <w:abstractNum w:abstractNumId="6">
    <w:nsid w:val="769F02BC"/>
    <w:multiLevelType w:val="hybridMultilevel"/>
    <w:tmpl w:val="036EEDB8"/>
    <w:lvl w:ilvl="0" w:tplc="3D2AD3BE">
      <w:start w:val="1"/>
      <w:numFmt w:val="decimal"/>
      <w:pStyle w:val="Notetitle"/>
      <w:lvlText w:val="(%1)"/>
      <w:lvlJc w:val="left"/>
      <w:pPr>
        <w:tabs>
          <w:tab w:val="num" w:pos="734"/>
        </w:tabs>
        <w:ind w:left="734" w:hanging="450"/>
      </w:pPr>
      <w:rPr>
        <w:rFonts w:hint="default"/>
      </w:rPr>
    </w:lvl>
    <w:lvl w:ilvl="1" w:tplc="D88E8230">
      <w:start w:val="1"/>
      <w:numFmt w:val="lowerLetter"/>
      <w:lvlText w:val="%2."/>
      <w:lvlJc w:val="left"/>
      <w:pPr>
        <w:tabs>
          <w:tab w:val="num" w:pos="808"/>
        </w:tabs>
        <w:ind w:left="805" w:hanging="357"/>
      </w:pPr>
      <w:rPr>
        <w:rFonts w:hint="default"/>
      </w:rPr>
    </w:lvl>
    <w:lvl w:ilvl="2" w:tplc="07FCABAE">
      <w:start w:val="1"/>
      <w:numFmt w:val="decimal"/>
      <w:lvlText w:val="%3."/>
      <w:lvlJc w:val="left"/>
      <w:pPr>
        <w:tabs>
          <w:tab w:val="num" w:pos="1980"/>
        </w:tabs>
        <w:ind w:left="1980" w:hanging="360"/>
      </w:pPr>
      <w:rPr>
        <w:rFonts w:hint="default"/>
      </w:rPr>
    </w:lvl>
    <w:lvl w:ilvl="3" w:tplc="A27A9A26">
      <w:start w:val="18"/>
      <w:numFmt w:val="lowerLetter"/>
      <w:lvlText w:val="%4)"/>
      <w:lvlJc w:val="left"/>
      <w:pPr>
        <w:tabs>
          <w:tab w:val="num" w:pos="2520"/>
        </w:tabs>
        <w:ind w:left="2520" w:hanging="360"/>
      </w:pPr>
      <w:rPr>
        <w:rFonts w:hint="default"/>
      </w:rPr>
    </w:lvl>
    <w:lvl w:ilvl="4" w:tplc="1B0C08FE" w:tentative="1">
      <w:start w:val="1"/>
      <w:numFmt w:val="lowerLetter"/>
      <w:lvlText w:val="%5."/>
      <w:lvlJc w:val="left"/>
      <w:pPr>
        <w:tabs>
          <w:tab w:val="num" w:pos="3240"/>
        </w:tabs>
        <w:ind w:left="3240" w:hanging="360"/>
      </w:pPr>
    </w:lvl>
    <w:lvl w:ilvl="5" w:tplc="55DC3374" w:tentative="1">
      <w:start w:val="1"/>
      <w:numFmt w:val="lowerRoman"/>
      <w:lvlText w:val="%6."/>
      <w:lvlJc w:val="right"/>
      <w:pPr>
        <w:tabs>
          <w:tab w:val="num" w:pos="3960"/>
        </w:tabs>
        <w:ind w:left="3960" w:hanging="180"/>
      </w:pPr>
    </w:lvl>
    <w:lvl w:ilvl="6" w:tplc="6172BCDC" w:tentative="1">
      <w:start w:val="1"/>
      <w:numFmt w:val="decimal"/>
      <w:lvlText w:val="%7."/>
      <w:lvlJc w:val="left"/>
      <w:pPr>
        <w:tabs>
          <w:tab w:val="num" w:pos="4680"/>
        </w:tabs>
        <w:ind w:left="4680" w:hanging="360"/>
      </w:pPr>
    </w:lvl>
    <w:lvl w:ilvl="7" w:tplc="E1A8A574" w:tentative="1">
      <w:start w:val="1"/>
      <w:numFmt w:val="lowerLetter"/>
      <w:lvlText w:val="%8."/>
      <w:lvlJc w:val="left"/>
      <w:pPr>
        <w:tabs>
          <w:tab w:val="num" w:pos="5400"/>
        </w:tabs>
        <w:ind w:left="5400" w:hanging="360"/>
      </w:pPr>
    </w:lvl>
    <w:lvl w:ilvl="8" w:tplc="D8B4FB20" w:tentative="1">
      <w:start w:val="1"/>
      <w:numFmt w:val="lowerRoman"/>
      <w:lvlText w:val="%9."/>
      <w:lvlJc w:val="right"/>
      <w:pPr>
        <w:tabs>
          <w:tab w:val="num" w:pos="6120"/>
        </w:tabs>
        <w:ind w:left="6120" w:hanging="180"/>
      </w:pPr>
    </w:lvl>
  </w:abstractNum>
  <w:num w:numId="1">
    <w:abstractNumId w:val="6"/>
  </w:num>
  <w:num w:numId="2">
    <w:abstractNumId w:val="2"/>
  </w:num>
  <w:num w:numId="3">
    <w:abstractNumId w:val="5"/>
  </w:num>
  <w:num w:numId="4">
    <w:abstractNumId w:val="0"/>
  </w:num>
  <w:num w:numId="5">
    <w:abstractNumId w:val="4"/>
  </w:num>
  <w:num w:numId="6">
    <w:abstractNumId w:val="4"/>
  </w:num>
  <w:num w:numId="7">
    <w:abstractNumId w:val="3"/>
  </w:num>
  <w:num w:numId="8">
    <w:abstractNumId w:val="4"/>
  </w:num>
  <w:num w:numId="9">
    <w:abstractNumId w:val="6"/>
  </w:num>
  <w:num w:numId="10">
    <w:abstractNumId w:val="4"/>
  </w:num>
  <w:num w:numId="11">
    <w:abstractNumId w:val="6"/>
  </w:num>
  <w:num w:numId="12">
    <w:abstractNumId w:val="6"/>
  </w:num>
  <w:num w:numId="13">
    <w:abstractNumId w:val="6"/>
  </w:num>
  <w:num w:numId="14">
    <w:abstractNumId w:val="4"/>
  </w:num>
  <w:num w:numId="15">
    <w:abstractNumId w:val="4"/>
    <w:lvlOverride w:ilvl="0">
      <w:startOverride w:val="1"/>
    </w:lvlOverride>
    <w:lvlOverride w:ilvl="1">
      <w:startOverride w:val="1"/>
    </w:lvlOverride>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6"/>
  </w:num>
  <w:num w:numId="17">
    <w:abstractNumId w:val="4"/>
  </w:num>
  <w:num w:numId="18">
    <w:abstractNumId w:val="1"/>
  </w:num>
  <w:num w:numId="19">
    <w:abstractNumId w:val="4"/>
    <w:lvlOverride w:ilvl="0">
      <w:startOverride w:val="1"/>
    </w:lvlOverride>
    <w:lvlOverride w:ilvl="1">
      <w:startOverride w:val="1"/>
    </w:lvlOverride>
  </w:num>
  <w:num w:numId="20">
    <w:abstractNumId w:val="4"/>
    <w:lvlOverride w:ilvl="0">
      <w:startOverride w:val="1"/>
    </w:lvlOverride>
    <w:lvlOverride w:ilvl="1">
      <w:startOverride w:val="1"/>
    </w:lvlOverride>
  </w:num>
  <w:num w:numId="21">
    <w:abstractNumId w:val="4"/>
    <w:lvlOverride w:ilvl="0">
      <w:startOverride w:val="1"/>
    </w:lvlOverride>
    <w:lvlOverride w:ilvl="1">
      <w:startOverride w:val="1"/>
    </w:lvlOverride>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oNotTrackMoves/>
  <w:defaultTabStop w:val="708"/>
  <w:hyphenationZone w:val="425"/>
  <w:displayHorizontalDrawingGridEvery w:val="0"/>
  <w:displayVerticalDrawingGridEvery w:val="0"/>
  <w:doNotUseMarginsForDrawingGridOrigin/>
  <w:noPunctuationKerning/>
  <w:characterSpacingControl w:val="doNotCompress"/>
  <w:footnotePr>
    <w:footnote w:id="0"/>
    <w:footnote w:id="1"/>
  </w:footnotePr>
  <w:endnotePr>
    <w:endnote w:id="0"/>
    <w:endnote w:id="1"/>
  </w:endnotePr>
  <w:compat>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055338"/>
    <w:rsid w:val="00055338"/>
    <w:rsid w:val="00081A04"/>
    <w:rsid w:val="00102DA4"/>
    <w:rsid w:val="001276E7"/>
    <w:rsid w:val="001B569F"/>
    <w:rsid w:val="002C566F"/>
    <w:rsid w:val="003A6E78"/>
    <w:rsid w:val="00504161"/>
    <w:rsid w:val="0063227C"/>
    <w:rsid w:val="006420E0"/>
    <w:rsid w:val="006E6055"/>
    <w:rsid w:val="0078248C"/>
    <w:rsid w:val="008345B8"/>
    <w:rsid w:val="0085798A"/>
    <w:rsid w:val="009A0ACA"/>
    <w:rsid w:val="00A51305"/>
    <w:rsid w:val="00AD6A88"/>
    <w:rsid w:val="00AF6333"/>
    <w:rsid w:val="00B31B3D"/>
    <w:rsid w:val="00B94EF3"/>
    <w:rsid w:val="00D12B99"/>
    <w:rsid w:val="00D3372F"/>
    <w:rsid w:val="00DF6861"/>
    <w:rsid w:val="00EC54A5"/>
    <w:rsid w:val="00F146C1"/>
  </w:rsids>
  <m:mathPr>
    <m:mathFont m:val="Cambria Math"/>
    <m:brkBin m:val="before"/>
    <m:brkBinSub m:val="--"/>
    <m:smallFrac m:val="off"/>
    <m:dispDef/>
    <m:lMargin m:val="0"/>
    <m:rMargin m:val="0"/>
    <m:defJc m:val="centerGroup"/>
    <m:wrapIndent m:val="1440"/>
    <m:intLim m:val="subSup"/>
    <m:naryLim m:val="undOvr"/>
  </m:mathPr>
  <w:uiCompat97To2003/>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D3372F"/>
    <w:pPr>
      <w:spacing w:before="60" w:after="60"/>
      <w:jc w:val="both"/>
    </w:pPr>
    <w:rPr>
      <w:rFonts w:ascii="Arial" w:hAnsi="Arial"/>
      <w:sz w:val="24"/>
    </w:rPr>
  </w:style>
  <w:style w:type="paragraph" w:styleId="Nadpis1">
    <w:name w:val="heading 1"/>
    <w:basedOn w:val="Normlny"/>
    <w:next w:val="Normlny"/>
    <w:qFormat/>
    <w:rsid w:val="00D3372F"/>
    <w:pPr>
      <w:keepNext/>
      <w:spacing w:before="0" w:after="0"/>
      <w:jc w:val="left"/>
      <w:outlineLvl w:val="0"/>
    </w:pPr>
    <w:rPr>
      <w:rFonts w:cs="Arial"/>
      <w:b/>
      <w:bCs/>
      <w:sz w:val="16"/>
    </w:rPr>
  </w:style>
  <w:style w:type="paragraph" w:styleId="Nadpis2">
    <w:name w:val="heading 2"/>
    <w:basedOn w:val="Normlny"/>
    <w:next w:val="Normlny"/>
    <w:qFormat/>
    <w:rsid w:val="00D3372F"/>
    <w:pPr>
      <w:keepNext/>
      <w:spacing w:before="240"/>
      <w:outlineLvl w:val="1"/>
    </w:pPr>
    <w:rPr>
      <w:rFonts w:cs="Arial"/>
      <w:b/>
      <w:bCs/>
      <w:i/>
      <w:iCs/>
      <w:sz w:val="28"/>
      <w:szCs w:val="28"/>
    </w:rPr>
  </w:style>
  <w:style w:type="paragraph" w:styleId="Nadpis3">
    <w:name w:val="heading 3"/>
    <w:basedOn w:val="Normlny"/>
    <w:next w:val="Normlny"/>
    <w:qFormat/>
    <w:rsid w:val="00D3372F"/>
    <w:pPr>
      <w:keepNext/>
      <w:spacing w:before="240"/>
      <w:outlineLvl w:val="2"/>
    </w:pPr>
    <w:rPr>
      <w:rFonts w:cs="Arial"/>
      <w:b/>
      <w:bCs/>
      <w:sz w:val="26"/>
      <w:szCs w:val="26"/>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customStyle="1" w:styleId="FootnotesTitle">
    <w:name w:val="Footnotes Title"/>
    <w:basedOn w:val="Normlny"/>
    <w:rsid w:val="00D3372F"/>
    <w:pPr>
      <w:widowControl w:val="0"/>
      <w:spacing w:before="0" w:after="0"/>
      <w:jc w:val="center"/>
    </w:pPr>
    <w:rPr>
      <w:b/>
      <w:snapToGrid w:val="0"/>
      <w:sz w:val="22"/>
      <w:lang w:val="en-GB" w:eastAsia="en-US"/>
    </w:rPr>
  </w:style>
  <w:style w:type="paragraph" w:customStyle="1" w:styleId="CurrencyNote">
    <w:name w:val="Currency Note"/>
    <w:basedOn w:val="Normlny"/>
    <w:rsid w:val="00D3372F"/>
    <w:pPr>
      <w:widowControl w:val="0"/>
      <w:spacing w:before="0" w:after="120"/>
      <w:jc w:val="center"/>
    </w:pPr>
    <w:rPr>
      <w:snapToGrid w:val="0"/>
      <w:sz w:val="16"/>
      <w:lang w:val="en-GB" w:eastAsia="en-US"/>
    </w:rPr>
  </w:style>
  <w:style w:type="paragraph" w:customStyle="1" w:styleId="Notetitle">
    <w:name w:val="Note title"/>
    <w:basedOn w:val="Normlny"/>
    <w:next w:val="Notetext"/>
    <w:rsid w:val="00D3372F"/>
    <w:pPr>
      <w:keepNext/>
      <w:numPr>
        <w:numId w:val="1"/>
      </w:numPr>
      <w:tabs>
        <w:tab w:val="left" w:pos="119"/>
      </w:tabs>
      <w:spacing w:before="360" w:after="240"/>
      <w:ind w:right="1418"/>
      <w:jc w:val="left"/>
    </w:pPr>
    <w:rPr>
      <w:b/>
      <w:caps/>
      <w:sz w:val="20"/>
      <w:lang w:eastAsia="en-US"/>
    </w:rPr>
  </w:style>
  <w:style w:type="paragraph" w:customStyle="1" w:styleId="Notetext">
    <w:name w:val="Note text"/>
    <w:basedOn w:val="Normlny"/>
    <w:rsid w:val="00D3372F"/>
    <w:pPr>
      <w:widowControl w:val="0"/>
      <w:spacing w:before="0" w:after="240"/>
      <w:ind w:left="448"/>
    </w:pPr>
    <w:rPr>
      <w:snapToGrid w:val="0"/>
      <w:sz w:val="18"/>
      <w:lang w:eastAsia="en-US"/>
    </w:rPr>
  </w:style>
  <w:style w:type="paragraph" w:customStyle="1" w:styleId="TableFirstLine">
    <w:name w:val="Table First Line"/>
    <w:basedOn w:val="Normlny"/>
    <w:rsid w:val="00D3372F"/>
    <w:pPr>
      <w:widowControl w:val="0"/>
      <w:tabs>
        <w:tab w:val="right" w:pos="828"/>
      </w:tabs>
      <w:spacing w:after="0"/>
      <w:jc w:val="left"/>
    </w:pPr>
    <w:rPr>
      <w:snapToGrid w:val="0"/>
      <w:sz w:val="18"/>
      <w:lang w:eastAsia="en-US"/>
    </w:rPr>
  </w:style>
  <w:style w:type="paragraph" w:customStyle="1" w:styleId="Tablemiddleline">
    <w:name w:val="Table middle line"/>
    <w:basedOn w:val="Normlny"/>
    <w:rsid w:val="00D3372F"/>
    <w:pPr>
      <w:widowControl w:val="0"/>
      <w:spacing w:before="0" w:after="0"/>
      <w:jc w:val="left"/>
    </w:pPr>
    <w:rPr>
      <w:snapToGrid w:val="0"/>
      <w:sz w:val="18"/>
      <w:lang w:eastAsia="en-US"/>
    </w:rPr>
  </w:style>
  <w:style w:type="paragraph" w:customStyle="1" w:styleId="lettertitle">
    <w:name w:val="letter title"/>
    <w:basedOn w:val="Normlny"/>
    <w:rsid w:val="00D3372F"/>
    <w:pPr>
      <w:widowControl w:val="0"/>
      <w:numPr>
        <w:numId w:val="2"/>
      </w:numPr>
      <w:tabs>
        <w:tab w:val="left" w:pos="720"/>
        <w:tab w:val="left" w:pos="2430"/>
        <w:tab w:val="left" w:pos="7380"/>
        <w:tab w:val="left" w:pos="7740"/>
      </w:tabs>
      <w:spacing w:before="120" w:after="240"/>
      <w:ind w:right="-180"/>
      <w:jc w:val="left"/>
    </w:pPr>
    <w:rPr>
      <w:b/>
      <w:sz w:val="20"/>
      <w:lang w:eastAsia="en-US"/>
    </w:rPr>
  </w:style>
  <w:style w:type="paragraph" w:customStyle="1" w:styleId="Tableheader">
    <w:name w:val="Table header"/>
    <w:basedOn w:val="Notetext"/>
    <w:rsid w:val="00D3372F"/>
    <w:pPr>
      <w:spacing w:before="60" w:after="60"/>
      <w:ind w:left="0"/>
      <w:jc w:val="center"/>
    </w:pPr>
    <w:rPr>
      <w:b/>
    </w:rPr>
  </w:style>
  <w:style w:type="paragraph" w:customStyle="1" w:styleId="Comment">
    <w:name w:val="Comment"/>
    <w:basedOn w:val="Notetext"/>
    <w:next w:val="Notetext"/>
    <w:rsid w:val="00D3372F"/>
    <w:rPr>
      <w:i/>
      <w:iCs/>
    </w:rPr>
  </w:style>
  <w:style w:type="paragraph" w:customStyle="1" w:styleId="Lettertext">
    <w:name w:val="Letter text"/>
    <w:basedOn w:val="Normlny"/>
    <w:rsid w:val="00D3372F"/>
    <w:pPr>
      <w:widowControl w:val="0"/>
      <w:spacing w:before="0" w:after="240"/>
      <w:ind w:left="720"/>
    </w:pPr>
    <w:rPr>
      <w:snapToGrid w:val="0"/>
      <w:sz w:val="20"/>
      <w:lang w:eastAsia="en-US"/>
    </w:rPr>
  </w:style>
  <w:style w:type="paragraph" w:styleId="Hlavika">
    <w:name w:val="header"/>
    <w:basedOn w:val="Normlny"/>
    <w:semiHidden/>
    <w:rsid w:val="00D3372F"/>
    <w:pPr>
      <w:tabs>
        <w:tab w:val="center" w:pos="4536"/>
        <w:tab w:val="right" w:pos="9072"/>
      </w:tabs>
    </w:pPr>
  </w:style>
  <w:style w:type="paragraph" w:customStyle="1" w:styleId="Tablelastline">
    <w:name w:val="Table last line"/>
    <w:basedOn w:val="Tablemiddleline"/>
    <w:rsid w:val="00D3372F"/>
    <w:pPr>
      <w:spacing w:after="60"/>
    </w:pPr>
  </w:style>
  <w:style w:type="paragraph" w:customStyle="1" w:styleId="TableNote">
    <w:name w:val="Table Note"/>
    <w:basedOn w:val="Comment"/>
    <w:next w:val="Notetext"/>
    <w:rsid w:val="00D3372F"/>
    <w:pPr>
      <w:spacing w:after="0"/>
    </w:pPr>
    <w:rPr>
      <w:sz w:val="16"/>
    </w:rPr>
  </w:style>
  <w:style w:type="paragraph" w:styleId="Pta">
    <w:name w:val="footer"/>
    <w:basedOn w:val="Normlny"/>
    <w:semiHidden/>
    <w:rsid w:val="00D3372F"/>
    <w:pPr>
      <w:tabs>
        <w:tab w:val="center" w:pos="4536"/>
        <w:tab w:val="right" w:pos="9072"/>
      </w:tabs>
    </w:pPr>
  </w:style>
  <w:style w:type="character" w:styleId="slostrany">
    <w:name w:val="page number"/>
    <w:basedOn w:val="Predvolenpsmoodseku"/>
    <w:semiHidden/>
    <w:rsid w:val="00D3372F"/>
  </w:style>
  <w:style w:type="paragraph" w:styleId="Obsah1">
    <w:name w:val="toc 1"/>
    <w:basedOn w:val="Notetext"/>
    <w:next w:val="Normlny"/>
    <w:autoRedefine/>
    <w:semiHidden/>
    <w:rsid w:val="00D3372F"/>
    <w:pPr>
      <w:widowControl/>
      <w:tabs>
        <w:tab w:val="left" w:pos="708"/>
        <w:tab w:val="right" w:leader="dot" w:pos="9017"/>
      </w:tabs>
      <w:spacing w:before="60" w:after="60"/>
      <w:ind w:left="0"/>
      <w:jc w:val="left"/>
    </w:pPr>
    <w:rPr>
      <w:rFonts w:cs="Arial"/>
      <w:bCs/>
      <w:caps/>
      <w:noProof/>
      <w:snapToGrid/>
      <w:sz w:val="20"/>
      <w:szCs w:val="28"/>
      <w:lang w:eastAsia="sk-SK"/>
    </w:rPr>
  </w:style>
  <w:style w:type="paragraph" w:customStyle="1" w:styleId="Notesubtitle">
    <w:name w:val="Note subtitle"/>
    <w:basedOn w:val="Notetext"/>
    <w:next w:val="Notetext"/>
    <w:autoRedefine/>
    <w:rsid w:val="00D3372F"/>
    <w:pPr>
      <w:numPr>
        <w:ilvl w:val="1"/>
        <w:numId w:val="6"/>
      </w:numPr>
      <w:tabs>
        <w:tab w:val="left" w:pos="993"/>
      </w:tabs>
      <w:spacing w:before="240" w:after="120"/>
    </w:pPr>
    <w:rPr>
      <w:b/>
      <w:bCs/>
      <w:sz w:val="20"/>
    </w:rPr>
  </w:style>
  <w:style w:type="paragraph" w:styleId="Obsah2">
    <w:name w:val="toc 2"/>
    <w:basedOn w:val="Normlny"/>
    <w:next w:val="Normlny"/>
    <w:autoRedefine/>
    <w:semiHidden/>
    <w:rsid w:val="00D3372F"/>
    <w:pPr>
      <w:tabs>
        <w:tab w:val="left" w:pos="1200"/>
        <w:tab w:val="right" w:leader="dot" w:pos="9017"/>
      </w:tabs>
      <w:spacing w:after="0"/>
      <w:ind w:left="708"/>
      <w:jc w:val="left"/>
    </w:pPr>
    <w:rPr>
      <w:bCs/>
      <w:noProof/>
      <w:sz w:val="18"/>
      <w:szCs w:val="24"/>
    </w:rPr>
  </w:style>
  <w:style w:type="paragraph" w:styleId="Obsah3">
    <w:name w:val="toc 3"/>
    <w:basedOn w:val="Normlny"/>
    <w:next w:val="Normlny"/>
    <w:autoRedefine/>
    <w:semiHidden/>
    <w:rsid w:val="00D3372F"/>
    <w:pPr>
      <w:spacing w:before="0" w:after="0"/>
      <w:ind w:left="240"/>
      <w:jc w:val="left"/>
    </w:pPr>
    <w:rPr>
      <w:rFonts w:ascii="Times New Roman" w:hAnsi="Times New Roman"/>
      <w:szCs w:val="24"/>
    </w:rPr>
  </w:style>
  <w:style w:type="paragraph" w:styleId="Obsah4">
    <w:name w:val="toc 4"/>
    <w:basedOn w:val="Normlny"/>
    <w:next w:val="Normlny"/>
    <w:autoRedefine/>
    <w:semiHidden/>
    <w:rsid w:val="00D3372F"/>
    <w:pPr>
      <w:spacing w:before="0" w:after="0"/>
      <w:ind w:left="480"/>
      <w:jc w:val="left"/>
    </w:pPr>
    <w:rPr>
      <w:rFonts w:ascii="Times New Roman" w:hAnsi="Times New Roman"/>
      <w:szCs w:val="24"/>
    </w:rPr>
  </w:style>
  <w:style w:type="paragraph" w:styleId="Obsah5">
    <w:name w:val="toc 5"/>
    <w:basedOn w:val="Normlny"/>
    <w:next w:val="Normlny"/>
    <w:autoRedefine/>
    <w:semiHidden/>
    <w:rsid w:val="00D3372F"/>
    <w:pPr>
      <w:spacing w:before="0" w:after="0"/>
      <w:ind w:left="720"/>
      <w:jc w:val="left"/>
    </w:pPr>
    <w:rPr>
      <w:rFonts w:ascii="Times New Roman" w:hAnsi="Times New Roman"/>
      <w:szCs w:val="24"/>
    </w:rPr>
  </w:style>
  <w:style w:type="paragraph" w:styleId="Obsah6">
    <w:name w:val="toc 6"/>
    <w:basedOn w:val="Normlny"/>
    <w:next w:val="Normlny"/>
    <w:autoRedefine/>
    <w:semiHidden/>
    <w:rsid w:val="00D3372F"/>
    <w:pPr>
      <w:spacing w:before="0" w:after="0"/>
      <w:ind w:left="960"/>
      <w:jc w:val="left"/>
    </w:pPr>
    <w:rPr>
      <w:rFonts w:ascii="Times New Roman" w:hAnsi="Times New Roman"/>
      <w:szCs w:val="24"/>
    </w:rPr>
  </w:style>
  <w:style w:type="paragraph" w:styleId="Obsah7">
    <w:name w:val="toc 7"/>
    <w:basedOn w:val="Normlny"/>
    <w:next w:val="Normlny"/>
    <w:autoRedefine/>
    <w:semiHidden/>
    <w:rsid w:val="00D3372F"/>
    <w:pPr>
      <w:spacing w:before="0" w:after="0"/>
      <w:ind w:left="1200"/>
      <w:jc w:val="left"/>
    </w:pPr>
    <w:rPr>
      <w:rFonts w:ascii="Times New Roman" w:hAnsi="Times New Roman"/>
      <w:szCs w:val="24"/>
    </w:rPr>
  </w:style>
  <w:style w:type="paragraph" w:styleId="Obsah8">
    <w:name w:val="toc 8"/>
    <w:basedOn w:val="Normlny"/>
    <w:next w:val="Normlny"/>
    <w:autoRedefine/>
    <w:semiHidden/>
    <w:rsid w:val="00D3372F"/>
    <w:pPr>
      <w:spacing w:before="0" w:after="0"/>
      <w:ind w:left="1440"/>
      <w:jc w:val="left"/>
    </w:pPr>
    <w:rPr>
      <w:rFonts w:ascii="Times New Roman" w:hAnsi="Times New Roman"/>
      <w:szCs w:val="24"/>
    </w:rPr>
  </w:style>
  <w:style w:type="paragraph" w:styleId="Obsah9">
    <w:name w:val="toc 9"/>
    <w:basedOn w:val="Normlny"/>
    <w:next w:val="Normlny"/>
    <w:autoRedefine/>
    <w:semiHidden/>
    <w:rsid w:val="00D3372F"/>
    <w:pPr>
      <w:spacing w:before="0" w:after="0"/>
      <w:ind w:left="1680"/>
      <w:jc w:val="left"/>
    </w:pPr>
    <w:rPr>
      <w:rFonts w:ascii="Times New Roman" w:hAnsi="Times New Roman"/>
      <w:szCs w:val="24"/>
    </w:rPr>
  </w:style>
  <w:style w:type="character" w:styleId="Hypertextovprepojenie">
    <w:name w:val="Hyperlink"/>
    <w:semiHidden/>
    <w:rsid w:val="00D3372F"/>
    <w:rPr>
      <w:rFonts w:ascii="Arial" w:hAnsi="Arial"/>
      <w:color w:val="auto"/>
      <w:sz w:val="22"/>
      <w:u w:val="single"/>
    </w:rPr>
  </w:style>
  <w:style w:type="paragraph" w:customStyle="1" w:styleId="NotetextIndent">
    <w:name w:val="Note text Indent"/>
    <w:basedOn w:val="Normlny"/>
    <w:autoRedefine/>
    <w:rsid w:val="00D3372F"/>
    <w:pPr>
      <w:widowControl w:val="0"/>
      <w:spacing w:before="0" w:after="120"/>
      <w:ind w:left="720" w:hanging="270"/>
    </w:pPr>
    <w:rPr>
      <w:snapToGrid w:val="0"/>
      <w:sz w:val="18"/>
      <w:lang w:eastAsia="en-US"/>
    </w:rPr>
  </w:style>
  <w:style w:type="paragraph" w:styleId="Zoznamsodrkami2">
    <w:name w:val="List Bullet 2"/>
    <w:basedOn w:val="Normlny"/>
    <w:semiHidden/>
    <w:rsid w:val="00D3372F"/>
    <w:pPr>
      <w:numPr>
        <w:numId w:val="4"/>
      </w:numPr>
      <w:tabs>
        <w:tab w:val="clear" w:pos="643"/>
        <w:tab w:val="left" w:pos="227"/>
        <w:tab w:val="left" w:pos="454"/>
        <w:tab w:val="left" w:pos="567"/>
        <w:tab w:val="left" w:pos="680"/>
        <w:tab w:val="left" w:pos="907"/>
        <w:tab w:val="left" w:pos="1644"/>
        <w:tab w:val="left" w:pos="1871"/>
        <w:tab w:val="left" w:pos="2580"/>
        <w:tab w:val="left" w:pos="2807"/>
        <w:tab w:val="left" w:pos="3515"/>
        <w:tab w:val="left" w:pos="3742"/>
        <w:tab w:val="left" w:pos="4451"/>
        <w:tab w:val="left" w:pos="4678"/>
        <w:tab w:val="left" w:pos="5387"/>
        <w:tab w:val="left" w:pos="5613"/>
        <w:tab w:val="left" w:pos="6322"/>
        <w:tab w:val="left" w:pos="6549"/>
      </w:tabs>
      <w:spacing w:before="0" w:after="0" w:line="240" w:lineRule="atLeast"/>
      <w:ind w:left="851" w:hanging="284"/>
      <w:jc w:val="left"/>
    </w:pPr>
    <w:rPr>
      <w:sz w:val="18"/>
      <w:lang w:val="en-US" w:eastAsia="en-US"/>
    </w:rPr>
  </w:style>
  <w:style w:type="paragraph" w:customStyle="1" w:styleId="TableLastLine0">
    <w:name w:val="Table Last Line"/>
    <w:basedOn w:val="Normlny"/>
    <w:rsid w:val="00D3372F"/>
    <w:pPr>
      <w:widowControl w:val="0"/>
      <w:spacing w:before="0"/>
      <w:ind w:right="72"/>
      <w:jc w:val="left"/>
    </w:pPr>
    <w:rPr>
      <w:snapToGrid w:val="0"/>
      <w:sz w:val="14"/>
      <w:lang w:val="en-GB" w:eastAsia="en-US"/>
    </w:rPr>
  </w:style>
  <w:style w:type="paragraph" w:styleId="Zkladntext">
    <w:name w:val="Body Text"/>
    <w:basedOn w:val="Normlny"/>
    <w:semiHidden/>
    <w:rsid w:val="00D3372F"/>
    <w:pPr>
      <w:spacing w:before="0" w:after="0"/>
      <w:ind w:left="426"/>
    </w:pPr>
    <w:rPr>
      <w:rFonts w:ascii="Times New Roman" w:hAnsi="Times New Roman"/>
      <w:sz w:val="18"/>
      <w:lang w:eastAsia="en-US"/>
    </w:rPr>
  </w:style>
  <w:style w:type="paragraph" w:styleId="truktradokumentu">
    <w:name w:val="Document Map"/>
    <w:basedOn w:val="Normlny"/>
    <w:semiHidden/>
    <w:rsid w:val="00D3372F"/>
    <w:pPr>
      <w:shd w:val="clear" w:color="auto" w:fill="000080"/>
    </w:pPr>
    <w:rPr>
      <w:rFonts w:ascii="Tahoma" w:hAnsi="Tahoma"/>
    </w:rPr>
  </w:style>
  <w:style w:type="paragraph" w:customStyle="1" w:styleId="Pismenka">
    <w:name w:val="Pismenka"/>
    <w:basedOn w:val="Zkladntext"/>
    <w:rsid w:val="00D3372F"/>
    <w:pPr>
      <w:tabs>
        <w:tab w:val="num" w:pos="426"/>
      </w:tabs>
      <w:ind w:hanging="426"/>
    </w:pPr>
    <w:rPr>
      <w:b/>
    </w:rPr>
  </w:style>
  <w:style w:type="character" w:styleId="PouitHypertextovPrepojenie">
    <w:name w:val="FollowedHyperlink"/>
    <w:semiHidden/>
    <w:rsid w:val="00D3372F"/>
    <w:rPr>
      <w:color w:val="800080"/>
      <w:u w:val="single"/>
    </w:rPr>
  </w:style>
  <w:style w:type="paragraph" w:styleId="Textbubliny">
    <w:name w:val="Balloon Text"/>
    <w:basedOn w:val="Normlny"/>
    <w:semiHidden/>
    <w:rsid w:val="00D3372F"/>
    <w:rPr>
      <w:rFonts w:ascii="Tahoma" w:hAnsi="Tahoma" w:cs="Tahoma"/>
      <w:sz w:val="16"/>
      <w:szCs w:val="16"/>
    </w:rPr>
  </w:style>
  <w:style w:type="paragraph" w:customStyle="1" w:styleId="Predmetkomentra1">
    <w:name w:val="Predmet komentára1"/>
    <w:basedOn w:val="Textkomentra"/>
    <w:next w:val="Textkomentra"/>
    <w:semiHidden/>
    <w:rsid w:val="00D3372F"/>
    <w:rPr>
      <w:b/>
      <w:bCs/>
    </w:rPr>
  </w:style>
  <w:style w:type="paragraph" w:styleId="Textkomentra">
    <w:name w:val="annotation text"/>
    <w:basedOn w:val="Normlny"/>
    <w:semiHidden/>
    <w:rsid w:val="00D3372F"/>
    <w:pPr>
      <w:spacing w:before="0" w:after="0"/>
      <w:jc w:val="left"/>
    </w:pPr>
    <w:rPr>
      <w:rFonts w:ascii="Times New Roman" w:hAnsi="Times New Roman"/>
      <w:sz w:val="20"/>
      <w:lang w:val="cs-CZ" w:eastAsia="cs-CZ"/>
    </w:rPr>
  </w:style>
  <w:style w:type="paragraph" w:customStyle="1" w:styleId="TopHeader">
    <w:name w:val="Top Header"/>
    <w:basedOn w:val="Normlny"/>
    <w:rsid w:val="00D3372F"/>
    <w:pPr>
      <w:spacing w:before="0" w:after="0"/>
      <w:jc w:val="center"/>
    </w:pPr>
    <w:rPr>
      <w:rFonts w:ascii="Arial Narrow" w:hAnsi="Arial Narrow"/>
      <w:b/>
      <w:bCs/>
      <w:sz w:val="22"/>
      <w:szCs w:val="22"/>
      <w:lang w:eastAsia="en-US"/>
    </w:rPr>
  </w:style>
  <w:style w:type="paragraph" w:styleId="Nzov">
    <w:name w:val="Title"/>
    <w:basedOn w:val="Normlny"/>
    <w:next w:val="Normlny"/>
    <w:qFormat/>
    <w:rsid w:val="00D3372F"/>
    <w:pPr>
      <w:keepNext/>
      <w:spacing w:before="100" w:beforeAutospacing="1" w:after="220"/>
      <w:jc w:val="center"/>
      <w:outlineLvl w:val="0"/>
    </w:pPr>
    <w:rPr>
      <w:rFonts w:ascii="Arial Narrow" w:hAnsi="Arial Narrow"/>
      <w:b/>
      <w:bCs/>
      <w:kern w:val="28"/>
      <w:sz w:val="22"/>
      <w:szCs w:val="32"/>
      <w:lang w:eastAsia="en-US"/>
    </w:rPr>
  </w:style>
  <w:style w:type="character" w:customStyle="1" w:styleId="ra">
    <w:name w:val="ra"/>
    <w:basedOn w:val="Predvolenpsmoodseku"/>
    <w:rsid w:val="00D3372F"/>
  </w:style>
  <w:style w:type="paragraph" w:styleId="Zarkazkladnhotextu">
    <w:name w:val="Body Text Indent"/>
    <w:basedOn w:val="Normlny"/>
    <w:semiHidden/>
    <w:rsid w:val="00D3372F"/>
    <w:pPr>
      <w:autoSpaceDE w:val="0"/>
      <w:autoSpaceDN w:val="0"/>
      <w:adjustRightInd w:val="0"/>
      <w:spacing w:before="0" w:after="0"/>
      <w:ind w:left="426"/>
    </w:pPr>
    <w:rPr>
      <w:rFonts w:cs="Arial"/>
      <w:color w:val="000000"/>
      <w:sz w:val="20"/>
    </w:rPr>
  </w:style>
  <w:style w:type="paragraph" w:styleId="Obyajntext">
    <w:name w:val="Plain Text"/>
    <w:basedOn w:val="Normlny"/>
    <w:semiHidden/>
    <w:unhideWhenUsed/>
    <w:rsid w:val="00D3372F"/>
    <w:pPr>
      <w:spacing w:before="0" w:after="0"/>
      <w:jc w:val="left"/>
    </w:pPr>
    <w:rPr>
      <w:rFonts w:ascii="Calibri" w:eastAsia="Calibri" w:hAnsi="Calibri" w:cs="Consolas"/>
      <w:sz w:val="22"/>
      <w:szCs w:val="21"/>
      <w:lang w:eastAsia="en-US"/>
    </w:rPr>
  </w:style>
  <w:style w:type="character" w:customStyle="1" w:styleId="ObyajntextChar">
    <w:name w:val="Obyčajný text Char"/>
    <w:semiHidden/>
    <w:rsid w:val="00D3372F"/>
    <w:rPr>
      <w:rFonts w:ascii="Calibri" w:eastAsia="Calibri" w:hAnsi="Calibri" w:cs="Consolas"/>
      <w:sz w:val="22"/>
      <w:szCs w:val="21"/>
      <w:lang w:eastAsia="en-US"/>
    </w:rPr>
  </w:style>
  <w:style w:type="character" w:customStyle="1" w:styleId="WW-Absatz-Standardschriftart">
    <w:name w:val="WW-Absatz-Standardschriftart"/>
    <w:rsid w:val="00D3372F"/>
  </w:style>
</w:styles>
</file>

<file path=word/webSettings.xml><?xml version="1.0" encoding="utf-8"?>
<w:webSettings xmlns:r="http://schemas.openxmlformats.org/officeDocument/2006/relationships" xmlns:w="http://schemas.openxmlformats.org/wordprocessingml/2006/main">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oleObject" Target="embeddings/Pracovn__h_rok_programu_Microsoft_Office_Excel_97-20032.xls"/><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image" Target="media/image2.emf"/><Relationship Id="rId4" Type="http://schemas.openxmlformats.org/officeDocument/2006/relationships/settings" Target="settings.xml"/><Relationship Id="rId9" Type="http://schemas.openxmlformats.org/officeDocument/2006/relationships/oleObject" Target="embeddings/Pracovn__h_rok_programu_Microsoft_Office_Excel_97-20031.xls"/><Relationship Id="rId14" Type="http://schemas.openxmlformats.org/officeDocument/2006/relationships/fontTable" Target="fontTable.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E5C00BE-E71F-40D1-9683-4DEA22036C2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9</Pages>
  <Words>2551</Words>
  <Characters>18779</Characters>
  <Application>Microsoft Office Word</Application>
  <DocSecurity>0</DocSecurity>
  <Lines>156</Lines>
  <Paragraphs>42</Paragraphs>
  <ScaleCrop>false</ScaleCrop>
  <HeadingPairs>
    <vt:vector size="4" baseType="variant">
      <vt:variant>
        <vt:lpstr>Název</vt:lpstr>
      </vt:variant>
      <vt:variant>
        <vt:i4>1</vt:i4>
      </vt:variant>
      <vt:variant>
        <vt:lpstr>Názov</vt:lpstr>
      </vt:variant>
      <vt:variant>
        <vt:i4>1</vt:i4>
      </vt:variant>
    </vt:vector>
  </HeadingPairs>
  <TitlesOfParts>
    <vt:vector size="2" baseType="lpstr">
      <vt:lpstr>POZNÁMKY</vt:lpstr>
      <vt:lpstr>POZNÁMKY</vt:lpstr>
    </vt:vector>
  </TitlesOfParts>
  <Company>Hewlett-Packard Company</Company>
  <LinksUpToDate>false</LinksUpToDate>
  <CharactersWithSpaces>21288</CharactersWithSpaces>
  <SharedDoc>false</SharedDoc>
  <HLinks>
    <vt:vector size="192" baseType="variant">
      <vt:variant>
        <vt:i4>1441841</vt:i4>
      </vt:variant>
      <vt:variant>
        <vt:i4>194</vt:i4>
      </vt:variant>
      <vt:variant>
        <vt:i4>0</vt:i4>
      </vt:variant>
      <vt:variant>
        <vt:i4>5</vt:i4>
      </vt:variant>
      <vt:variant>
        <vt:lpwstr/>
      </vt:variant>
      <vt:variant>
        <vt:lpwstr>_Toc464644554</vt:lpwstr>
      </vt:variant>
      <vt:variant>
        <vt:i4>1441841</vt:i4>
      </vt:variant>
      <vt:variant>
        <vt:i4>188</vt:i4>
      </vt:variant>
      <vt:variant>
        <vt:i4>0</vt:i4>
      </vt:variant>
      <vt:variant>
        <vt:i4>5</vt:i4>
      </vt:variant>
      <vt:variant>
        <vt:lpwstr/>
      </vt:variant>
      <vt:variant>
        <vt:lpwstr>_Toc464644553</vt:lpwstr>
      </vt:variant>
      <vt:variant>
        <vt:i4>1441841</vt:i4>
      </vt:variant>
      <vt:variant>
        <vt:i4>182</vt:i4>
      </vt:variant>
      <vt:variant>
        <vt:i4>0</vt:i4>
      </vt:variant>
      <vt:variant>
        <vt:i4>5</vt:i4>
      </vt:variant>
      <vt:variant>
        <vt:lpwstr/>
      </vt:variant>
      <vt:variant>
        <vt:lpwstr>_Toc464644552</vt:lpwstr>
      </vt:variant>
      <vt:variant>
        <vt:i4>1441841</vt:i4>
      </vt:variant>
      <vt:variant>
        <vt:i4>176</vt:i4>
      </vt:variant>
      <vt:variant>
        <vt:i4>0</vt:i4>
      </vt:variant>
      <vt:variant>
        <vt:i4>5</vt:i4>
      </vt:variant>
      <vt:variant>
        <vt:lpwstr/>
      </vt:variant>
      <vt:variant>
        <vt:lpwstr>_Toc464644551</vt:lpwstr>
      </vt:variant>
      <vt:variant>
        <vt:i4>1441841</vt:i4>
      </vt:variant>
      <vt:variant>
        <vt:i4>170</vt:i4>
      </vt:variant>
      <vt:variant>
        <vt:i4>0</vt:i4>
      </vt:variant>
      <vt:variant>
        <vt:i4>5</vt:i4>
      </vt:variant>
      <vt:variant>
        <vt:lpwstr/>
      </vt:variant>
      <vt:variant>
        <vt:lpwstr>_Toc464644550</vt:lpwstr>
      </vt:variant>
      <vt:variant>
        <vt:i4>1507377</vt:i4>
      </vt:variant>
      <vt:variant>
        <vt:i4>164</vt:i4>
      </vt:variant>
      <vt:variant>
        <vt:i4>0</vt:i4>
      </vt:variant>
      <vt:variant>
        <vt:i4>5</vt:i4>
      </vt:variant>
      <vt:variant>
        <vt:lpwstr/>
      </vt:variant>
      <vt:variant>
        <vt:lpwstr>_Toc464644549</vt:lpwstr>
      </vt:variant>
      <vt:variant>
        <vt:i4>1507377</vt:i4>
      </vt:variant>
      <vt:variant>
        <vt:i4>158</vt:i4>
      </vt:variant>
      <vt:variant>
        <vt:i4>0</vt:i4>
      </vt:variant>
      <vt:variant>
        <vt:i4>5</vt:i4>
      </vt:variant>
      <vt:variant>
        <vt:lpwstr/>
      </vt:variant>
      <vt:variant>
        <vt:lpwstr>_Toc464644548</vt:lpwstr>
      </vt:variant>
      <vt:variant>
        <vt:i4>1507377</vt:i4>
      </vt:variant>
      <vt:variant>
        <vt:i4>152</vt:i4>
      </vt:variant>
      <vt:variant>
        <vt:i4>0</vt:i4>
      </vt:variant>
      <vt:variant>
        <vt:i4>5</vt:i4>
      </vt:variant>
      <vt:variant>
        <vt:lpwstr/>
      </vt:variant>
      <vt:variant>
        <vt:lpwstr>_Toc464644547</vt:lpwstr>
      </vt:variant>
      <vt:variant>
        <vt:i4>1507377</vt:i4>
      </vt:variant>
      <vt:variant>
        <vt:i4>146</vt:i4>
      </vt:variant>
      <vt:variant>
        <vt:i4>0</vt:i4>
      </vt:variant>
      <vt:variant>
        <vt:i4>5</vt:i4>
      </vt:variant>
      <vt:variant>
        <vt:lpwstr/>
      </vt:variant>
      <vt:variant>
        <vt:lpwstr>_Toc464644546</vt:lpwstr>
      </vt:variant>
      <vt:variant>
        <vt:i4>1507377</vt:i4>
      </vt:variant>
      <vt:variant>
        <vt:i4>140</vt:i4>
      </vt:variant>
      <vt:variant>
        <vt:i4>0</vt:i4>
      </vt:variant>
      <vt:variant>
        <vt:i4>5</vt:i4>
      </vt:variant>
      <vt:variant>
        <vt:lpwstr/>
      </vt:variant>
      <vt:variant>
        <vt:lpwstr>_Toc464644545</vt:lpwstr>
      </vt:variant>
      <vt:variant>
        <vt:i4>1507377</vt:i4>
      </vt:variant>
      <vt:variant>
        <vt:i4>134</vt:i4>
      </vt:variant>
      <vt:variant>
        <vt:i4>0</vt:i4>
      </vt:variant>
      <vt:variant>
        <vt:i4>5</vt:i4>
      </vt:variant>
      <vt:variant>
        <vt:lpwstr/>
      </vt:variant>
      <vt:variant>
        <vt:lpwstr>_Toc464644544</vt:lpwstr>
      </vt:variant>
      <vt:variant>
        <vt:i4>1507377</vt:i4>
      </vt:variant>
      <vt:variant>
        <vt:i4>128</vt:i4>
      </vt:variant>
      <vt:variant>
        <vt:i4>0</vt:i4>
      </vt:variant>
      <vt:variant>
        <vt:i4>5</vt:i4>
      </vt:variant>
      <vt:variant>
        <vt:lpwstr/>
      </vt:variant>
      <vt:variant>
        <vt:lpwstr>_Toc464644543</vt:lpwstr>
      </vt:variant>
      <vt:variant>
        <vt:i4>1507377</vt:i4>
      </vt:variant>
      <vt:variant>
        <vt:i4>122</vt:i4>
      </vt:variant>
      <vt:variant>
        <vt:i4>0</vt:i4>
      </vt:variant>
      <vt:variant>
        <vt:i4>5</vt:i4>
      </vt:variant>
      <vt:variant>
        <vt:lpwstr/>
      </vt:variant>
      <vt:variant>
        <vt:lpwstr>_Toc464644542</vt:lpwstr>
      </vt:variant>
      <vt:variant>
        <vt:i4>1507377</vt:i4>
      </vt:variant>
      <vt:variant>
        <vt:i4>116</vt:i4>
      </vt:variant>
      <vt:variant>
        <vt:i4>0</vt:i4>
      </vt:variant>
      <vt:variant>
        <vt:i4>5</vt:i4>
      </vt:variant>
      <vt:variant>
        <vt:lpwstr/>
      </vt:variant>
      <vt:variant>
        <vt:lpwstr>_Toc464644541</vt:lpwstr>
      </vt:variant>
      <vt:variant>
        <vt:i4>1507377</vt:i4>
      </vt:variant>
      <vt:variant>
        <vt:i4>110</vt:i4>
      </vt:variant>
      <vt:variant>
        <vt:i4>0</vt:i4>
      </vt:variant>
      <vt:variant>
        <vt:i4>5</vt:i4>
      </vt:variant>
      <vt:variant>
        <vt:lpwstr/>
      </vt:variant>
      <vt:variant>
        <vt:lpwstr>_Toc464644540</vt:lpwstr>
      </vt:variant>
      <vt:variant>
        <vt:i4>1048625</vt:i4>
      </vt:variant>
      <vt:variant>
        <vt:i4>104</vt:i4>
      </vt:variant>
      <vt:variant>
        <vt:i4>0</vt:i4>
      </vt:variant>
      <vt:variant>
        <vt:i4>5</vt:i4>
      </vt:variant>
      <vt:variant>
        <vt:lpwstr/>
      </vt:variant>
      <vt:variant>
        <vt:lpwstr>_Toc464644539</vt:lpwstr>
      </vt:variant>
      <vt:variant>
        <vt:i4>1048625</vt:i4>
      </vt:variant>
      <vt:variant>
        <vt:i4>98</vt:i4>
      </vt:variant>
      <vt:variant>
        <vt:i4>0</vt:i4>
      </vt:variant>
      <vt:variant>
        <vt:i4>5</vt:i4>
      </vt:variant>
      <vt:variant>
        <vt:lpwstr/>
      </vt:variant>
      <vt:variant>
        <vt:lpwstr>_Toc464644538</vt:lpwstr>
      </vt:variant>
      <vt:variant>
        <vt:i4>1048625</vt:i4>
      </vt:variant>
      <vt:variant>
        <vt:i4>92</vt:i4>
      </vt:variant>
      <vt:variant>
        <vt:i4>0</vt:i4>
      </vt:variant>
      <vt:variant>
        <vt:i4>5</vt:i4>
      </vt:variant>
      <vt:variant>
        <vt:lpwstr/>
      </vt:variant>
      <vt:variant>
        <vt:lpwstr>_Toc464644537</vt:lpwstr>
      </vt:variant>
      <vt:variant>
        <vt:i4>1048625</vt:i4>
      </vt:variant>
      <vt:variant>
        <vt:i4>86</vt:i4>
      </vt:variant>
      <vt:variant>
        <vt:i4>0</vt:i4>
      </vt:variant>
      <vt:variant>
        <vt:i4>5</vt:i4>
      </vt:variant>
      <vt:variant>
        <vt:lpwstr/>
      </vt:variant>
      <vt:variant>
        <vt:lpwstr>_Toc464644536</vt:lpwstr>
      </vt:variant>
      <vt:variant>
        <vt:i4>1048625</vt:i4>
      </vt:variant>
      <vt:variant>
        <vt:i4>80</vt:i4>
      </vt:variant>
      <vt:variant>
        <vt:i4>0</vt:i4>
      </vt:variant>
      <vt:variant>
        <vt:i4>5</vt:i4>
      </vt:variant>
      <vt:variant>
        <vt:lpwstr/>
      </vt:variant>
      <vt:variant>
        <vt:lpwstr>_Toc464644535</vt:lpwstr>
      </vt:variant>
      <vt:variant>
        <vt:i4>1048625</vt:i4>
      </vt:variant>
      <vt:variant>
        <vt:i4>74</vt:i4>
      </vt:variant>
      <vt:variant>
        <vt:i4>0</vt:i4>
      </vt:variant>
      <vt:variant>
        <vt:i4>5</vt:i4>
      </vt:variant>
      <vt:variant>
        <vt:lpwstr/>
      </vt:variant>
      <vt:variant>
        <vt:lpwstr>_Toc464644534</vt:lpwstr>
      </vt:variant>
      <vt:variant>
        <vt:i4>1048625</vt:i4>
      </vt:variant>
      <vt:variant>
        <vt:i4>68</vt:i4>
      </vt:variant>
      <vt:variant>
        <vt:i4>0</vt:i4>
      </vt:variant>
      <vt:variant>
        <vt:i4>5</vt:i4>
      </vt:variant>
      <vt:variant>
        <vt:lpwstr/>
      </vt:variant>
      <vt:variant>
        <vt:lpwstr>_Toc464644533</vt:lpwstr>
      </vt:variant>
      <vt:variant>
        <vt:i4>1048625</vt:i4>
      </vt:variant>
      <vt:variant>
        <vt:i4>62</vt:i4>
      </vt:variant>
      <vt:variant>
        <vt:i4>0</vt:i4>
      </vt:variant>
      <vt:variant>
        <vt:i4>5</vt:i4>
      </vt:variant>
      <vt:variant>
        <vt:lpwstr/>
      </vt:variant>
      <vt:variant>
        <vt:lpwstr>_Toc464644532</vt:lpwstr>
      </vt:variant>
      <vt:variant>
        <vt:i4>1048625</vt:i4>
      </vt:variant>
      <vt:variant>
        <vt:i4>56</vt:i4>
      </vt:variant>
      <vt:variant>
        <vt:i4>0</vt:i4>
      </vt:variant>
      <vt:variant>
        <vt:i4>5</vt:i4>
      </vt:variant>
      <vt:variant>
        <vt:lpwstr/>
      </vt:variant>
      <vt:variant>
        <vt:lpwstr>_Toc464644531</vt:lpwstr>
      </vt:variant>
      <vt:variant>
        <vt:i4>1048625</vt:i4>
      </vt:variant>
      <vt:variant>
        <vt:i4>50</vt:i4>
      </vt:variant>
      <vt:variant>
        <vt:i4>0</vt:i4>
      </vt:variant>
      <vt:variant>
        <vt:i4>5</vt:i4>
      </vt:variant>
      <vt:variant>
        <vt:lpwstr/>
      </vt:variant>
      <vt:variant>
        <vt:lpwstr>_Toc464644530</vt:lpwstr>
      </vt:variant>
      <vt:variant>
        <vt:i4>1114161</vt:i4>
      </vt:variant>
      <vt:variant>
        <vt:i4>44</vt:i4>
      </vt:variant>
      <vt:variant>
        <vt:i4>0</vt:i4>
      </vt:variant>
      <vt:variant>
        <vt:i4>5</vt:i4>
      </vt:variant>
      <vt:variant>
        <vt:lpwstr/>
      </vt:variant>
      <vt:variant>
        <vt:lpwstr>_Toc464644529</vt:lpwstr>
      </vt:variant>
      <vt:variant>
        <vt:i4>1114161</vt:i4>
      </vt:variant>
      <vt:variant>
        <vt:i4>38</vt:i4>
      </vt:variant>
      <vt:variant>
        <vt:i4>0</vt:i4>
      </vt:variant>
      <vt:variant>
        <vt:i4>5</vt:i4>
      </vt:variant>
      <vt:variant>
        <vt:lpwstr/>
      </vt:variant>
      <vt:variant>
        <vt:lpwstr>_Toc464644528</vt:lpwstr>
      </vt:variant>
      <vt:variant>
        <vt:i4>1114161</vt:i4>
      </vt:variant>
      <vt:variant>
        <vt:i4>32</vt:i4>
      </vt:variant>
      <vt:variant>
        <vt:i4>0</vt:i4>
      </vt:variant>
      <vt:variant>
        <vt:i4>5</vt:i4>
      </vt:variant>
      <vt:variant>
        <vt:lpwstr/>
      </vt:variant>
      <vt:variant>
        <vt:lpwstr>_Toc464644527</vt:lpwstr>
      </vt:variant>
      <vt:variant>
        <vt:i4>1114161</vt:i4>
      </vt:variant>
      <vt:variant>
        <vt:i4>26</vt:i4>
      </vt:variant>
      <vt:variant>
        <vt:i4>0</vt:i4>
      </vt:variant>
      <vt:variant>
        <vt:i4>5</vt:i4>
      </vt:variant>
      <vt:variant>
        <vt:lpwstr/>
      </vt:variant>
      <vt:variant>
        <vt:lpwstr>_Toc464644526</vt:lpwstr>
      </vt:variant>
      <vt:variant>
        <vt:i4>1114161</vt:i4>
      </vt:variant>
      <vt:variant>
        <vt:i4>20</vt:i4>
      </vt:variant>
      <vt:variant>
        <vt:i4>0</vt:i4>
      </vt:variant>
      <vt:variant>
        <vt:i4>5</vt:i4>
      </vt:variant>
      <vt:variant>
        <vt:lpwstr/>
      </vt:variant>
      <vt:variant>
        <vt:lpwstr>_Toc464644525</vt:lpwstr>
      </vt:variant>
      <vt:variant>
        <vt:i4>1114161</vt:i4>
      </vt:variant>
      <vt:variant>
        <vt:i4>14</vt:i4>
      </vt:variant>
      <vt:variant>
        <vt:i4>0</vt:i4>
      </vt:variant>
      <vt:variant>
        <vt:i4>5</vt:i4>
      </vt:variant>
      <vt:variant>
        <vt:lpwstr/>
      </vt:variant>
      <vt:variant>
        <vt:lpwstr>_Toc464644524</vt:lpwstr>
      </vt:variant>
      <vt:variant>
        <vt:i4>1114161</vt:i4>
      </vt:variant>
      <vt:variant>
        <vt:i4>8</vt:i4>
      </vt:variant>
      <vt:variant>
        <vt:i4>0</vt:i4>
      </vt:variant>
      <vt:variant>
        <vt:i4>5</vt:i4>
      </vt:variant>
      <vt:variant>
        <vt:lpwstr/>
      </vt:variant>
      <vt:variant>
        <vt:lpwstr>_Toc464644523</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POZNÁMKY</dc:title>
  <dc:subject/>
  <dc:creator>Blanka Liptáková</dc:creator>
  <cp:keywords/>
  <cp:lastModifiedBy>Acer</cp:lastModifiedBy>
  <cp:revision>2</cp:revision>
  <cp:lastPrinted>2017-08-24T07:41:00Z</cp:lastPrinted>
  <dcterms:created xsi:type="dcterms:W3CDTF">2017-08-31T15:17:00Z</dcterms:created>
  <dcterms:modified xsi:type="dcterms:W3CDTF">2017-08-31T15:17:00Z</dcterms:modified>
</cp:coreProperties>
</file>