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Default"/>
        <w:jc w:val="center"/>
        <w:rPr>
          <w:rFonts w:ascii="Times New Roman" w:hAnsi="Times New Roman" w:cs="Times New Roman"/>
          <w:b/>
          <w:b/>
          <w:bCs/>
          <w:sz w:val="22"/>
          <w:szCs w:val="22"/>
        </w:rPr>
      </w:pPr>
      <w:r>
        <w:rPr>
          <w:rFonts w:cs="Times New Roman" w:ascii="Times New Roman" w:hAnsi="Times New Roman"/>
          <w:b/>
          <w:bCs/>
          <w:sz w:val="22"/>
          <w:szCs w:val="22"/>
        </w:rPr>
        <w:t>SPRÁVA NEZÁVISLEJ AUDÍTORKY</w:t>
      </w:r>
    </w:p>
    <w:p>
      <w:pPr>
        <w:pStyle w:val="Default"/>
        <w:jc w:val="center"/>
        <w:rPr>
          <w:rFonts w:ascii="Times New Roman" w:hAnsi="Times New Roman" w:cs="Times New Roman"/>
          <w:sz w:val="22"/>
          <w:szCs w:val="22"/>
        </w:rPr>
      </w:pPr>
      <w:r>
        <w:rPr>
          <w:rFonts w:cs="Times New Roman" w:ascii="Times New Roman" w:hAnsi="Times New Roman"/>
          <w:bCs/>
          <w:sz w:val="22"/>
          <w:szCs w:val="22"/>
        </w:rPr>
        <w:t xml:space="preserve"> </w:t>
      </w:r>
      <w:r>
        <w:rPr>
          <w:rFonts w:cs="Times New Roman" w:ascii="Times New Roman" w:hAnsi="Times New Roman"/>
          <w:bCs/>
          <w:sz w:val="22"/>
          <w:szCs w:val="22"/>
        </w:rPr>
        <w:t>k ročnej účtovnej závierke a výročnej správe</w:t>
      </w:r>
    </w:p>
    <w:p>
      <w:pPr>
        <w:pStyle w:val="Normal"/>
        <w:numPr>
          <w:ilvl w:val="0"/>
          <w:numId w:val="0"/>
        </w:numPr>
        <w:tabs>
          <w:tab w:val="left" w:pos="0" w:leader="none"/>
        </w:tabs>
        <w:spacing w:lineRule="auto" w:line="240" w:before="0" w:after="0"/>
        <w:jc w:val="center"/>
        <w:outlineLvl w:val="0"/>
        <w:rPr>
          <w:rFonts w:ascii="Times New Roman" w:hAnsi="Times New Roman" w:cs="Times New Roman"/>
          <w:bCs/>
          <w:u w:val="single"/>
        </w:rPr>
      </w:pPr>
      <w:r>
        <w:rPr>
          <w:rFonts w:cs="Times New Roman" w:ascii="Times New Roman" w:hAnsi="Times New Roman"/>
          <w:sz w:val="24"/>
          <w:szCs w:val="24"/>
        </w:rPr>
        <w:t xml:space="preserve">majiteľovi a konateľovi spoločnosti  </w:t>
      </w:r>
      <w:r>
        <w:rPr>
          <w:rFonts w:cs="Times New Roman" w:ascii="Times New Roman" w:hAnsi="Times New Roman"/>
          <w:b/>
          <w:sz w:val="24"/>
          <w:szCs w:val="24"/>
          <w:lang w:val="en-GB"/>
        </w:rPr>
        <w:t xml:space="preserve">BAUTHERM SK s.r.o. </w:t>
      </w:r>
    </w:p>
    <w:p>
      <w:pPr>
        <w:pStyle w:val="Level2"/>
        <w:widowControl w:val="false"/>
        <w:tabs>
          <w:tab w:val="left" w:pos="0" w:leader="none"/>
          <w:tab w:val="right" w:pos="360" w:leader="none"/>
          <w:tab w:val="left" w:pos="576" w:leader="none"/>
        </w:tabs>
        <w:spacing w:lineRule="auto" w:line="240" w:before="120" w:after="240"/>
        <w:ind w:left="0" w:hanging="0"/>
        <w:rPr>
          <w:rFonts w:ascii="Calibri" w:hAnsi="Calibri" w:asciiTheme="minorHAnsi" w:hAnsiTheme="minorHAnsi"/>
          <w:b/>
          <w:b/>
          <w:sz w:val="24"/>
          <w:lang w:val="sk-SK"/>
        </w:rPr>
      </w:pPr>
      <w:r>
        <w:rPr>
          <w:rFonts w:asciiTheme="minorHAnsi" w:hAnsiTheme="minorHAnsi" w:ascii="Calibri" w:hAnsi="Calibri"/>
          <w:b/>
          <w:sz w:val="24"/>
          <w:lang w:val="sk-SK"/>
        </w:rPr>
      </w:r>
    </w:p>
    <w:p>
      <w:pPr>
        <w:pStyle w:val="Level2"/>
        <w:widowControl w:val="false"/>
        <w:tabs>
          <w:tab w:val="left" w:pos="0" w:leader="none"/>
          <w:tab w:val="right" w:pos="360" w:leader="none"/>
          <w:tab w:val="left" w:pos="576" w:leader="none"/>
        </w:tabs>
        <w:spacing w:lineRule="auto" w:line="240" w:before="120" w:after="240"/>
        <w:ind w:left="0" w:hanging="0"/>
        <w:rPr>
          <w:rFonts w:ascii="Calibri" w:hAnsi="Calibri" w:asciiTheme="minorHAnsi" w:hAnsiTheme="minorHAnsi"/>
          <w:b/>
          <w:b/>
          <w:sz w:val="24"/>
          <w:lang w:val="sk-SK"/>
        </w:rPr>
      </w:pPr>
      <w:r>
        <w:rPr>
          <w:rFonts w:asciiTheme="minorHAnsi" w:hAnsiTheme="minorHAnsi" w:ascii="Calibri" w:hAnsi="Calibri"/>
          <w:b/>
          <w:sz w:val="24"/>
          <w:lang w:val="sk-SK"/>
        </w:rPr>
      </w:r>
    </w:p>
    <w:p>
      <w:pPr>
        <w:pStyle w:val="Level2"/>
        <w:widowControl w:val="false"/>
        <w:tabs>
          <w:tab w:val="left" w:pos="0" w:leader="none"/>
          <w:tab w:val="right" w:pos="360" w:leader="none"/>
          <w:tab w:val="left" w:pos="576" w:leader="none"/>
        </w:tabs>
        <w:spacing w:lineRule="auto" w:line="240" w:before="120" w:after="240"/>
        <w:ind w:left="0" w:hanging="0"/>
        <w:jc w:val="center"/>
        <w:rPr>
          <w:rFonts w:ascii="Calibri" w:hAnsi="Calibri" w:asciiTheme="minorHAnsi" w:hAnsiTheme="minorHAnsi"/>
          <w:b/>
          <w:b/>
          <w:sz w:val="24"/>
          <w:lang w:val="sk-SK"/>
        </w:rPr>
      </w:pPr>
      <w:r>
        <w:rPr>
          <w:rFonts w:ascii="Calibri" w:hAnsi="Calibri" w:asciiTheme="minorHAnsi" w:hAnsiTheme="minorHAnsi"/>
          <w:b/>
          <w:sz w:val="24"/>
          <w:lang w:val="sk-SK"/>
        </w:rPr>
        <w:t>Správa z auditu účtovnej závierky</w:t>
      </w:r>
    </w:p>
    <w:p>
      <w:pPr>
        <w:pStyle w:val="Level2"/>
        <w:widowControl w:val="false"/>
        <w:tabs>
          <w:tab w:val="left" w:pos="0" w:leader="none"/>
          <w:tab w:val="right" w:pos="360" w:leader="none"/>
          <w:tab w:val="left" w:pos="576" w:leader="none"/>
        </w:tabs>
        <w:spacing w:lineRule="auto" w:line="240" w:before="0" w:after="0"/>
        <w:ind w:left="0" w:hanging="0"/>
        <w:rPr>
          <w:rFonts w:ascii="Calibri" w:hAnsi="Calibri" w:asciiTheme="minorHAnsi" w:hAnsiTheme="minorHAnsi"/>
          <w:sz w:val="24"/>
          <w:u w:val="single"/>
          <w:lang w:val="sk-SK"/>
        </w:rPr>
      </w:pPr>
      <w:r>
        <w:rPr>
          <w:rFonts w:ascii="Calibri" w:hAnsi="Calibri" w:asciiTheme="minorHAnsi" w:hAnsiTheme="minorHAnsi"/>
          <w:sz w:val="24"/>
          <w:u w:val="single"/>
          <w:lang w:val="sk-SK"/>
        </w:rPr>
        <w:t>Názor</w:t>
      </w:r>
    </w:p>
    <w:p>
      <w:pPr>
        <w:pStyle w:val="Level2"/>
        <w:widowControl w:val="false"/>
        <w:tabs>
          <w:tab w:val="left" w:pos="0" w:leader="none"/>
          <w:tab w:val="right" w:pos="360" w:leader="none"/>
          <w:tab w:val="left" w:pos="576" w:leader="none"/>
        </w:tabs>
        <w:spacing w:lineRule="auto" w:line="240" w:before="0" w:after="0"/>
        <w:ind w:left="0" w:hanging="0"/>
        <w:rPr>
          <w:sz w:val="24"/>
          <w:u w:val="single"/>
          <w:lang w:val="sk-SK"/>
        </w:rPr>
      </w:pPr>
      <w:r>
        <w:rPr>
          <w:sz w:val="24"/>
          <w:lang w:val="sk-SK"/>
        </w:rPr>
        <w:t xml:space="preserve">Uskutočnila som audit účtovnej závierky spoločnosti </w:t>
      </w:r>
      <w:r>
        <w:rPr>
          <w:b/>
          <w:sz w:val="24"/>
          <w:szCs w:val="24"/>
          <w:lang w:val="en-GB"/>
        </w:rPr>
        <w:t>BAUTHERM SK s.r.o. ,</w:t>
      </w:r>
      <w:r>
        <w:rPr>
          <w:b/>
          <w:lang w:val="en-GB"/>
        </w:rPr>
        <w:t xml:space="preserve"> </w:t>
      </w:r>
      <w:r>
        <w:rPr>
          <w:sz w:val="24"/>
          <w:lang w:val="sk-SK"/>
        </w:rPr>
        <w:t>ktorá obsahuje súvahu k 31. decembru 2016, výkaz ziskov a strát za rok končiaci sa k uvedenému dátumu, a poznámky, ktoré obsahujú súhrn významných účtovných zásad a účtovných metód.</w:t>
      </w:r>
    </w:p>
    <w:p>
      <w:pPr>
        <w:pStyle w:val="Level2"/>
        <w:widowControl w:val="false"/>
        <w:tabs>
          <w:tab w:val="left" w:pos="0" w:leader="none"/>
          <w:tab w:val="right" w:pos="360" w:leader="none"/>
          <w:tab w:val="left" w:pos="576" w:leader="none"/>
        </w:tabs>
        <w:spacing w:lineRule="auto" w:line="240" w:before="120" w:after="240"/>
        <w:ind w:left="0" w:hanging="0"/>
        <w:rPr>
          <w:sz w:val="24"/>
          <w:u w:val="single"/>
          <w:lang w:val="sk-SK"/>
        </w:rPr>
      </w:pPr>
      <w:r>
        <w:rPr>
          <w:sz w:val="24"/>
          <w:u w:val="single"/>
          <w:lang w:val="sk-SK"/>
        </w:rPr>
        <w:t xml:space="preserve">Podľa môjho názoru, okrem vplyvu skutočnosti opísanej v odseku Základ pre podmienený názor, priložená účtovná závierka </w:t>
      </w:r>
      <w:r>
        <w:rPr>
          <w:iCs/>
          <w:sz w:val="24"/>
          <w:u w:val="single"/>
          <w:lang w:val="sk-SK"/>
        </w:rPr>
        <w:t>poskytuje pravdivý a verný obraz finančnej situácie</w:t>
      </w:r>
      <w:r>
        <w:rPr>
          <w:sz w:val="24"/>
          <w:u w:val="single"/>
          <w:lang w:val="sk-SK"/>
        </w:rPr>
        <w:t xml:space="preserve"> </w:t>
      </w:r>
      <w:r>
        <w:rPr>
          <w:b/>
          <w:sz w:val="24"/>
          <w:u w:val="single"/>
          <w:lang w:val="sk-SK"/>
        </w:rPr>
        <w:t xml:space="preserve">BAUTHERM SK s.r.o. </w:t>
      </w:r>
      <w:r>
        <w:rPr>
          <w:sz w:val="24"/>
          <w:u w:val="single"/>
          <w:lang w:val="sk-SK"/>
        </w:rPr>
        <w:t xml:space="preserve"> k 31. decembru 2016 a výsledku jej hospodárenia za rok končiaci sa k uvedenému dátumu podľa zákona č. 431/2002 Z.z. o účtovníctve v znení neskorších predpisov (ďalej len „zákon o účtovníctve“) .   </w:t>
      </w:r>
    </w:p>
    <w:p>
      <w:pPr>
        <w:pStyle w:val="Normal"/>
        <w:spacing w:lineRule="auto" w:line="240" w:before="0" w:after="0"/>
        <w:jc w:val="both"/>
        <w:rPr>
          <w:rFonts w:ascii="Times New Roman" w:hAnsi="Times New Roman"/>
          <w:sz w:val="24"/>
          <w:szCs w:val="24"/>
          <w:u w:val="single"/>
          <w:lang w:eastAsia="sk-SK"/>
        </w:rPr>
      </w:pPr>
      <w:r>
        <w:rPr>
          <w:rFonts w:ascii="Times New Roman" w:hAnsi="Times New Roman"/>
          <w:sz w:val="24"/>
          <w:szCs w:val="24"/>
          <w:u w:val="single"/>
          <w:lang w:eastAsia="sk-SK"/>
        </w:rPr>
        <w:t>Základ pre podmienený názor</w:t>
      </w:r>
    </w:p>
    <w:p>
      <w:pPr>
        <w:pStyle w:val="Default"/>
        <w:jc w:val="both"/>
        <w:rPr>
          <w:rFonts w:ascii="Times New Roman" w:hAnsi="Times New Roman" w:cs="Times New Roman"/>
          <w:color w:val="00000A"/>
        </w:rPr>
      </w:pPr>
      <w:r>
        <w:rPr>
          <w:rFonts w:ascii="Times New Roman" w:hAnsi="Times New Roman"/>
        </w:rPr>
        <w:t xml:space="preserve">Spoločnosť má v Poznámkach k účtovnej závierke neúplné informácie, chýbajú vysvetľujúce údaje k súvahe a výkazu ziskov a strát napr. k vlastníctvu priemyselnej budovy, záložné práva k pozemkom str.10, na str.15 nie je v BO popísaná pohľadávka voči spoločníkovi vo výške 700 000 €, na str.18 nesprávne vykázaný zisk MO 2155 €, pričom bola v MO  vykázaná strata </w:t>
      </w:r>
      <w:r>
        <w:rPr>
          <w:rFonts w:cs="Times New Roman" w:ascii="Times New Roman" w:hAnsi="Times New Roman"/>
          <w:color w:val="00000A"/>
        </w:rPr>
        <w:t>457 905 €,  Poznámky sa pritom zostavujú tak, aby informácie v nich uvedené boli užitočné, významné, zrozumiteľné, porovnateľné a spoľahlivé.</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Pomer vlastných a cudzích zdrojov v roku 2016 vykazuje sumu 1,73 %, čím nie je splnený pomer stanovený Zákonom č.87/2015 Z. z., ktorým sa mení a dopĺňa zákon č. 513/1991 – Obchodný zákonník, ktorý žiada pre rok 2016 pomer 4:100. Je prísľub na opatrenia spoločníkom v roku 2017, ktorý tento stav zmení na zákonný. </w:t>
      </w:r>
    </w:p>
    <w:p>
      <w:pPr>
        <w:pStyle w:val="NoSpacing"/>
        <w:jc w:val="both"/>
        <w:rPr>
          <w:rFonts w:ascii="Times New Roman" w:hAnsi="Times New Roman"/>
          <w:sz w:val="24"/>
          <w:szCs w:val="24"/>
          <w:lang w:val="sk-SK"/>
        </w:rPr>
      </w:pPr>
      <w:bookmarkStart w:id="0" w:name="_GoBack"/>
      <w:bookmarkEnd w:id="0"/>
      <w:r>
        <w:rPr>
          <w:rFonts w:ascii="Times New Roman" w:hAnsi="Times New Roman"/>
          <w:sz w:val="24"/>
          <w:szCs w:val="24"/>
          <w:lang w:val="sk-SK"/>
        </w:rPr>
        <w:t>Vlastné imanie spoločnosti je vykázané vo výške 38 tis €, pretože Spoločnosť urobila nižšie popísané opatrenia, ktoré vedú na zníženie neistoty v súvislosti s udalosťami alebo okolnosťami, ktoré by mohli významne spochybniť schopnosť Spoločnosti nepretržite pokračovať v činnosti. Keďže na 98% záväzky sú voči jedinému spoločníkovi, javia sa opatrenia ako primerané, len  na túto skutočnosť upozorňujem.</w:t>
      </w:r>
    </w:p>
    <w:p>
      <w:pPr>
        <w:pStyle w:val="Default"/>
        <w:jc w:val="both"/>
        <w:rPr>
          <w:rFonts w:ascii="Calibri" w:hAnsi="Calibri" w:cs="Times New Roman" w:asciiTheme="minorHAnsi" w:hAnsiTheme="minorHAnsi"/>
          <w:bCs/>
          <w:u w:val="single"/>
        </w:rPr>
      </w:pPr>
      <w:r>
        <w:rPr>
          <w:rFonts w:cs="Times New Roman" w:ascii="Calibri" w:hAnsi="Calibri"/>
          <w:bCs/>
          <w:u w:val="single"/>
        </w:rPr>
      </w:r>
    </w:p>
    <w:p>
      <w:pPr>
        <w:pStyle w:val="Default"/>
        <w:jc w:val="both"/>
        <w:rPr>
          <w:rFonts w:ascii="Calibri" w:hAnsi="Calibri" w:cs="Times New Roman" w:asciiTheme="minorHAnsi" w:hAnsiTheme="minorHAnsi"/>
          <w:bCs/>
          <w:u w:val="single"/>
        </w:rPr>
      </w:pPr>
      <w:r>
        <w:rPr>
          <w:rFonts w:cs="Times New Roman" w:ascii="Calibri" w:hAnsi="Calibri" w:asciiTheme="minorHAnsi" w:hAnsiTheme="minorHAnsi"/>
          <w:bCs/>
          <w:u w:val="single"/>
        </w:rPr>
        <w:t xml:space="preserve">Základ pre názor </w:t>
      </w:r>
    </w:p>
    <w:p>
      <w:pPr>
        <w:pStyle w:val="Default"/>
        <w:jc w:val="both"/>
        <w:rPr>
          <w:rFonts w:ascii="Times New Roman" w:hAnsi="Times New Roman" w:cs="Times New Roman"/>
        </w:rPr>
      </w:pPr>
      <w:r>
        <w:rPr>
          <w:rFonts w:cs="Times New Roman" w:ascii="Times New Roman" w:hAnsi="Times New Roman"/>
        </w:rPr>
        <w:t>Audit som vykonala podľa medzinárodných audítorských štandardov (International Standards on Auditing, ISA). Moja zodpovednosť podľa týchto štandardov je uvedená v odseku Zodpovednosť audítora za audit účtovnej závierky. Od Spoločnosti som nezávislá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splnila som aj ostatné požiadavky týchto ustanovení týkajúcich sa etiky. Som presvedčená, že audítorské dôkazy, ktoré som získala, poskytujú dostatočný a vhodný základ pre môj názor.</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Spoločnosť </w:t>
      </w:r>
      <w:r>
        <w:rPr>
          <w:rFonts w:ascii="Times New Roman" w:hAnsi="Times New Roman"/>
          <w:b/>
          <w:sz w:val="24"/>
          <w:szCs w:val="24"/>
          <w:lang w:val="sk-SK"/>
        </w:rPr>
        <w:t xml:space="preserve">BAUTHERM SK s.r.o. </w:t>
      </w:r>
      <w:r>
        <w:rPr>
          <w:rFonts w:ascii="Times New Roman" w:hAnsi="Times New Roman"/>
          <w:sz w:val="24"/>
          <w:szCs w:val="24"/>
          <w:lang w:val="sk-SK"/>
        </w:rPr>
        <w:t xml:space="preserve"> splnila  hodnotové kritériá pre klasifikáciu účtovných jednotiek (majetok, čistý obrat a počet pracovníkov) ako malá účtovná jednotka s povinnosťou auditu. V zmysle Medzinárodných audítorských štandardov preto odporúčam zvýšiť vnútorné kontroly  pre hospodársku činnosť v spoločnosti. Zákazku na audit som vykonala na základe písomnej zmluvy, čím som zákazku na vykonanie štatutárneho auditu prijala. Štatutárny audit bol z podkladov spoločnosti vykonaný v mesiacoch február - jún 2017. Komunikácia prebiehala s konateľom Ing. Jozefom Kubovčíkom, externou účtovníčkou Vierou Urbaníkovou ako aj internými účtovníčkami spoločnosti. Pri výkone prác som nemala obmedzenia. Spolu so závierkou mi bola predložená aj výročná správa.</w:t>
      </w:r>
    </w:p>
    <w:p>
      <w:pPr>
        <w:pStyle w:val="NoSpacing"/>
        <w:jc w:val="both"/>
        <w:rPr>
          <w:rFonts w:ascii="Times New Roman" w:hAnsi="Times New Roman"/>
          <w:sz w:val="24"/>
          <w:szCs w:val="24"/>
          <w:lang w:val="sk-SK"/>
        </w:rPr>
      </w:pPr>
      <w:r>
        <w:rPr>
          <w:rFonts w:ascii="Times New Roman" w:hAnsi="Times New Roman"/>
          <w:b/>
          <w:sz w:val="24"/>
          <w:szCs w:val="24"/>
          <w:lang w:val="sk-SK"/>
        </w:rPr>
        <w:t xml:space="preserve">BAUTHERM SK s.r.o. </w:t>
      </w:r>
      <w:r>
        <w:rPr>
          <w:rFonts w:ascii="Times New Roman" w:hAnsi="Times New Roman"/>
          <w:sz w:val="24"/>
          <w:szCs w:val="24"/>
          <w:lang w:val="sk-SK"/>
        </w:rPr>
        <w:t xml:space="preserve"> sa zaoberá hlavne výrobou polystyrénu pre stavebníctvo, a to  od roku 2007. V roku 2016 zamestnávala v priemere 30 zamestnancov. Podniká v priestoroch patriacich majiteľovi v Ružomberku, prenajaté sú ďalej viaceré stroje. V roku 2016 vykázala zisk 262 tis € . Majetok je vo výške  2,5 mil. € btto,  cudzie zdroje sú vo výške 2,2 mil. €, čím vykazuje zadĺženosť 98 %. Je snaha zmeniť tento pomer, čo ukazujú výnosy, ktoré vzrástli o 19,32 % . Najvyšší podiel v cudzích zdrojoch tvoria záväzky voči jedinému spoločníkovi a majiteľovi v čiastke 2 mil. €. Cudzími zdrojmi v uvedenej výške je spoločnosť zaťažená najmä z dôvodu záväzkov za surovinu nakúpenú od neho. Vykázaný hospodársky výsledok bol zisk 262 tis € a záväzok na vklad do OKF v sume 0,7 mil. € zmenil  vlastné imanie roka 2015 vykázané v sume – 924 tis €, ako aj vykázaný zisk za 2016 -  na sumu vlastného imania 38 tis € v roku 2016. Z titulu zabezpečenia finančných tokov si majiteľ spoločnosti podiel na zisku nevypláca. </w:t>
      </w:r>
    </w:p>
    <w:p>
      <w:pPr>
        <w:pStyle w:val="NoSpacing"/>
        <w:jc w:val="both"/>
        <w:rPr>
          <w:rFonts w:ascii="Times New Roman" w:hAnsi="Times New Roman"/>
          <w:sz w:val="24"/>
          <w:szCs w:val="24"/>
          <w:lang w:val="sk-SK"/>
        </w:rPr>
      </w:pPr>
      <w:r>
        <w:rPr>
          <w:rFonts w:ascii="Times New Roman" w:hAnsi="Times New Roman"/>
          <w:sz w:val="24"/>
          <w:szCs w:val="24"/>
          <w:lang w:val="sk-SK"/>
        </w:rPr>
        <w:t>Uskutočnila som audítorské postupy reagujúce na riziká a získala audítorské dôkazy, ktoré sú dostatočné a vhodné na poskytnutie základu pre môj názor, použité účtovné zásady a účtovné metódy a primeranosť účtovných odhadov boli dostatočné, štatutárny orgán  v účtovníctve používa predpoklad nepretržitého pokračovania v činnosti, významná neistota v súvislosti s udalosťami alebo okolnosťami, ktoré by mohli významne spochybniť schopnosť Spoločnosti nepretržite pokračovať v činnosti nebola zistená, celková prezentácia, štruktúra a obsah účtovnej závierky vrátane informácií v nej uvedených vedie k vernému zobrazeniu.</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Prirodzené riziko som posúdila s profesionálnym skepticizmom ako prijateľné riziko, tak ako sa mne javilo zo skutočnosti vykázanej v hospodárskej činnosti spoločnosti. Kontrolné riziko taktiež považujem za prijateľné, hoci poukazujem na možnosť jeho zvýšenia . Tým celkové riziko hospodárenia považujem po preskúmaní skutočností za primerané, významné nesprávnosti som nezistila. </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Keďže som nezistila v ročnej účtovnej závierke roka 2016 a výročnej správe viažucej sa k tomuto roku pri posudzovaní jednotlivých rizík významné nesprávnosti, v hore uvedenom štatutárnom výroku  dávam nepodmienené stanovisko. </w:t>
      </w:r>
    </w:p>
    <w:p>
      <w:pPr>
        <w:pStyle w:val="NoSpacing"/>
        <w:jc w:val="both"/>
        <w:rPr>
          <w:rFonts w:ascii="Times New Roman" w:hAnsi="Times New Roman"/>
          <w:b/>
          <w:b/>
          <w:sz w:val="24"/>
          <w:szCs w:val="24"/>
          <w:u w:val="single"/>
          <w:lang w:val="sk-SK" w:eastAsia="sk-SK"/>
        </w:rPr>
      </w:pPr>
      <w:r>
        <w:rPr>
          <w:rFonts w:ascii="Times New Roman" w:hAnsi="Times New Roman"/>
          <w:b/>
          <w:sz w:val="24"/>
          <w:szCs w:val="24"/>
          <w:u w:val="single"/>
          <w:lang w:val="sk-SK" w:eastAsia="sk-SK"/>
        </w:rPr>
      </w:r>
    </w:p>
    <w:p>
      <w:pPr>
        <w:pStyle w:val="NoSpacing"/>
        <w:jc w:val="both"/>
        <w:rPr>
          <w:rFonts w:ascii="Times New Roman" w:hAnsi="Times New Roman"/>
          <w:sz w:val="24"/>
          <w:szCs w:val="24"/>
          <w:u w:val="single"/>
          <w:lang w:val="sk-SK"/>
        </w:rPr>
      </w:pPr>
      <w:r>
        <w:rPr>
          <w:rFonts w:ascii="Times New Roman" w:hAnsi="Times New Roman"/>
          <w:sz w:val="24"/>
          <w:szCs w:val="24"/>
          <w:u w:val="single"/>
          <w:lang w:val="sk-SK"/>
        </w:rPr>
        <w:t>Zodpovednosť štatutárneho orgánu za účtovnú závierku</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Štatutárny orgán je zodpovedný za zostavenie tejto účtovnej závierky podľa zákona o účtovníctve a za tie interné kontroly, ktoré považuje za potrebné na zostavenie účtovnej závierky, ktorá neobsahuje významné nesprávnosti, či už v dôsledku podvodu alebo chyby. </w:t>
      </w:r>
    </w:p>
    <w:p>
      <w:pPr>
        <w:pStyle w:val="NoSpacing"/>
        <w:jc w:val="both"/>
        <w:rPr>
          <w:rFonts w:ascii="Times New Roman" w:hAnsi="Times New Roman"/>
          <w:sz w:val="24"/>
          <w:szCs w:val="24"/>
          <w:lang w:val="sk-SK"/>
        </w:rPr>
      </w:pPr>
      <w:r>
        <w:rPr>
          <w:rFonts w:ascii="Times New Roman" w:hAnsi="Times New Roman"/>
          <w:sz w:val="24"/>
          <w:szCs w:val="24"/>
          <w:lang w:val="sk-SK"/>
        </w:rPr>
      </w:r>
    </w:p>
    <w:p>
      <w:pPr>
        <w:pStyle w:val="NoSpacing"/>
        <w:jc w:val="both"/>
        <w:rPr>
          <w:rFonts w:ascii="Times New Roman" w:hAnsi="Times New Roman"/>
          <w:sz w:val="24"/>
          <w:szCs w:val="24"/>
          <w:lang w:val="sk-SK"/>
        </w:rPr>
      </w:pPr>
      <w:r>
        <w:rPr>
          <w:rFonts w:ascii="Times New Roman" w:hAnsi="Times New Roman"/>
          <w:sz w:val="24"/>
          <w:szCs w:val="24"/>
          <w:lang w:val="sk-SK"/>
        </w:rPr>
        <w:t xml:space="preserve">Pri zostavovaní účtovnej závierky je štatutárny orgán zodpovedný za zhodnotenie schopnosti Spoločnosti nepretržite pokračovať vo svojej činnosti, za opísanie skutočností týkajúcich sa nepretržitého pokračovania v činnosti, ak je to potrebné, a za použitie predpokladu nepretržitého pokračovania v činnosti v účtovníctve, ibaže by mal v úmysle Spoločnosť zlikvidovať alebo ukončiť jej činnosť, alebo by nemal inú realistickú možnosť než tak urobiť. </w:t>
      </w:r>
    </w:p>
    <w:p>
      <w:pPr>
        <w:pStyle w:val="NoSpacing"/>
        <w:jc w:val="both"/>
        <w:rPr>
          <w:rFonts w:ascii="Times New Roman" w:hAnsi="Times New Roman"/>
          <w:sz w:val="24"/>
          <w:szCs w:val="24"/>
          <w:lang w:val="sk-SK"/>
        </w:rPr>
      </w:pPr>
      <w:r>
        <w:rPr>
          <w:rFonts w:ascii="Times New Roman" w:hAnsi="Times New Roman"/>
          <w:sz w:val="24"/>
          <w:szCs w:val="24"/>
          <w:lang w:val="sk-SK"/>
        </w:rPr>
      </w:r>
    </w:p>
    <w:p>
      <w:pPr>
        <w:pStyle w:val="NoSpacing"/>
        <w:jc w:val="both"/>
        <w:rPr>
          <w:rFonts w:ascii="Times New Roman" w:hAnsi="Times New Roman"/>
          <w:bCs/>
          <w:sz w:val="24"/>
          <w:szCs w:val="24"/>
          <w:u w:val="single"/>
          <w:lang w:val="sk-SK"/>
        </w:rPr>
      </w:pPr>
      <w:r>
        <w:rPr>
          <w:rFonts w:ascii="Times New Roman" w:hAnsi="Times New Roman"/>
          <w:bCs/>
          <w:sz w:val="24"/>
          <w:szCs w:val="24"/>
          <w:u w:val="single"/>
          <w:lang w:val="sk-SK"/>
        </w:rPr>
        <w:t>Zodpovednosť audítora  za audit účtovnej závierky</w:t>
      </w:r>
    </w:p>
    <w:p>
      <w:pPr>
        <w:pStyle w:val="NoSpacing"/>
        <w:jc w:val="both"/>
        <w:rPr>
          <w:rFonts w:ascii="Times New Roman" w:hAnsi="Times New Roman"/>
          <w:bCs/>
          <w:sz w:val="24"/>
          <w:szCs w:val="24"/>
          <w:lang w:val="sk-SK"/>
        </w:rPr>
      </w:pPr>
      <w:r>
        <w:rPr>
          <w:rFonts w:ascii="Times New Roman" w:hAnsi="Times New Roman"/>
          <w:bCs/>
          <w:sz w:val="24"/>
          <w:szCs w:val="24"/>
          <w:lang w:val="sk-SK"/>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pPr>
        <w:pStyle w:val="NoSpacing"/>
        <w:jc w:val="both"/>
        <w:rPr>
          <w:rFonts w:ascii="Times New Roman" w:hAnsi="Times New Roman"/>
          <w:sz w:val="24"/>
          <w:szCs w:val="24"/>
          <w:lang w:val="sk-SK"/>
        </w:rPr>
      </w:pPr>
      <w:r>
        <w:rPr>
          <w:rFonts w:ascii="Times New Roman" w:hAnsi="Times New Roman"/>
          <w:sz w:val="24"/>
          <w:szCs w:val="24"/>
          <w:lang w:val="sk-SK"/>
        </w:rPr>
      </w:r>
    </w:p>
    <w:p>
      <w:pPr>
        <w:pStyle w:val="NoSpacing"/>
        <w:jc w:val="both"/>
        <w:rPr>
          <w:rFonts w:ascii="Times New Roman" w:hAnsi="Times New Roman"/>
          <w:sz w:val="24"/>
          <w:szCs w:val="24"/>
          <w:lang w:val="sk-SK"/>
        </w:rPr>
      </w:pPr>
      <w:r>
        <w:rPr>
          <w:rFonts w:ascii="Times New Roman" w:hAnsi="Times New Roman"/>
          <w:sz w:val="24"/>
          <w:szCs w:val="24"/>
          <w:lang w:val="sk-SK"/>
        </w:rPr>
        <w:t xml:space="preserve">V rámci auditu uskutočneného podľa medzinárodných audítorských štandardov, počas celého auditu uplatňujem odborný úsudok a zachovávam  profesionálny skepticizmus. Okrem toho: </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 </w:t>
      </w:r>
    </w:p>
    <w:p>
      <w:pPr>
        <w:pStyle w:val="NoSpacing"/>
        <w:jc w:val="both"/>
        <w:rPr>
          <w:rFonts w:ascii="Times New Roman" w:hAnsi="Times New Roman"/>
          <w:sz w:val="24"/>
          <w:szCs w:val="24"/>
          <w:lang w:val="sk-SK"/>
        </w:rPr>
      </w:pPr>
      <w:r>
        <w:rPr>
          <w:rFonts w:ascii="Times New Roman" w:hAnsi="Times New Roman"/>
          <w:sz w:val="24"/>
          <w:szCs w:val="24"/>
          <w:lang w:val="sk-SK"/>
        </w:rPr>
        <w:t>Oboznamujem sa s internými kontrolami relevantnými pre audit, aby som mohla navrhnúť audítorské postupy vhodné za daných okolností, ale nie za účelom vyjadrenia názoru na efektívnosť interných kontrol Spoločnosti.</w:t>
      </w:r>
    </w:p>
    <w:p>
      <w:pPr>
        <w:pStyle w:val="NoSpacing"/>
        <w:jc w:val="both"/>
        <w:rPr>
          <w:rFonts w:ascii="Times New Roman" w:hAnsi="Times New Roman"/>
          <w:sz w:val="24"/>
          <w:szCs w:val="24"/>
          <w:lang w:val="sk-SK"/>
        </w:rPr>
      </w:pPr>
      <w:r>
        <w:rPr>
          <w:rFonts w:ascii="Times New Roman" w:hAnsi="Times New Roman"/>
          <w:sz w:val="24"/>
          <w:szCs w:val="24"/>
          <w:lang w:val="sk-SK"/>
        </w:rPr>
        <w:t>Hodnotím vhodnosť použitých účtovných zásad a účtovných metód a primeranosť účtovných odhadov a uvedenie s nimi súvisiacich informácií, uskutočnené štatutárnym orgánom.</w:t>
      </w:r>
    </w:p>
    <w:p>
      <w:pPr>
        <w:pStyle w:val="NoSpacing"/>
        <w:jc w:val="both"/>
        <w:rPr>
          <w:rFonts w:ascii="Times New Roman" w:hAnsi="Times New Roman"/>
          <w:sz w:val="24"/>
          <w:szCs w:val="24"/>
          <w:lang w:val="sk-SK"/>
        </w:rPr>
      </w:pPr>
      <w:r>
        <w:rPr>
          <w:rFonts w:ascii="Times New Roman" w:hAnsi="Times New Roman"/>
          <w:sz w:val="24"/>
          <w:szCs w:val="24"/>
          <w:lang w:val="sk-SK"/>
        </w:rPr>
        <w:t>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Spoločnosti nepretržite pokračovať v činnosti. Ak dospejem k záveru, že významná neistota existuje, som povinná upozorniť v svojej správe audítora na súvisiace informácie uvedené v účtovnej závierke alebo, ak sú tieto informácie nedostatočné, modifikovať môj názor. Moje závery vychádzajú z audítorských dôkazov získaných do dátumu vydania mojej správy audítora. Budúce udalosti alebo okolnosti však môžu spôsobiť, že Spoločnosť prestane pokračovať v nepretržitej činnosti.</w:t>
      </w:r>
    </w:p>
    <w:p>
      <w:pPr>
        <w:pStyle w:val="NoSpacing"/>
        <w:jc w:val="both"/>
        <w:rPr>
          <w:rFonts w:ascii="Times New Roman" w:hAnsi="Times New Roman"/>
          <w:sz w:val="24"/>
          <w:szCs w:val="24"/>
          <w:lang w:val="sk-SK"/>
        </w:rPr>
      </w:pPr>
      <w:r>
        <w:rPr>
          <w:rFonts w:ascii="Times New Roman" w:hAnsi="Times New Roman"/>
          <w:sz w:val="24"/>
          <w:szCs w:val="24"/>
          <w:lang w:val="sk-SK"/>
        </w:rPr>
        <w:t>Hodnotím celkovú prezentáciu, štruktúru a obsah účtovnej závierky vrátane informácií v nej uvedených, ako aj to, či účtovná závierka zachytáva uskutočnené transakcie a udalosti spôsobom, ktorý vedie k ich vernému zobrazeniu.</w:t>
      </w:r>
    </w:p>
    <w:p>
      <w:pPr>
        <w:pStyle w:val="NoSpacing"/>
        <w:jc w:val="both"/>
        <w:rPr>
          <w:rFonts w:ascii="Times New Roman" w:hAnsi="Times New Roman"/>
          <w:sz w:val="24"/>
          <w:szCs w:val="24"/>
          <w:lang w:val="sk-SK"/>
        </w:rPr>
      </w:pPr>
      <w:r>
        <w:rPr>
          <w:rFonts w:ascii="Times New Roman" w:hAnsi="Times New Roman"/>
          <w:sz w:val="24"/>
          <w:szCs w:val="24"/>
          <w:lang w:val="sk-SK"/>
        </w:rPr>
      </w:r>
    </w:p>
    <w:p>
      <w:pPr>
        <w:pStyle w:val="NoSpacing"/>
        <w:jc w:val="both"/>
        <w:rPr>
          <w:rFonts w:ascii="Times New Roman" w:hAnsi="Times New Roman"/>
          <w:sz w:val="24"/>
          <w:szCs w:val="24"/>
          <w:lang w:val="sk-SK"/>
        </w:rPr>
      </w:pPr>
      <w:r>
        <w:rPr>
          <w:rFonts w:ascii="Times New Roman" w:hAnsi="Times New Roman"/>
          <w:sz w:val="24"/>
          <w:szCs w:val="24"/>
          <w:lang w:val="sk-SK"/>
        </w:rPr>
        <w:t>Uskutočnila som audítorské postupy reagujúce na riziká a získala audítorské dôkazy, ktoré sú dostatočné a vhodné na poskytnutie základu pre môj názor, použité účtovné zásady a účtovné metódy a primeranosť účtovných odhadov boli dostatočné, štatutárny orgán  v účtovníctve používa predpoklad nepretržitého pokračovania v činnosti, významná neistota v súvislosti s udalosťami alebo okolnosťami, ktoré by mohli významne spochybniť schopnosť Spoločnosti nepretržite pokračovať v činnosti nebola zistená, celková prezentácia, štruktúra a obsah účtovnej závierky vrátane informácií v nej uvedených vedie k vernému zobrazeniu.</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Prirodzené riziko som posúdila s profesionálnym skepticizmom ako prijateľné riziko, tak ako sa mne javilo zo skutočnosti vykázanej v hospodárskej činnosti spoločnosti. Kontrolné riziko taktiež považujem za prijateľné, hoci poukazujem na možnosť jeho zvýšenia . Tým celkové riziko hospodárenia považujem po preskúmaní skutočností za primerané, významné nesprávnosti som nezistila. </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Keďže som nezistila v ročnej účtovnej závierke roka 2016 a výročnej správe viažucej sa k tomuto roku pri posudzovaní jednotlivých rizík významné nesprávnosti, v hore uvedenom štatutárnom výroku  dávam nepodmienené stanovisko. </w:t>
      </w:r>
    </w:p>
    <w:p>
      <w:pPr>
        <w:pStyle w:val="Default"/>
        <w:rPr>
          <w:rFonts w:ascii="Times New Roman" w:hAnsi="Times New Roman" w:cs="Times New Roman"/>
          <w:sz w:val="22"/>
          <w:szCs w:val="22"/>
        </w:rPr>
      </w:pPr>
      <w:r>
        <w:rPr>
          <w:rFonts w:cs="Times New Roman" w:ascii="Times New Roman" w:hAnsi="Times New Roman"/>
          <w:sz w:val="22"/>
          <w:szCs w:val="22"/>
        </w:rPr>
      </w:r>
    </w:p>
    <w:p>
      <w:pPr>
        <w:pStyle w:val="Level2"/>
        <w:widowControl w:val="false"/>
        <w:tabs>
          <w:tab w:val="left" w:pos="0" w:leader="none"/>
          <w:tab w:val="right" w:pos="360" w:leader="none"/>
          <w:tab w:val="left" w:pos="576" w:leader="none"/>
        </w:tabs>
        <w:spacing w:lineRule="auto" w:line="240" w:before="120" w:after="240"/>
        <w:ind w:left="0" w:hanging="0"/>
        <w:jc w:val="center"/>
        <w:rPr>
          <w:b/>
          <w:b/>
          <w:sz w:val="24"/>
          <w:lang w:val="sk-SK"/>
        </w:rPr>
      </w:pPr>
      <w:r>
        <w:rPr>
          <w:b/>
          <w:sz w:val="24"/>
          <w:lang w:val="sk-SK"/>
        </w:rPr>
        <w:t>Správa k ďalším požiadavkám zákonov a iných právnych predpisov</w:t>
      </w:r>
    </w:p>
    <w:p>
      <w:pPr>
        <w:pStyle w:val="NoSpacing"/>
        <w:jc w:val="both"/>
        <w:rPr>
          <w:rFonts w:ascii="Times New Roman" w:hAnsi="Times New Roman"/>
          <w:sz w:val="24"/>
          <w:szCs w:val="24"/>
          <w:lang w:val="sk-SK"/>
        </w:rPr>
      </w:pPr>
      <w:r>
        <w:rPr>
          <w:rFonts w:ascii="Times New Roman" w:hAnsi="Times New Roman"/>
          <w:sz w:val="24"/>
          <w:szCs w:val="24"/>
          <w:lang w:val="sk-SK"/>
        </w:rPr>
        <w:t>Správa k informáciám, ktoré sa uvádzajú vo výročnej správe</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V súvislosti s auditom účtovnej závierky je mojou zodpovednosťou oboznámenie sa s informáciami uvedenými vo výročnej správe a zváženie, či tieto informácie nie sú vo významnom nesúlade s auditovanou účtovnou závierkou alebo mojimi poznatkami, ktoré som získala počas auditu účtovnej závierky, alebo sa inak zdajú byť významne nesprávne. </w:t>
      </w:r>
    </w:p>
    <w:p>
      <w:pPr>
        <w:pStyle w:val="NoSpacing"/>
        <w:jc w:val="both"/>
        <w:rPr>
          <w:rFonts w:ascii="Times New Roman" w:hAnsi="Times New Roman"/>
          <w:sz w:val="24"/>
          <w:szCs w:val="24"/>
          <w:lang w:val="sk-SK"/>
        </w:rPr>
      </w:pPr>
      <w:r>
        <w:rPr>
          <w:rFonts w:ascii="Times New Roman" w:hAnsi="Times New Roman"/>
          <w:sz w:val="24"/>
          <w:szCs w:val="24"/>
          <w:lang w:val="sk-SK"/>
        </w:rPr>
        <w:t>Zvážila som, či výročná správa Spoločnosti obsahuje informácie, ktorých uvedenie vyžaduje zákon o účtovníctve.</w:t>
      </w:r>
    </w:p>
    <w:p>
      <w:pPr>
        <w:pStyle w:val="NoSpacing"/>
        <w:jc w:val="both"/>
        <w:rPr>
          <w:rFonts w:ascii="Times New Roman" w:hAnsi="Times New Roman"/>
          <w:sz w:val="24"/>
          <w:szCs w:val="24"/>
          <w:lang w:val="sk-SK"/>
        </w:rPr>
      </w:pPr>
      <w:r>
        <w:rPr>
          <w:rFonts w:ascii="Times New Roman" w:hAnsi="Times New Roman"/>
          <w:sz w:val="24"/>
          <w:szCs w:val="24"/>
          <w:lang w:val="sk-SK"/>
        </w:rPr>
        <w:t>Na základe prác vykonaných počas auditu účtovnej závierky, podľa môjho názoru:</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 informácie uvedené vo výročnej správe zostavenej za rok 2016 sú v súlade s účtovnou závierkou za daný rok, </w:t>
      </w:r>
    </w:p>
    <w:p>
      <w:pPr>
        <w:pStyle w:val="NoSpacing"/>
        <w:jc w:val="both"/>
        <w:rPr>
          <w:rFonts w:ascii="Times New Roman" w:hAnsi="Times New Roman"/>
          <w:sz w:val="24"/>
          <w:szCs w:val="24"/>
          <w:lang w:val="sk-SK"/>
        </w:rPr>
      </w:pPr>
      <w:r>
        <w:rPr>
          <w:rFonts w:ascii="Times New Roman" w:hAnsi="Times New Roman"/>
          <w:sz w:val="24"/>
          <w:szCs w:val="24"/>
          <w:lang w:val="sk-SK"/>
        </w:rPr>
        <w:t>- výročná správa obsahuje informácie podľa zákona o účtovníctve.</w:t>
      </w:r>
    </w:p>
    <w:p>
      <w:pPr>
        <w:pStyle w:val="NoSpacing"/>
        <w:jc w:val="both"/>
        <w:rPr>
          <w:rFonts w:ascii="Times New Roman" w:hAnsi="Times New Roman"/>
          <w:sz w:val="24"/>
          <w:szCs w:val="24"/>
          <w:lang w:val="sk-SK"/>
        </w:rPr>
      </w:pPr>
      <w:r>
        <w:rPr>
          <w:rFonts w:ascii="Times New Roman" w:hAnsi="Times New Roman"/>
          <w:sz w:val="24"/>
          <w:szCs w:val="24"/>
          <w:lang w:val="sk-SK"/>
        </w:rPr>
        <w:t>Okrem toho, na základe mojich poznatkov o účtovnej jednotke a situácii v nej, ktoré  som získala počas auditu účtovnej závierky, som povinná uviesť, či som zistila významné nesprávnosti vo výročnej správe, ktorú som dostala pred dátumom vydania tejto správy audítora.</w:t>
      </w:r>
      <w:r>
        <w:rPr>
          <w:rStyle w:val="Footnotereference"/>
          <w:rFonts w:ascii="Times New Roman" w:hAnsi="Times New Roman"/>
          <w:sz w:val="24"/>
          <w:szCs w:val="24"/>
          <w:lang w:val="sk-SK"/>
        </w:rPr>
        <w:t xml:space="preserve"> </w:t>
      </w:r>
    </w:p>
    <w:p>
      <w:pPr>
        <w:pStyle w:val="NoSpacing"/>
        <w:jc w:val="both"/>
        <w:rPr>
          <w:rFonts w:ascii="Times New Roman" w:hAnsi="Times New Roman"/>
          <w:sz w:val="24"/>
          <w:szCs w:val="24"/>
          <w:lang w:val="sk-SK"/>
        </w:rPr>
      </w:pPr>
      <w:r>
        <w:rPr>
          <w:rFonts w:ascii="Times New Roman" w:hAnsi="Times New Roman"/>
          <w:sz w:val="24"/>
          <w:szCs w:val="24"/>
          <w:lang w:val="sk-SK"/>
        </w:rPr>
        <w:t xml:space="preserve">V tejto súvislosti neexistujú zistenia, ktoré by som mala uviesť. </w:t>
      </w:r>
    </w:p>
    <w:p>
      <w:pPr>
        <w:pStyle w:val="Normal"/>
        <w:spacing w:lineRule="auto" w:line="240" w:before="0" w:after="0"/>
        <w:rPr>
          <w:rFonts w:ascii="Times New Roman" w:hAnsi="Times New Roman" w:cs="Times New Roman"/>
          <w:bCs/>
          <w:sz w:val="24"/>
          <w:szCs w:val="24"/>
        </w:rPr>
      </w:pPr>
      <w:r>
        <w:rPr>
          <w:rFonts w:cs="Times New Roman" w:ascii="Times New Roman" w:hAnsi="Times New Roman"/>
          <w:bCs/>
          <w:sz w:val="24"/>
          <w:szCs w:val="24"/>
        </w:rPr>
      </w:r>
    </w:p>
    <w:p>
      <w:pPr>
        <w:pStyle w:val="Normal"/>
        <w:spacing w:lineRule="auto" w:line="240" w:before="0" w:after="0"/>
        <w:rPr>
          <w:rFonts w:ascii="Times New Roman" w:hAnsi="Times New Roman" w:cs="Times New Roman"/>
          <w:bCs/>
          <w:sz w:val="24"/>
          <w:szCs w:val="24"/>
        </w:rPr>
      </w:pPr>
      <w:r>
        <w:rPr>
          <w:rFonts w:cs="Times New Roman" w:ascii="Times New Roman" w:hAnsi="Times New Roman"/>
          <w:bCs/>
          <w:sz w:val="24"/>
          <w:szCs w:val="24"/>
        </w:rPr>
      </w:r>
    </w:p>
    <w:p>
      <w:pPr>
        <w:pStyle w:val="Normal"/>
        <w:spacing w:lineRule="auto" w:line="240" w:before="0" w:after="0"/>
        <w:rPr>
          <w:rFonts w:ascii="Times New Roman" w:hAnsi="Times New Roman" w:cs="Times New Roman"/>
          <w:bCs/>
          <w:sz w:val="24"/>
          <w:szCs w:val="24"/>
        </w:rPr>
      </w:pPr>
      <w:r>
        <w:rPr>
          <w:rFonts w:cs="Times New Roman" w:ascii="Times New Roman" w:hAnsi="Times New Roman"/>
          <w:bCs/>
          <w:sz w:val="24"/>
          <w:szCs w:val="24"/>
        </w:rPr>
        <w:t>Vo Zvolene, 29.06.2017</w:t>
      </w:r>
    </w:p>
    <w:p>
      <w:pPr>
        <w:pStyle w:val="Normal"/>
        <w:spacing w:lineRule="auto" w:line="240" w:before="0" w:after="0"/>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sz w:val="24"/>
          <w:szCs w:val="24"/>
          <w:lang w:val="en-GB"/>
        </w:rPr>
      </w:pPr>
      <w:r>
        <w:rPr>
          <w:rFonts w:cs="Times New Roman" w:ascii="Times New Roman" w:hAnsi="Times New Roman"/>
          <w:sz w:val="24"/>
          <w:szCs w:val="24"/>
          <w:lang w:val="en-GB"/>
        </w:rPr>
      </w:r>
    </w:p>
    <w:p>
      <w:pPr>
        <w:pStyle w:val="Normal"/>
        <w:rPr>
          <w:rFonts w:ascii="Times New Roman" w:hAnsi="Times New Roman" w:cs="Times New Roman"/>
          <w:sz w:val="24"/>
          <w:szCs w:val="24"/>
          <w:lang w:val="en-GB"/>
        </w:rPr>
      </w:pPr>
      <w:r>
        <w:rPr>
          <w:rFonts w:cs="Times New Roman" w:ascii="Times New Roman" w:hAnsi="Times New Roman"/>
          <w:sz w:val="24"/>
          <w:szCs w:val="24"/>
          <w:lang w:val="en-GB"/>
        </w:rPr>
      </w:r>
    </w:p>
    <w:p>
      <w:pPr>
        <w:pStyle w:val="Normal"/>
        <w:rPr>
          <w:rFonts w:ascii="Times New Roman" w:hAnsi="Times New Roman" w:cs="Times New Roman"/>
          <w:sz w:val="24"/>
          <w:szCs w:val="24"/>
          <w:lang w:val="en-GB"/>
        </w:rPr>
      </w:pPr>
      <w:r>
        <w:rPr>
          <w:rFonts w:cs="Times New Roman" w:ascii="Times New Roman" w:hAnsi="Times New Roman"/>
          <w:sz w:val="24"/>
          <w:szCs w:val="24"/>
          <w:lang w:val="en-GB"/>
        </w:rPr>
        <w:t>Ing. Anna Kalinov</w:t>
      </w:r>
      <w:r>
        <w:rPr>
          <w:rFonts w:cs="Times New Roman" w:ascii="Times New Roman" w:hAnsi="Times New Roman"/>
          <w:sz w:val="24"/>
          <w:szCs w:val="24"/>
        </w:rPr>
        <w:t>á,  licencia N</w:t>
      </w:r>
      <w:r>
        <w:rPr>
          <w:rFonts w:cs="Times New Roman" w:ascii="Times New Roman" w:hAnsi="Times New Roman"/>
          <w:sz w:val="24"/>
          <w:szCs w:val="24"/>
          <w:lang w:val="en-GB"/>
        </w:rPr>
        <w:t>°517</w:t>
      </w:r>
    </w:p>
    <w:p>
      <w:pPr>
        <w:pStyle w:val="Normal"/>
        <w:rPr>
          <w:rFonts w:ascii="Times New Roman" w:hAnsi="Times New Roman" w:cs="Times New Roman"/>
        </w:rPr>
      </w:pPr>
      <w:r>
        <w:rPr>
          <w:rFonts w:cs="Times New Roman" w:ascii="Times New Roman" w:hAnsi="Times New Roman"/>
          <w:sz w:val="24"/>
          <w:szCs w:val="24"/>
        </w:rPr>
        <w:t>P. Jilemnického 613/11, 960 01 Zvolen</w: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pPr>
      <w:r>
        <w:rPr/>
      </w:r>
    </w:p>
    <w:sectPr>
      <w:type w:val="nextPage"/>
      <w:pgSz w:w="11906" w:h="16838"/>
      <w:pgMar w:left="1417" w:right="1417" w:header="0" w:top="1417" w:footer="0" w:bottom="1417"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swiss"/>
    <w:pitch w:val="variable"/>
  </w:font>
  <w:font w:name="Times New Roman">
    <w:charset w:val="ee"/>
    <w:family w:val="roman"/>
    <w:pitch w:val="variable"/>
  </w:font>
  <w:font w:name="Arial">
    <w:charset w:val="ee"/>
    <w:family w:val="roman"/>
    <w:pitch w:val="variable"/>
  </w:font>
</w:fonts>
</file>

<file path=word/settings.xml><?xml version="1.0" encoding="utf-8"?>
<w:settings xmlns:w="http://schemas.openxmlformats.org/wordprocessingml/2006/main">
  <w:zoom w:percent="100"/>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sk-SK" w:eastAsia="en-US" w:bidi="ar-SA"/>
      </w:rPr>
    </w:rPrDefault>
    <w:pPrDefault>
      <w:pPr>
        <w:spacing w:lineRule="auto" w:line="276"/>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c479a"/>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sz w:val="22"/>
      <w:szCs w:val="22"/>
      <w:lang w:val="sk-SK" w:eastAsia="en-US" w:bidi="ar-SA"/>
    </w:rPr>
  </w:style>
  <w:style w:type="character" w:styleId="DefaultParagraphFont" w:default="1">
    <w:name w:val="Default Paragraph Font"/>
    <w:uiPriority w:val="1"/>
    <w:semiHidden/>
    <w:unhideWhenUsed/>
    <w:qFormat/>
    <w:rPr/>
  </w:style>
  <w:style w:type="character" w:styleId="Footnotereference">
    <w:name w:val="footnote reference"/>
    <w:unhideWhenUsed/>
    <w:qFormat/>
    <w:rsid w:val="004c479a"/>
    <w:rPr>
      <w:vertAlign w:val="superscript"/>
    </w:rPr>
  </w:style>
  <w:style w:type="character" w:styleId="ListLabel1">
    <w:name w:val="ListLabel 1"/>
    <w:qFormat/>
    <w:rPr>
      <w:rFonts w:eastAsia="Calibri" w:cs=""/>
    </w:rPr>
  </w:style>
  <w:style w:type="character" w:styleId="ListLabel2">
    <w:name w:val="ListLabel 2"/>
    <w:qFormat/>
    <w:rPr>
      <w:rFonts w:cs="Courier New"/>
    </w:rPr>
  </w:style>
  <w:style w:type="paragraph" w:styleId="Nadpis">
    <w:name w:val="Nadpis"/>
    <w:basedOn w:val="Normal"/>
    <w:next w:val="Telotextu"/>
    <w:qFormat/>
    <w:pPr>
      <w:keepNext/>
      <w:spacing w:before="240" w:after="120"/>
    </w:pPr>
    <w:rPr>
      <w:rFonts w:ascii="Liberation Sans" w:hAnsi="Liberation Sans" w:eastAsia="Microsoft YaHei" w:cs="Arial"/>
      <w:sz w:val="28"/>
      <w:szCs w:val="28"/>
    </w:rPr>
  </w:style>
  <w:style w:type="paragraph" w:styleId="Telotextu">
    <w:name w:val="Telo textu"/>
    <w:basedOn w:val="Normal"/>
    <w:pPr>
      <w:spacing w:lineRule="auto" w:line="288" w:before="0" w:after="140"/>
    </w:pPr>
    <w:rPr/>
  </w:style>
  <w:style w:type="paragraph" w:styleId="Zoznam">
    <w:name w:val="Zoznam"/>
    <w:basedOn w:val="Telotextu"/>
    <w:pPr/>
    <w:rPr>
      <w:rFonts w:cs="Arial"/>
    </w:rPr>
  </w:style>
  <w:style w:type="paragraph" w:styleId="Popis">
    <w:name w:val="Popis"/>
    <w:basedOn w:val="Normal"/>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4c479a"/>
    <w:pPr>
      <w:spacing w:lineRule="auto" w:line="240" w:before="0" w:after="0"/>
      <w:ind w:left="720" w:hanging="0"/>
      <w:contextualSpacing/>
    </w:pPr>
    <w:rPr>
      <w:rFonts w:ascii="Times New Roman" w:hAnsi="Times New Roman"/>
      <w:sz w:val="24"/>
      <w:lang w:val="en-US"/>
    </w:rPr>
  </w:style>
  <w:style w:type="paragraph" w:styleId="Level2" w:customStyle="1">
    <w:name w:val="level 2"/>
    <w:basedOn w:val="Normal"/>
    <w:qFormat/>
    <w:rsid w:val="004c479a"/>
    <w:pPr>
      <w:tabs>
        <w:tab w:val="right" w:pos="360" w:leader="none"/>
        <w:tab w:val="left" w:pos="576" w:leader="none"/>
      </w:tabs>
      <w:spacing w:lineRule="exact" w:line="220" w:before="120" w:after="120"/>
      <w:ind w:left="1008" w:hanging="432"/>
      <w:jc w:val="both"/>
    </w:pPr>
    <w:rPr>
      <w:rFonts w:ascii="Times New Roman" w:hAnsi="Times New Roman" w:eastAsia="Times New Roman" w:cs="Times New Roman"/>
      <w:sz w:val="20"/>
      <w:szCs w:val="20"/>
      <w:lang w:val="en-US" w:bidi="he-IL"/>
    </w:rPr>
  </w:style>
  <w:style w:type="paragraph" w:styleId="Default" w:customStyle="1">
    <w:name w:val="Default"/>
    <w:qFormat/>
    <w:rsid w:val="004c479a"/>
    <w:pPr>
      <w:widowControl/>
      <w:suppressAutoHyphens w:val="true"/>
      <w:bidi w:val="0"/>
      <w:spacing w:lineRule="auto" w:line="240" w:before="0" w:after="0"/>
      <w:jc w:val="left"/>
    </w:pPr>
    <w:rPr>
      <w:rFonts w:ascii="Arial" w:hAnsi="Arial" w:eastAsia="Calibri" w:cs="Arial"/>
      <w:color w:val="000000"/>
      <w:sz w:val="24"/>
      <w:szCs w:val="24"/>
      <w:lang w:eastAsia="sk-SK" w:val="sk-SK" w:bidi="ar-SA"/>
    </w:rPr>
  </w:style>
  <w:style w:type="paragraph" w:styleId="NoSpacing">
    <w:name w:val="No Spacing"/>
    <w:uiPriority w:val="1"/>
    <w:qFormat/>
    <w:rsid w:val="006e0abc"/>
    <w:pPr>
      <w:widowControl/>
      <w:suppressAutoHyphens w:val="true"/>
      <w:bidi w:val="0"/>
      <w:spacing w:lineRule="auto" w:line="240" w:before="0" w:after="0"/>
      <w:jc w:val="left"/>
    </w:pPr>
    <w:rPr>
      <w:rFonts w:ascii="Calibri" w:hAnsi="Calibri" w:eastAsia="Calibri" w:cs="Times New Roman" w:asciiTheme="minorHAnsi" w:eastAsiaTheme="minorHAnsi" w:hAnsiTheme="minorHAnsi"/>
      <w:color w:val="auto"/>
      <w:sz w:val="22"/>
      <w:szCs w:val="22"/>
      <w:lang w:val="en-US" w:eastAsia="en-US" w:bidi="ar-SA"/>
    </w:rPr>
  </w:style>
  <w:style w:type="numbering" w:styleId="NoList" w:default="1">
    <w:name w:val="No List"/>
    <w:uiPriority w:val="99"/>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284</TotalTime>
  <Application>LibreOffice/4.4.2.2$Windows_x86 LibreOffice_project/c4c7d32d0d49397cad38d62472b0bc8acff48dd6</Application>
  <Paragraphs>45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2017-03-30T08:05:00Z</dcterms:created>
  <dc:creator>Anna Kalinova</dc:creator>
  <dc:language>sk-SK</dc:language>
  <cp:lastModifiedBy>Anna Kalinova</cp:lastModifiedBy>
  <dcterms:modified xsi:type="dcterms:W3CDTF">2017-09-13T11:58:00Z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