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charts/chart10.xml" ContentType="application/vnd.openxmlformats-officedocument.drawingml.chart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footer1.xml" ContentType="application/vnd.openxmlformats-officedocument.wordprocessingml.footer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1D4" w:rsidRDefault="000001D4" w:rsidP="000001D4">
      <w:pPr>
        <w:jc w:val="center"/>
      </w:pPr>
    </w:p>
    <w:p w:rsidR="009E69AF" w:rsidRPr="007A3243" w:rsidRDefault="007A3243" w:rsidP="007A3243">
      <w:pPr>
        <w:pStyle w:val="Nzov"/>
      </w:pPr>
      <w:r w:rsidRPr="007A3243">
        <w:t>FAPO, spol. s r.o.</w:t>
      </w:r>
    </w:p>
    <w:p w:rsidR="009E69AF" w:rsidRDefault="009E69AF" w:rsidP="000001D4">
      <w:pPr>
        <w:jc w:val="center"/>
      </w:pPr>
    </w:p>
    <w:p w:rsidR="009E69AF" w:rsidRDefault="009E69AF" w:rsidP="000001D4">
      <w:pPr>
        <w:jc w:val="center"/>
      </w:pPr>
    </w:p>
    <w:p w:rsidR="009E69AF" w:rsidRDefault="009E69AF" w:rsidP="00F12AB1">
      <w:pPr>
        <w:pStyle w:val="Bezriadkovania"/>
      </w:pPr>
    </w:p>
    <w:p w:rsidR="009E69AF" w:rsidRDefault="009E69AF" w:rsidP="0042057B"/>
    <w:p w:rsidR="0042057B" w:rsidRDefault="007A3243" w:rsidP="0042057B">
      <w:r>
        <w:rPr>
          <w:noProof/>
          <w:lang w:eastAsia="sk-SK" w:bidi="ar-SA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1061720</wp:posOffset>
            </wp:positionH>
            <wp:positionV relativeFrom="paragraph">
              <wp:posOffset>125730</wp:posOffset>
            </wp:positionV>
            <wp:extent cx="3808730" cy="2095500"/>
            <wp:effectExtent l="19050" t="0" r="1270" b="0"/>
            <wp:wrapNone/>
            <wp:docPr id="300" name="Obrázok 3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0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8730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</w:p>
    <w:p w:rsidR="0042057B" w:rsidRDefault="0042057B" w:rsidP="0042057B"/>
    <w:p w:rsidR="0042057B" w:rsidRDefault="0042057B" w:rsidP="0042057B"/>
    <w:p w:rsidR="000001D4" w:rsidRDefault="000001D4" w:rsidP="000001D4">
      <w:pPr>
        <w:jc w:val="center"/>
      </w:pPr>
    </w:p>
    <w:p w:rsidR="009934FA" w:rsidRDefault="009934FA" w:rsidP="000001D4">
      <w:pPr>
        <w:jc w:val="center"/>
      </w:pPr>
    </w:p>
    <w:p w:rsidR="0042057B" w:rsidRDefault="0042057B" w:rsidP="0042057B">
      <w:pPr>
        <w:jc w:val="center"/>
        <w:rPr>
          <w:rFonts w:ascii="Arial" w:hAnsi="Arial" w:cs="Arial"/>
          <w:b/>
          <w:i w:val="0"/>
          <w:caps/>
          <w:color w:val="999999"/>
          <w:sz w:val="72"/>
          <w:szCs w:val="72"/>
        </w:rPr>
      </w:pPr>
    </w:p>
    <w:p w:rsidR="00A061A0" w:rsidRDefault="00A061A0" w:rsidP="0042057B">
      <w:pPr>
        <w:jc w:val="center"/>
        <w:rPr>
          <w:rFonts w:ascii="Arial" w:hAnsi="Arial" w:cs="Arial"/>
          <w:b/>
          <w:i w:val="0"/>
          <w:caps/>
          <w:sz w:val="96"/>
          <w:szCs w:val="96"/>
        </w:rPr>
      </w:pPr>
    </w:p>
    <w:p w:rsidR="00A061A0" w:rsidRDefault="00A061A0" w:rsidP="0042057B">
      <w:pPr>
        <w:jc w:val="center"/>
        <w:rPr>
          <w:rFonts w:ascii="Arial" w:hAnsi="Arial" w:cs="Arial"/>
          <w:b/>
          <w:i w:val="0"/>
          <w:caps/>
          <w:sz w:val="96"/>
          <w:szCs w:val="96"/>
        </w:rPr>
      </w:pPr>
    </w:p>
    <w:p w:rsidR="000001D4" w:rsidRPr="00DA661D" w:rsidRDefault="000001D4" w:rsidP="0042057B">
      <w:pPr>
        <w:jc w:val="center"/>
        <w:rPr>
          <w:rFonts w:ascii="Arial" w:hAnsi="Arial" w:cs="Arial"/>
          <w:b/>
          <w:i w:val="0"/>
          <w:caps/>
          <w:sz w:val="96"/>
          <w:szCs w:val="96"/>
        </w:rPr>
      </w:pPr>
      <w:r w:rsidRPr="00DA661D">
        <w:rPr>
          <w:rFonts w:ascii="Arial" w:hAnsi="Arial" w:cs="Arial"/>
          <w:b/>
          <w:i w:val="0"/>
          <w:caps/>
          <w:sz w:val="96"/>
          <w:szCs w:val="96"/>
        </w:rPr>
        <w:t>Výročná správa</w:t>
      </w:r>
    </w:p>
    <w:p w:rsidR="000001D4" w:rsidRPr="00DA661D" w:rsidRDefault="00483465" w:rsidP="0042057B">
      <w:pPr>
        <w:jc w:val="center"/>
        <w:rPr>
          <w:rFonts w:ascii="Arial" w:hAnsi="Arial" w:cs="Arial"/>
          <w:b/>
          <w:i w:val="0"/>
          <w:sz w:val="240"/>
          <w:szCs w:val="240"/>
        </w:rPr>
      </w:pPr>
      <w:r w:rsidRPr="00DA661D">
        <w:rPr>
          <w:rFonts w:ascii="Arial" w:hAnsi="Arial" w:cs="Arial"/>
          <w:b/>
          <w:i w:val="0"/>
          <w:sz w:val="240"/>
          <w:szCs w:val="240"/>
        </w:rPr>
        <w:t>20</w:t>
      </w:r>
      <w:r w:rsidR="00DF7873">
        <w:rPr>
          <w:rFonts w:ascii="Arial" w:hAnsi="Arial" w:cs="Arial"/>
          <w:b/>
          <w:i w:val="0"/>
          <w:sz w:val="240"/>
          <w:szCs w:val="240"/>
        </w:rPr>
        <w:t>1</w:t>
      </w:r>
      <w:r w:rsidR="0039709D">
        <w:rPr>
          <w:rFonts w:ascii="Arial" w:hAnsi="Arial" w:cs="Arial"/>
          <w:b/>
          <w:i w:val="0"/>
          <w:sz w:val="240"/>
          <w:szCs w:val="240"/>
        </w:rPr>
        <w:t>6</w:t>
      </w:r>
    </w:p>
    <w:p w:rsidR="000001D4" w:rsidRDefault="000001D4" w:rsidP="000001D4">
      <w:pPr>
        <w:jc w:val="center"/>
      </w:pPr>
    </w:p>
    <w:p w:rsidR="000001D4" w:rsidRDefault="000001D4" w:rsidP="000001D4">
      <w:pPr>
        <w:jc w:val="center"/>
      </w:pPr>
    </w:p>
    <w:p w:rsidR="009E69AF" w:rsidRDefault="009E69AF" w:rsidP="006C0BEE">
      <w:pPr>
        <w:sectPr w:rsidR="009E69AF" w:rsidSect="00D10F85">
          <w:headerReference w:type="default" r:id="rId9"/>
          <w:footerReference w:type="even" r:id="rId10"/>
          <w:footerReference w:type="default" r:id="rId11"/>
          <w:pgSz w:w="11906" w:h="16838" w:code="9"/>
          <w:pgMar w:top="539" w:right="1418" w:bottom="357" w:left="1418" w:header="709" w:footer="709" w:gutter="0"/>
          <w:cols w:space="708"/>
          <w:titlePg/>
          <w:docGrid w:linePitch="360"/>
        </w:sectPr>
      </w:pPr>
    </w:p>
    <w:p w:rsidR="006E0B13" w:rsidRPr="00F96BC1" w:rsidRDefault="006E0B13" w:rsidP="00533380">
      <w:pPr>
        <w:pStyle w:val="Nadpis1"/>
        <w:rPr>
          <w:i w:val="0"/>
          <w:caps/>
        </w:rPr>
      </w:pPr>
      <w:bookmarkStart w:id="0" w:name="_Toc133220729"/>
      <w:bookmarkStart w:id="1" w:name="_Toc288732788"/>
      <w:r w:rsidRPr="00F96BC1">
        <w:rPr>
          <w:i w:val="0"/>
          <w:caps/>
        </w:rPr>
        <w:lastRenderedPageBreak/>
        <w:t>Identifikačné údaje spoločnosti</w:t>
      </w:r>
      <w:bookmarkEnd w:id="0"/>
      <w:bookmarkEnd w:id="1"/>
    </w:p>
    <w:p w:rsidR="0086191C" w:rsidRPr="00405B36" w:rsidRDefault="0086191C" w:rsidP="006E0B13">
      <w:pPr>
        <w:jc w:val="center"/>
        <w:rPr>
          <w:b/>
          <w:sz w:val="32"/>
          <w:szCs w:val="32"/>
        </w:rPr>
      </w:pPr>
    </w:p>
    <w:tbl>
      <w:tblPr>
        <w:tblW w:w="8960" w:type="dxa"/>
        <w:tblInd w:w="53" w:type="dxa"/>
        <w:tblCellMar>
          <w:left w:w="70" w:type="dxa"/>
          <w:right w:w="70" w:type="dxa"/>
        </w:tblCellMar>
        <w:tblLook w:val="0000"/>
      </w:tblPr>
      <w:tblGrid>
        <w:gridCol w:w="2440"/>
        <w:gridCol w:w="6520"/>
      </w:tblGrid>
      <w:tr w:rsidR="0086191C" w:rsidRPr="00C768AF">
        <w:trPr>
          <w:trHeight w:val="255"/>
        </w:trPr>
        <w:tc>
          <w:tcPr>
            <w:tcW w:w="2440" w:type="dxa"/>
            <w:shd w:val="clear" w:color="auto" w:fill="FFFFFF"/>
          </w:tcPr>
          <w:p w:rsidR="0086191C" w:rsidRPr="00C768AF" w:rsidRDefault="0086191C">
            <w:pPr>
              <w:rPr>
                <w:rFonts w:ascii="Arial" w:hAnsi="Arial" w:cs="Arial"/>
              </w:rPr>
            </w:pPr>
            <w:r w:rsidRPr="00C768AF">
              <w:rPr>
                <w:rFonts w:ascii="Arial" w:hAnsi="Arial" w:cs="Arial"/>
              </w:rPr>
              <w:t>Obchodné meno: </w:t>
            </w:r>
          </w:p>
        </w:tc>
        <w:tc>
          <w:tcPr>
            <w:tcW w:w="6520" w:type="dxa"/>
            <w:shd w:val="clear" w:color="auto" w:fill="FFFFFF"/>
            <w:vAlign w:val="bottom"/>
          </w:tcPr>
          <w:p w:rsidR="0086191C" w:rsidRPr="00C768AF" w:rsidRDefault="00F12A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FAPO, spol. s r.o.</w:t>
            </w:r>
          </w:p>
        </w:tc>
      </w:tr>
      <w:tr w:rsidR="0086191C" w:rsidRPr="00C768AF">
        <w:trPr>
          <w:trHeight w:val="255"/>
        </w:trPr>
        <w:tc>
          <w:tcPr>
            <w:tcW w:w="2440" w:type="dxa"/>
            <w:vMerge w:val="restart"/>
            <w:shd w:val="clear" w:color="auto" w:fill="FFFFFF"/>
          </w:tcPr>
          <w:p w:rsidR="0086191C" w:rsidRPr="00C768AF" w:rsidRDefault="0086191C">
            <w:pPr>
              <w:rPr>
                <w:rFonts w:ascii="Arial" w:hAnsi="Arial" w:cs="Arial"/>
              </w:rPr>
            </w:pPr>
            <w:r w:rsidRPr="00C768AF">
              <w:rPr>
                <w:rFonts w:ascii="Arial" w:hAnsi="Arial" w:cs="Arial"/>
              </w:rPr>
              <w:t>Sídlo: </w:t>
            </w:r>
          </w:p>
        </w:tc>
        <w:tc>
          <w:tcPr>
            <w:tcW w:w="6520" w:type="dxa"/>
            <w:shd w:val="clear" w:color="auto" w:fill="FFFFFF"/>
            <w:vAlign w:val="bottom"/>
          </w:tcPr>
          <w:p w:rsidR="0086191C" w:rsidRPr="00C768AF" w:rsidRDefault="00F12AB1" w:rsidP="00F12A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29. Augusta 9/9</w:t>
            </w:r>
          </w:p>
        </w:tc>
      </w:tr>
      <w:tr w:rsidR="0086191C" w:rsidRPr="00C768AF">
        <w:trPr>
          <w:trHeight w:val="255"/>
        </w:trPr>
        <w:tc>
          <w:tcPr>
            <w:tcW w:w="2440" w:type="dxa"/>
            <w:vMerge/>
            <w:vAlign w:val="center"/>
          </w:tcPr>
          <w:p w:rsidR="0086191C" w:rsidRPr="00C768AF" w:rsidRDefault="0086191C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  <w:vAlign w:val="bottom"/>
          </w:tcPr>
          <w:p w:rsidR="0086191C" w:rsidRPr="00C768AF" w:rsidRDefault="00F12A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SK-92400 Galanta</w:t>
            </w:r>
          </w:p>
        </w:tc>
      </w:tr>
      <w:tr w:rsidR="0086191C" w:rsidRPr="00C768AF">
        <w:trPr>
          <w:trHeight w:val="255"/>
        </w:trPr>
        <w:tc>
          <w:tcPr>
            <w:tcW w:w="2440" w:type="dxa"/>
            <w:shd w:val="clear" w:color="auto" w:fill="FFFFFF"/>
          </w:tcPr>
          <w:p w:rsidR="0086191C" w:rsidRPr="00C768AF" w:rsidRDefault="0086191C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  <w:vAlign w:val="bottom"/>
          </w:tcPr>
          <w:p w:rsidR="0086191C" w:rsidRPr="00C768AF" w:rsidRDefault="0086191C">
            <w:pPr>
              <w:rPr>
                <w:rFonts w:ascii="Arial" w:hAnsi="Arial" w:cs="Arial"/>
              </w:rPr>
            </w:pPr>
          </w:p>
        </w:tc>
      </w:tr>
      <w:tr w:rsidR="0086191C" w:rsidRPr="00C768AF">
        <w:trPr>
          <w:trHeight w:val="255"/>
        </w:trPr>
        <w:tc>
          <w:tcPr>
            <w:tcW w:w="2440" w:type="dxa"/>
            <w:shd w:val="clear" w:color="auto" w:fill="FFFFFF"/>
          </w:tcPr>
          <w:p w:rsidR="0086191C" w:rsidRPr="00C768AF" w:rsidRDefault="0086191C">
            <w:pPr>
              <w:rPr>
                <w:rFonts w:ascii="Arial" w:hAnsi="Arial" w:cs="Arial"/>
              </w:rPr>
            </w:pPr>
            <w:r w:rsidRPr="00C768AF">
              <w:rPr>
                <w:rFonts w:ascii="Arial" w:hAnsi="Arial" w:cs="Arial"/>
              </w:rPr>
              <w:t>IČO: </w:t>
            </w:r>
          </w:p>
        </w:tc>
        <w:tc>
          <w:tcPr>
            <w:tcW w:w="6520" w:type="dxa"/>
            <w:shd w:val="clear" w:color="auto" w:fill="FFFFFF"/>
            <w:vAlign w:val="bottom"/>
          </w:tcPr>
          <w:p w:rsidR="0086191C" w:rsidRPr="00C768AF" w:rsidRDefault="0086191C" w:rsidP="00F12AB1">
            <w:pPr>
              <w:rPr>
                <w:rFonts w:ascii="Arial" w:hAnsi="Arial" w:cs="Arial"/>
              </w:rPr>
            </w:pPr>
            <w:r w:rsidRPr="00C768AF">
              <w:rPr>
                <w:rFonts w:ascii="Arial" w:hAnsi="Arial" w:cs="Arial"/>
              </w:rPr>
              <w:t>36</w:t>
            </w:r>
            <w:r w:rsidR="00F12AB1">
              <w:rPr>
                <w:rFonts w:ascii="Arial" w:hAnsi="Arial" w:cs="Arial"/>
              </w:rPr>
              <w:t> 226 556</w:t>
            </w:r>
          </w:p>
        </w:tc>
      </w:tr>
      <w:tr w:rsidR="0086191C" w:rsidRPr="00C768AF">
        <w:trPr>
          <w:trHeight w:val="255"/>
        </w:trPr>
        <w:tc>
          <w:tcPr>
            <w:tcW w:w="2440" w:type="dxa"/>
            <w:shd w:val="clear" w:color="auto" w:fill="FFFFFF"/>
          </w:tcPr>
          <w:p w:rsidR="0086191C" w:rsidRPr="00C768AF" w:rsidRDefault="0086191C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  <w:vAlign w:val="bottom"/>
          </w:tcPr>
          <w:p w:rsidR="0086191C" w:rsidRPr="00C768AF" w:rsidRDefault="0086191C">
            <w:pPr>
              <w:rPr>
                <w:rFonts w:ascii="Arial" w:hAnsi="Arial" w:cs="Arial"/>
              </w:rPr>
            </w:pPr>
          </w:p>
        </w:tc>
      </w:tr>
      <w:tr w:rsidR="0086191C" w:rsidRPr="00C768AF">
        <w:trPr>
          <w:trHeight w:val="255"/>
        </w:trPr>
        <w:tc>
          <w:tcPr>
            <w:tcW w:w="2440" w:type="dxa"/>
            <w:shd w:val="clear" w:color="auto" w:fill="FFFFFF"/>
          </w:tcPr>
          <w:p w:rsidR="0086191C" w:rsidRPr="00C768AF" w:rsidRDefault="0086191C">
            <w:pPr>
              <w:rPr>
                <w:rFonts w:ascii="Arial" w:hAnsi="Arial" w:cs="Arial"/>
              </w:rPr>
            </w:pPr>
            <w:r w:rsidRPr="00C768AF">
              <w:rPr>
                <w:rFonts w:ascii="Arial" w:hAnsi="Arial" w:cs="Arial"/>
              </w:rPr>
              <w:t>Deň zápisu: </w:t>
            </w:r>
          </w:p>
        </w:tc>
        <w:tc>
          <w:tcPr>
            <w:tcW w:w="6520" w:type="dxa"/>
            <w:shd w:val="clear" w:color="auto" w:fill="FFFFFF"/>
            <w:vAlign w:val="bottom"/>
          </w:tcPr>
          <w:p w:rsidR="0086191C" w:rsidRPr="00C768AF" w:rsidRDefault="00F12A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26.01.1998</w:t>
            </w:r>
          </w:p>
        </w:tc>
      </w:tr>
      <w:tr w:rsidR="0086191C" w:rsidRPr="00C768AF">
        <w:trPr>
          <w:trHeight w:val="255"/>
        </w:trPr>
        <w:tc>
          <w:tcPr>
            <w:tcW w:w="2440" w:type="dxa"/>
            <w:shd w:val="clear" w:color="auto" w:fill="FFFFFF"/>
          </w:tcPr>
          <w:p w:rsidR="0086191C" w:rsidRPr="00C768AF" w:rsidRDefault="0086191C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  <w:vAlign w:val="bottom"/>
          </w:tcPr>
          <w:p w:rsidR="0086191C" w:rsidRPr="00C768AF" w:rsidRDefault="0086191C">
            <w:pPr>
              <w:rPr>
                <w:rFonts w:ascii="Arial" w:hAnsi="Arial" w:cs="Arial"/>
              </w:rPr>
            </w:pPr>
          </w:p>
        </w:tc>
      </w:tr>
      <w:tr w:rsidR="0086191C" w:rsidRPr="00C768AF">
        <w:trPr>
          <w:trHeight w:val="255"/>
        </w:trPr>
        <w:tc>
          <w:tcPr>
            <w:tcW w:w="2440" w:type="dxa"/>
            <w:shd w:val="clear" w:color="auto" w:fill="FFFFFF"/>
          </w:tcPr>
          <w:p w:rsidR="0086191C" w:rsidRPr="00C768AF" w:rsidRDefault="0086191C">
            <w:pPr>
              <w:rPr>
                <w:rFonts w:ascii="Arial" w:hAnsi="Arial" w:cs="Arial"/>
              </w:rPr>
            </w:pPr>
            <w:r w:rsidRPr="00C768AF">
              <w:rPr>
                <w:rFonts w:ascii="Arial" w:hAnsi="Arial" w:cs="Arial"/>
              </w:rPr>
              <w:t>Právna forma: </w:t>
            </w:r>
          </w:p>
        </w:tc>
        <w:tc>
          <w:tcPr>
            <w:tcW w:w="6520" w:type="dxa"/>
            <w:shd w:val="clear" w:color="auto" w:fill="FFFFFF"/>
            <w:vAlign w:val="bottom"/>
          </w:tcPr>
          <w:p w:rsidR="0086191C" w:rsidRPr="00C768AF" w:rsidRDefault="00F12A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Spoločnosť s ručením obmedzeným</w:t>
            </w:r>
          </w:p>
        </w:tc>
      </w:tr>
      <w:tr w:rsidR="0086191C" w:rsidRPr="00C768AF">
        <w:trPr>
          <w:trHeight w:val="255"/>
        </w:trPr>
        <w:tc>
          <w:tcPr>
            <w:tcW w:w="2440" w:type="dxa"/>
            <w:shd w:val="clear" w:color="auto" w:fill="FFFFFF"/>
          </w:tcPr>
          <w:p w:rsidR="0086191C" w:rsidRPr="00C768AF" w:rsidRDefault="0086191C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  <w:vAlign w:val="bottom"/>
          </w:tcPr>
          <w:p w:rsidR="0086191C" w:rsidRPr="00C768AF" w:rsidRDefault="0086191C">
            <w:pPr>
              <w:rPr>
                <w:rFonts w:ascii="Arial" w:hAnsi="Arial" w:cs="Arial"/>
              </w:rPr>
            </w:pPr>
          </w:p>
        </w:tc>
      </w:tr>
      <w:tr w:rsidR="00F12AB1" w:rsidRPr="00C768AF" w:rsidTr="00E84BCE">
        <w:trPr>
          <w:trHeight w:val="255"/>
        </w:trPr>
        <w:tc>
          <w:tcPr>
            <w:tcW w:w="2440" w:type="dxa"/>
            <w:shd w:val="clear" w:color="auto" w:fill="FFFFFF"/>
          </w:tcPr>
          <w:p w:rsidR="00F12AB1" w:rsidRPr="00C768AF" w:rsidRDefault="00F12AB1">
            <w:pPr>
              <w:rPr>
                <w:rFonts w:ascii="Arial" w:hAnsi="Arial" w:cs="Arial"/>
              </w:rPr>
            </w:pPr>
            <w:r w:rsidRPr="00C768AF">
              <w:rPr>
                <w:rFonts w:ascii="Arial" w:hAnsi="Arial" w:cs="Arial"/>
              </w:rPr>
              <w:t>Predmet činnosti: </w:t>
            </w:r>
          </w:p>
        </w:tc>
        <w:tc>
          <w:tcPr>
            <w:tcW w:w="6520" w:type="dxa"/>
            <w:shd w:val="clear" w:color="auto" w:fill="FFFFFF"/>
          </w:tcPr>
          <w:p w:rsidR="00F12AB1" w:rsidRPr="009033DF" w:rsidRDefault="00F12AB1" w:rsidP="00E84BCE">
            <w:pPr>
              <w:rPr>
                <w:vanish/>
              </w:rPr>
            </w:pPr>
            <w:r>
              <w:rPr>
                <w:rStyle w:val="ra"/>
              </w:rPr>
              <w:t xml:space="preserve">kúpa tovaru za účelom jeho predaja </w:t>
            </w:r>
            <w:r w:rsidRPr="0084177B">
              <w:rPr>
                <w:rStyle w:val="ra"/>
              </w:rPr>
              <w:t xml:space="preserve">konečnému </w:t>
            </w:r>
            <w:r>
              <w:rPr>
                <w:rStyle w:val="ra"/>
              </w:rPr>
              <w:t>spotrebiteľovi (maloobchod) a za účelom jeho predaja iným prevádzkovateľom živnosti (veľkoobchod) v rozsahu voľnej živnosti</w:t>
            </w:r>
          </w:p>
        </w:tc>
      </w:tr>
      <w:tr w:rsidR="00F12AB1" w:rsidRPr="00C768AF" w:rsidTr="00E84BCE">
        <w:trPr>
          <w:trHeight w:val="255"/>
        </w:trPr>
        <w:tc>
          <w:tcPr>
            <w:tcW w:w="2440" w:type="dxa"/>
            <w:vMerge w:val="restart"/>
            <w:shd w:val="clear" w:color="auto" w:fill="FFFFFF"/>
          </w:tcPr>
          <w:p w:rsidR="00F12AB1" w:rsidRPr="00C768AF" w:rsidRDefault="00F12AB1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</w:tcPr>
          <w:p w:rsidR="00F12AB1" w:rsidRPr="009033DF" w:rsidRDefault="00F12AB1" w:rsidP="00E84BCE">
            <w:pPr>
              <w:rPr>
                <w:vanish/>
              </w:rPr>
            </w:pPr>
            <w:r>
              <w:rPr>
                <w:vanish/>
              </w:rPr>
              <w:t>Sprostredkovanie v rozsahu voľnej živnosti</w:t>
            </w:r>
          </w:p>
        </w:tc>
      </w:tr>
      <w:tr w:rsidR="00F12AB1" w:rsidRPr="00424F9A" w:rsidTr="00E84BCE">
        <w:trPr>
          <w:trHeight w:val="255"/>
        </w:trPr>
        <w:tc>
          <w:tcPr>
            <w:tcW w:w="2440" w:type="dxa"/>
            <w:vMerge/>
            <w:vAlign w:val="center"/>
          </w:tcPr>
          <w:p w:rsidR="00F12AB1" w:rsidRPr="00C768AF" w:rsidRDefault="00F12AB1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</w:tcPr>
          <w:p w:rsidR="00F12AB1" w:rsidRPr="009033DF" w:rsidRDefault="007F4EE0" w:rsidP="007F4EE0">
            <w:pPr>
              <w:rPr>
                <w:vanish/>
              </w:rPr>
            </w:pPr>
            <w:r>
              <w:rPr>
                <w:rStyle w:val="ra"/>
              </w:rPr>
              <w:t>sprostredkovateľské služby realitných kancelárií</w:t>
            </w:r>
          </w:p>
        </w:tc>
      </w:tr>
      <w:tr w:rsidR="00F12AB1" w:rsidRPr="00424F9A" w:rsidTr="00E84BCE">
        <w:trPr>
          <w:trHeight w:val="255"/>
        </w:trPr>
        <w:tc>
          <w:tcPr>
            <w:tcW w:w="2440" w:type="dxa"/>
            <w:shd w:val="clear" w:color="auto" w:fill="FFFFFF"/>
          </w:tcPr>
          <w:p w:rsidR="00F12AB1" w:rsidRPr="00424F9A" w:rsidRDefault="00F12AB1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6520" w:type="dxa"/>
            <w:shd w:val="clear" w:color="auto" w:fill="FFFFFF"/>
          </w:tcPr>
          <w:p w:rsidR="00F12AB1" w:rsidRPr="00424F9A" w:rsidRDefault="00F12AB1" w:rsidP="00E84BCE">
            <w:pPr>
              <w:rPr>
                <w:vanish/>
                <w:color w:val="000000" w:themeColor="text1"/>
              </w:rPr>
            </w:pPr>
          </w:p>
        </w:tc>
      </w:tr>
      <w:tr w:rsidR="0086191C" w:rsidRPr="00E33C9A">
        <w:trPr>
          <w:trHeight w:val="255"/>
        </w:trPr>
        <w:tc>
          <w:tcPr>
            <w:tcW w:w="2440" w:type="dxa"/>
            <w:vMerge w:val="restart"/>
            <w:shd w:val="clear" w:color="auto" w:fill="FFFFFF"/>
          </w:tcPr>
          <w:p w:rsidR="0086191C" w:rsidRPr="00E33C9A" w:rsidRDefault="0086191C">
            <w:pPr>
              <w:rPr>
                <w:rFonts w:ascii="Arial" w:hAnsi="Arial" w:cs="Arial"/>
              </w:rPr>
            </w:pPr>
            <w:r w:rsidRPr="00E33C9A">
              <w:rPr>
                <w:rFonts w:ascii="Arial" w:hAnsi="Arial" w:cs="Arial"/>
              </w:rPr>
              <w:t>Štatutárny orgán: </w:t>
            </w:r>
          </w:p>
        </w:tc>
        <w:tc>
          <w:tcPr>
            <w:tcW w:w="6520" w:type="dxa"/>
            <w:shd w:val="clear" w:color="auto" w:fill="FFFFFF"/>
            <w:vAlign w:val="bottom"/>
          </w:tcPr>
          <w:p w:rsidR="00FA31F0" w:rsidRPr="00E33C9A" w:rsidRDefault="007F4EE0">
            <w:pPr>
              <w:rPr>
                <w:rFonts w:ascii="Arial" w:hAnsi="Arial" w:cs="Arial"/>
              </w:rPr>
            </w:pPr>
            <w:r w:rsidRPr="00E33C9A">
              <w:rPr>
                <w:rFonts w:ascii="Arial" w:hAnsi="Arial" w:cs="Arial"/>
              </w:rPr>
              <w:t>konatelia</w:t>
            </w:r>
          </w:p>
        </w:tc>
      </w:tr>
      <w:tr w:rsidR="007F4EE0" w:rsidRPr="00E33C9A" w:rsidTr="00E84BCE">
        <w:trPr>
          <w:trHeight w:val="255"/>
        </w:trPr>
        <w:tc>
          <w:tcPr>
            <w:tcW w:w="2440" w:type="dxa"/>
            <w:vMerge/>
            <w:vAlign w:val="center"/>
          </w:tcPr>
          <w:p w:rsidR="007F4EE0" w:rsidRPr="00E33C9A" w:rsidRDefault="007F4EE0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59"/>
              <w:gridCol w:w="2121"/>
            </w:tblGrid>
            <w:tr w:rsidR="007F4EE0" w:rsidRPr="00E33C9A" w:rsidTr="00E84B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F4EE0" w:rsidRPr="00E33C9A" w:rsidRDefault="007F4EE0" w:rsidP="00E84BCE">
                  <w:pPr>
                    <w:rPr>
                      <w:sz w:val="24"/>
                      <w:szCs w:val="24"/>
                    </w:rPr>
                  </w:pPr>
                  <w:r w:rsidRPr="00E33C9A">
                    <w:rPr>
                      <w:rStyle w:val="ra"/>
                    </w:rPr>
                    <w:t xml:space="preserve">JUDr. </w:t>
                  </w:r>
                  <w:hyperlink r:id="rId12" w:history="1">
                    <w:r w:rsidRPr="00E33C9A">
                      <w:rPr>
                        <w:rStyle w:val="ra"/>
                        <w:u w:val="single"/>
                      </w:rPr>
                      <w:t>Jozef Boľo</w:t>
                    </w:r>
                  </w:hyperlink>
                  <w:r w:rsidRPr="00E33C9A">
                    <w:br/>
                  </w:r>
                  <w:r w:rsidRPr="00E33C9A">
                    <w:rPr>
                      <w:rStyle w:val="ra"/>
                    </w:rPr>
                    <w:t xml:space="preserve">Nebojsa 99 </w:t>
                  </w:r>
                  <w:r w:rsidRPr="00E33C9A">
                    <w:br/>
                  </w:r>
                  <w:r w:rsidRPr="00E33C9A">
                    <w:rPr>
                      <w:rStyle w:val="ra"/>
                    </w:rPr>
                    <w:t xml:space="preserve">Galanta 924 00 </w:t>
                  </w:r>
                </w:p>
              </w:tc>
              <w:tc>
                <w:tcPr>
                  <w:tcW w:w="1650" w:type="pct"/>
                  <w:hideMark/>
                </w:tcPr>
                <w:p w:rsidR="007F4EE0" w:rsidRPr="00E33C9A" w:rsidRDefault="007F4EE0" w:rsidP="00E84BCE">
                  <w:pPr>
                    <w:rPr>
                      <w:sz w:val="24"/>
                      <w:szCs w:val="24"/>
                    </w:rPr>
                  </w:pPr>
                  <w:r w:rsidRPr="00E33C9A">
                    <w:t xml:space="preserve">  </w:t>
                  </w:r>
                  <w:r w:rsidRPr="00E33C9A">
                    <w:rPr>
                      <w:rStyle w:val="ra"/>
                    </w:rPr>
                    <w:t>(od: 26.01.1998)</w:t>
                  </w:r>
                </w:p>
              </w:tc>
            </w:tr>
          </w:tbl>
          <w:p w:rsidR="007F4EE0" w:rsidRPr="00E33C9A" w:rsidRDefault="007F4EE0" w:rsidP="00E84BCE">
            <w:pPr>
              <w:rPr>
                <w:vanish/>
              </w:rPr>
            </w:pPr>
          </w:p>
        </w:tc>
      </w:tr>
      <w:tr w:rsidR="007F4EE0" w:rsidRPr="00E33C9A" w:rsidTr="00E84BCE">
        <w:trPr>
          <w:trHeight w:val="255"/>
        </w:trPr>
        <w:tc>
          <w:tcPr>
            <w:tcW w:w="2440" w:type="dxa"/>
            <w:vMerge/>
            <w:vAlign w:val="center"/>
          </w:tcPr>
          <w:p w:rsidR="007F4EE0" w:rsidRPr="00E33C9A" w:rsidRDefault="007F4EE0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59"/>
              <w:gridCol w:w="2121"/>
            </w:tblGrid>
            <w:tr w:rsidR="007F4EE0" w:rsidRPr="00E33C9A" w:rsidTr="00E84B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F4EE0" w:rsidRPr="00E33C9A" w:rsidRDefault="007F4EE0" w:rsidP="00E84BCE">
                  <w:pPr>
                    <w:rPr>
                      <w:sz w:val="24"/>
                      <w:szCs w:val="24"/>
                    </w:rPr>
                  </w:pPr>
                  <w:r w:rsidRPr="00E33C9A">
                    <w:rPr>
                      <w:rStyle w:val="ra"/>
                    </w:rPr>
                    <w:t xml:space="preserve">Mgr. </w:t>
                  </w:r>
                  <w:hyperlink r:id="rId13" w:history="1">
                    <w:r w:rsidRPr="00E33C9A">
                      <w:rPr>
                        <w:rStyle w:val="ra"/>
                        <w:u w:val="single"/>
                      </w:rPr>
                      <w:t>Marcela Fetkovičová</w:t>
                    </w:r>
                  </w:hyperlink>
                  <w:r w:rsidRPr="00E33C9A">
                    <w:br/>
                  </w:r>
                  <w:r w:rsidRPr="00E33C9A">
                    <w:rPr>
                      <w:rStyle w:val="ra"/>
                    </w:rPr>
                    <w:t xml:space="preserve">Mierová 50 </w:t>
                  </w:r>
                  <w:r w:rsidRPr="00E33C9A">
                    <w:br/>
                  </w:r>
                  <w:r w:rsidRPr="00E33C9A">
                    <w:rPr>
                      <w:rStyle w:val="ra"/>
                    </w:rPr>
                    <w:t xml:space="preserve">Bratislava 851 05 </w:t>
                  </w:r>
                  <w:r w:rsidRPr="00E33C9A">
                    <w:br/>
                  </w:r>
                  <w:r w:rsidRPr="00E33C9A">
                    <w:rPr>
                      <w:rStyle w:val="ra"/>
                    </w:rPr>
                    <w:t xml:space="preserve">Vznik funkcie: 14.06.2005 </w:t>
                  </w:r>
                </w:p>
              </w:tc>
              <w:tc>
                <w:tcPr>
                  <w:tcW w:w="1650" w:type="pct"/>
                  <w:hideMark/>
                </w:tcPr>
                <w:p w:rsidR="007F4EE0" w:rsidRPr="00E33C9A" w:rsidRDefault="007F4EE0" w:rsidP="00E84BCE">
                  <w:pPr>
                    <w:rPr>
                      <w:sz w:val="24"/>
                      <w:szCs w:val="24"/>
                    </w:rPr>
                  </w:pPr>
                  <w:r w:rsidRPr="00E33C9A">
                    <w:t xml:space="preserve">  </w:t>
                  </w:r>
                  <w:r w:rsidRPr="00E33C9A">
                    <w:rPr>
                      <w:rStyle w:val="ra"/>
                    </w:rPr>
                    <w:t>(od: 16.07.2005)</w:t>
                  </w:r>
                </w:p>
              </w:tc>
            </w:tr>
          </w:tbl>
          <w:p w:rsidR="007F4EE0" w:rsidRPr="00E33C9A" w:rsidRDefault="007F4EE0" w:rsidP="00E84BCE">
            <w:pPr>
              <w:rPr>
                <w:vanish/>
              </w:rPr>
            </w:pPr>
          </w:p>
        </w:tc>
      </w:tr>
      <w:tr w:rsidR="007F4EE0" w:rsidRPr="00E33C9A" w:rsidTr="00E84BCE">
        <w:trPr>
          <w:trHeight w:val="255"/>
        </w:trPr>
        <w:tc>
          <w:tcPr>
            <w:tcW w:w="2440" w:type="dxa"/>
            <w:vMerge/>
            <w:vAlign w:val="center"/>
          </w:tcPr>
          <w:p w:rsidR="007F4EE0" w:rsidRPr="00E33C9A" w:rsidRDefault="007F4EE0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59"/>
              <w:gridCol w:w="2121"/>
            </w:tblGrid>
            <w:tr w:rsidR="007F4EE0" w:rsidRPr="00E33C9A" w:rsidTr="00E84B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F4EE0" w:rsidRPr="00E33C9A" w:rsidRDefault="0054706B" w:rsidP="00E84BCE">
                  <w:pPr>
                    <w:rPr>
                      <w:sz w:val="24"/>
                      <w:szCs w:val="24"/>
                    </w:rPr>
                  </w:pPr>
                  <w:hyperlink r:id="rId14" w:history="1">
                    <w:r w:rsidR="007F4EE0" w:rsidRPr="00E33C9A">
                      <w:rPr>
                        <w:rStyle w:val="ra"/>
                        <w:u w:val="single"/>
                      </w:rPr>
                      <w:t xml:space="preserve">Eva Tóthová </w:t>
                    </w:r>
                  </w:hyperlink>
                  <w:r w:rsidR="007F4EE0" w:rsidRPr="00E33C9A">
                    <w:br/>
                  </w:r>
                  <w:r w:rsidR="007F4EE0" w:rsidRPr="00E33C9A">
                    <w:rPr>
                      <w:rStyle w:val="ra"/>
                    </w:rPr>
                    <w:t xml:space="preserve">Železničiarska 1440/41 </w:t>
                  </w:r>
                  <w:r w:rsidR="007F4EE0" w:rsidRPr="00E33C9A">
                    <w:br/>
                  </w:r>
                  <w:r w:rsidR="007F4EE0" w:rsidRPr="00E33C9A">
                    <w:rPr>
                      <w:rStyle w:val="ra"/>
                    </w:rPr>
                    <w:t xml:space="preserve">Galanta 624 00 </w:t>
                  </w:r>
                  <w:r w:rsidR="007F4EE0" w:rsidRPr="00E33C9A">
                    <w:br/>
                  </w:r>
                  <w:r w:rsidR="007F4EE0" w:rsidRPr="00E33C9A">
                    <w:rPr>
                      <w:rStyle w:val="ra"/>
                    </w:rPr>
                    <w:t xml:space="preserve">Vznik funkcie: 18.05.2006 </w:t>
                  </w:r>
                </w:p>
              </w:tc>
              <w:tc>
                <w:tcPr>
                  <w:tcW w:w="1650" w:type="pct"/>
                  <w:hideMark/>
                </w:tcPr>
                <w:p w:rsidR="007F4EE0" w:rsidRPr="00E33C9A" w:rsidRDefault="007F4EE0" w:rsidP="00E84BCE">
                  <w:pPr>
                    <w:rPr>
                      <w:sz w:val="24"/>
                      <w:szCs w:val="24"/>
                    </w:rPr>
                  </w:pPr>
                  <w:r w:rsidRPr="00E33C9A">
                    <w:t xml:space="preserve">  </w:t>
                  </w:r>
                  <w:r w:rsidRPr="00E33C9A">
                    <w:rPr>
                      <w:rStyle w:val="ra"/>
                    </w:rPr>
                    <w:t>(od: 21.06.2006)</w:t>
                  </w:r>
                </w:p>
              </w:tc>
            </w:tr>
          </w:tbl>
          <w:p w:rsidR="007F4EE0" w:rsidRPr="00E33C9A" w:rsidRDefault="007F4EE0" w:rsidP="00E84BCE">
            <w:pPr>
              <w:rPr>
                <w:vanish/>
              </w:rPr>
            </w:pPr>
          </w:p>
        </w:tc>
      </w:tr>
      <w:tr w:rsidR="007F4EE0" w:rsidRPr="00424F9A" w:rsidTr="00E84BCE">
        <w:trPr>
          <w:trHeight w:val="255"/>
        </w:trPr>
        <w:tc>
          <w:tcPr>
            <w:tcW w:w="2440" w:type="dxa"/>
            <w:vMerge/>
            <w:vAlign w:val="center"/>
          </w:tcPr>
          <w:p w:rsidR="007F4EE0" w:rsidRPr="0032217B" w:rsidRDefault="007F4EE0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59"/>
              <w:gridCol w:w="2121"/>
            </w:tblGrid>
            <w:tr w:rsidR="007F4EE0" w:rsidRPr="00110149" w:rsidTr="00E84B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F4EE0" w:rsidRPr="00110149" w:rsidRDefault="007F4EE0" w:rsidP="002C6B87">
                  <w:pPr>
                    <w:keepNext/>
                    <w:keepLines/>
                    <w:rPr>
                      <w:color w:val="000000"/>
                      <w:sz w:val="24"/>
                      <w:szCs w:val="24"/>
                    </w:rPr>
                  </w:pPr>
                  <w:r w:rsidRPr="00110149">
                    <w:rPr>
                      <w:rStyle w:val="ra"/>
                    </w:rPr>
                    <w:t xml:space="preserve">JUDr. </w:t>
                  </w:r>
                  <w:hyperlink r:id="rId15" w:history="1">
                    <w:r w:rsidRPr="00E33C9A">
                      <w:rPr>
                        <w:rStyle w:val="ra"/>
                        <w:u w:val="single"/>
                      </w:rPr>
                      <w:t>Nadežda Boľová</w:t>
                    </w:r>
                    <w:r w:rsidR="00ED1623" w:rsidRPr="00E33C9A">
                      <w:rPr>
                        <w:rStyle w:val="ra"/>
                        <w:u w:val="single"/>
                      </w:rPr>
                      <w:t>-Wolfová</w:t>
                    </w:r>
                  </w:hyperlink>
                  <w:r w:rsidRPr="00110149">
                    <w:br/>
                  </w:r>
                  <w:r w:rsidRPr="00110149">
                    <w:rPr>
                      <w:rStyle w:val="ra"/>
                    </w:rPr>
                    <w:t xml:space="preserve">Nebojsa 99 </w:t>
                  </w:r>
                  <w:r w:rsidRPr="00110149">
                    <w:br/>
                  </w:r>
                  <w:r w:rsidRPr="00110149">
                    <w:rPr>
                      <w:rStyle w:val="ra"/>
                    </w:rPr>
                    <w:t xml:space="preserve">Gáň 925 31 </w:t>
                  </w:r>
                  <w:r w:rsidRPr="00110149">
                    <w:br/>
                  </w:r>
                  <w:r w:rsidRPr="00110149">
                    <w:rPr>
                      <w:rStyle w:val="ra"/>
                    </w:rPr>
                    <w:t xml:space="preserve">Vznik funkcie: 30.03.2007 </w:t>
                  </w:r>
                </w:p>
              </w:tc>
              <w:tc>
                <w:tcPr>
                  <w:tcW w:w="1650" w:type="pct"/>
                  <w:hideMark/>
                </w:tcPr>
                <w:p w:rsidR="007F4EE0" w:rsidRPr="00110149" w:rsidRDefault="007F4EE0" w:rsidP="002C6B87">
                  <w:pPr>
                    <w:keepLines/>
                    <w:rPr>
                      <w:color w:val="000000"/>
                      <w:sz w:val="24"/>
                      <w:szCs w:val="24"/>
                    </w:rPr>
                  </w:pPr>
                  <w:r w:rsidRPr="00110149">
                    <w:t xml:space="preserve">  </w:t>
                  </w:r>
                  <w:r w:rsidRPr="00110149">
                    <w:rPr>
                      <w:rStyle w:val="ra"/>
                    </w:rPr>
                    <w:t>(od: 11.04.2007)</w:t>
                  </w:r>
                </w:p>
              </w:tc>
            </w:tr>
          </w:tbl>
          <w:p w:rsidR="007F4EE0" w:rsidRDefault="007F4EE0"/>
        </w:tc>
      </w:tr>
      <w:tr w:rsidR="00535082" w:rsidRPr="00424F9A">
        <w:trPr>
          <w:trHeight w:val="510"/>
        </w:trPr>
        <w:tc>
          <w:tcPr>
            <w:tcW w:w="2440" w:type="dxa"/>
            <w:shd w:val="clear" w:color="auto" w:fill="FFFFFF"/>
          </w:tcPr>
          <w:p w:rsidR="00535082" w:rsidRPr="0032217B" w:rsidRDefault="00F01F8C">
            <w:pPr>
              <w:rPr>
                <w:rFonts w:ascii="Arial" w:hAnsi="Arial" w:cs="Arial"/>
              </w:rPr>
            </w:pPr>
            <w:r w:rsidRPr="0032217B">
              <w:rPr>
                <w:rFonts w:ascii="Arial" w:hAnsi="Arial" w:cs="Arial"/>
              </w:rPr>
              <w:t>Konanie menom spoločnosti</w:t>
            </w:r>
          </w:p>
        </w:tc>
        <w:tc>
          <w:tcPr>
            <w:tcW w:w="6520" w:type="dxa"/>
            <w:shd w:val="clear" w:color="auto" w:fill="FFFFFF"/>
            <w:vAlign w:val="bottom"/>
          </w:tcPr>
          <w:p w:rsidR="00535082" w:rsidRPr="0032217B" w:rsidRDefault="007F4EE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 mene spoločnosti koná konateľ - samostatne</w:t>
            </w:r>
          </w:p>
        </w:tc>
      </w:tr>
      <w:tr w:rsidR="00535082" w:rsidRPr="00424F9A">
        <w:trPr>
          <w:trHeight w:val="255"/>
        </w:trPr>
        <w:tc>
          <w:tcPr>
            <w:tcW w:w="2440" w:type="dxa"/>
            <w:shd w:val="clear" w:color="auto" w:fill="FFFFFF"/>
          </w:tcPr>
          <w:p w:rsidR="00535082" w:rsidRPr="0032217B" w:rsidRDefault="00535082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  <w:vAlign w:val="bottom"/>
          </w:tcPr>
          <w:p w:rsidR="00535082" w:rsidRPr="0032217B" w:rsidRDefault="00535082">
            <w:pPr>
              <w:rPr>
                <w:rFonts w:ascii="Arial" w:hAnsi="Arial" w:cs="Arial"/>
              </w:rPr>
            </w:pPr>
          </w:p>
        </w:tc>
      </w:tr>
      <w:tr w:rsidR="00535082" w:rsidRPr="00424F9A">
        <w:trPr>
          <w:trHeight w:val="255"/>
        </w:trPr>
        <w:tc>
          <w:tcPr>
            <w:tcW w:w="2440" w:type="dxa"/>
            <w:shd w:val="clear" w:color="auto" w:fill="FFFFFF"/>
          </w:tcPr>
          <w:p w:rsidR="00535082" w:rsidRPr="0032217B" w:rsidRDefault="00F01F8C">
            <w:pPr>
              <w:rPr>
                <w:rFonts w:ascii="Arial" w:hAnsi="Arial" w:cs="Arial"/>
              </w:rPr>
            </w:pPr>
            <w:r w:rsidRPr="0032217B">
              <w:rPr>
                <w:rFonts w:ascii="Arial" w:hAnsi="Arial" w:cs="Arial"/>
              </w:rPr>
              <w:t>Základné imanie: </w:t>
            </w:r>
          </w:p>
        </w:tc>
        <w:tc>
          <w:tcPr>
            <w:tcW w:w="6520" w:type="dxa"/>
            <w:shd w:val="clear" w:color="auto" w:fill="FFFFFF"/>
            <w:vAlign w:val="bottom"/>
          </w:tcPr>
          <w:p w:rsidR="00535082" w:rsidRPr="0032217B" w:rsidRDefault="0039709D" w:rsidP="007F4EE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8 000,00</w:t>
            </w:r>
            <w:r w:rsidR="007F4EE0">
              <w:rPr>
                <w:rFonts w:ascii="Arial" w:hAnsi="Arial" w:cs="Arial"/>
              </w:rPr>
              <w:t xml:space="preserve"> €</w:t>
            </w:r>
            <w:r w:rsidR="00535082" w:rsidRPr="0032217B">
              <w:rPr>
                <w:rFonts w:ascii="Arial" w:hAnsi="Arial" w:cs="Arial"/>
              </w:rPr>
              <w:t xml:space="preserve"> Rozsah splatenia: </w:t>
            </w:r>
            <w:r>
              <w:rPr>
                <w:rFonts w:ascii="Arial" w:hAnsi="Arial" w:cs="Arial"/>
              </w:rPr>
              <w:t xml:space="preserve">8 000,00 </w:t>
            </w:r>
            <w:r w:rsidR="007F4EE0">
              <w:rPr>
                <w:rFonts w:ascii="Arial" w:hAnsi="Arial" w:cs="Arial"/>
              </w:rPr>
              <w:t xml:space="preserve"> €</w:t>
            </w:r>
          </w:p>
        </w:tc>
      </w:tr>
      <w:tr w:rsidR="00535082" w:rsidRPr="00424F9A">
        <w:trPr>
          <w:trHeight w:val="255"/>
        </w:trPr>
        <w:tc>
          <w:tcPr>
            <w:tcW w:w="2440" w:type="dxa"/>
            <w:shd w:val="clear" w:color="auto" w:fill="FFFFFF"/>
          </w:tcPr>
          <w:p w:rsidR="00535082" w:rsidRPr="0032217B" w:rsidRDefault="00535082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  <w:vAlign w:val="bottom"/>
          </w:tcPr>
          <w:p w:rsidR="00535082" w:rsidRPr="0032217B" w:rsidRDefault="00535082">
            <w:pPr>
              <w:rPr>
                <w:rFonts w:ascii="Arial" w:hAnsi="Arial" w:cs="Arial"/>
              </w:rPr>
            </w:pPr>
          </w:p>
        </w:tc>
      </w:tr>
      <w:tr w:rsidR="00535082" w:rsidRPr="00424F9A">
        <w:trPr>
          <w:trHeight w:val="255"/>
        </w:trPr>
        <w:tc>
          <w:tcPr>
            <w:tcW w:w="2440" w:type="dxa"/>
            <w:vAlign w:val="center"/>
          </w:tcPr>
          <w:p w:rsidR="00535082" w:rsidRPr="0032217B" w:rsidRDefault="00535082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  <w:vAlign w:val="bottom"/>
          </w:tcPr>
          <w:p w:rsidR="00535082" w:rsidRPr="0032217B" w:rsidRDefault="007F4EE0" w:rsidP="007F4EE0">
            <w:pPr>
              <w:rPr>
                <w:rFonts w:ascii="Arial" w:hAnsi="Arial" w:cs="Arial"/>
              </w:rPr>
            </w:pPr>
            <w:r>
              <w:rPr>
                <w:rStyle w:val="ra"/>
              </w:rPr>
              <w:t>Spoločnosť bola založená spoločenskou zmluvou dňa 15.12.1997 podľa slovenského práva.</w:t>
            </w:r>
          </w:p>
        </w:tc>
      </w:tr>
    </w:tbl>
    <w:p w:rsidR="006E0B13" w:rsidRPr="00424F9A" w:rsidRDefault="006E0B13" w:rsidP="0086191C">
      <w:pPr>
        <w:jc w:val="both"/>
        <w:rPr>
          <w:b/>
          <w:color w:val="000000" w:themeColor="text1"/>
        </w:rPr>
      </w:pPr>
    </w:p>
    <w:p w:rsidR="00E566D4" w:rsidRPr="00424F9A" w:rsidRDefault="00E566D4" w:rsidP="00E566D4">
      <w:pPr>
        <w:jc w:val="both"/>
        <w:rPr>
          <w:b/>
          <w:color w:val="000000" w:themeColor="text1"/>
        </w:rPr>
      </w:pPr>
      <w:bookmarkStart w:id="2" w:name="_Toc133220730"/>
    </w:p>
    <w:p w:rsidR="001F77D4" w:rsidRPr="00424F9A" w:rsidRDefault="001F77D4" w:rsidP="001F77D4">
      <w:pPr>
        <w:rPr>
          <w:color w:val="000000" w:themeColor="text1"/>
        </w:rPr>
      </w:pPr>
      <w:bookmarkStart w:id="3" w:name="_Toc133220731"/>
      <w:bookmarkEnd w:id="2"/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C76692" w:rsidRPr="00847FB5" w:rsidRDefault="006260CF" w:rsidP="001F77D4">
      <w:pPr>
        <w:pStyle w:val="Nadpis1"/>
        <w:rPr>
          <w:i w:val="0"/>
        </w:rPr>
      </w:pPr>
      <w:bookmarkStart w:id="4" w:name="_Toc288732789"/>
      <w:r w:rsidRPr="00847FB5">
        <w:rPr>
          <w:i w:val="0"/>
        </w:rPr>
        <w:lastRenderedPageBreak/>
        <w:t>EKONOMICKÉ UKAZOVATELE</w:t>
      </w:r>
      <w:bookmarkEnd w:id="4"/>
    </w:p>
    <w:p w:rsidR="00437064" w:rsidRDefault="00437064" w:rsidP="00821BCE">
      <w:pPr>
        <w:rPr>
          <w:rFonts w:ascii="Arial" w:hAnsi="Arial" w:cs="Arial"/>
          <w:sz w:val="16"/>
          <w:szCs w:val="16"/>
        </w:rPr>
      </w:pPr>
    </w:p>
    <w:tbl>
      <w:tblPr>
        <w:tblW w:w="9555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835"/>
        <w:gridCol w:w="960"/>
        <w:gridCol w:w="960"/>
        <w:gridCol w:w="960"/>
        <w:gridCol w:w="960"/>
        <w:gridCol w:w="960"/>
        <w:gridCol w:w="960"/>
        <w:gridCol w:w="960"/>
      </w:tblGrid>
      <w:tr w:rsidR="007276DF" w:rsidRPr="007276DF" w:rsidTr="007276DF">
        <w:trPr>
          <w:trHeight w:val="315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v tis. €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2012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2016</w:t>
            </w:r>
          </w:p>
        </w:tc>
      </w:tr>
      <w:tr w:rsidR="007276DF" w:rsidRPr="007276DF" w:rsidTr="007276DF">
        <w:trPr>
          <w:trHeight w:val="3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Tržby z predaja tovaru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62 294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58 920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53 511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48 934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45 956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44 750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46 799</w:t>
            </w:r>
          </w:p>
        </w:tc>
      </w:tr>
      <w:tr w:rsidR="007276DF" w:rsidRPr="007276DF" w:rsidTr="007276DF">
        <w:trPr>
          <w:trHeight w:val="315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Tržby z predaja výr</w:t>
            </w:r>
            <w:r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.</w:t>
            </w: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 xml:space="preserve"> a služieb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93</w:t>
            </w:r>
          </w:p>
        </w:tc>
      </w:tr>
      <w:tr w:rsidR="007276DF" w:rsidRPr="007276DF" w:rsidTr="007276DF">
        <w:trPr>
          <w:trHeight w:val="315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Ostatné tržby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206</w:t>
            </w:r>
          </w:p>
        </w:tc>
      </w:tr>
      <w:tr w:rsidR="007276DF" w:rsidRPr="007276DF" w:rsidTr="007276DF">
        <w:trPr>
          <w:trHeight w:val="315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Tržby celkom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62 401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58 943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53 600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49 004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46 026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44 998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47 098</w:t>
            </w:r>
          </w:p>
        </w:tc>
      </w:tr>
      <w:tr w:rsidR="007276DF" w:rsidRPr="007276DF" w:rsidTr="007276DF">
        <w:trPr>
          <w:trHeight w:val="315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Pridaná hodnota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30 066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794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570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738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578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659</w:t>
            </w:r>
          </w:p>
        </w:tc>
      </w:tr>
      <w:tr w:rsidR="007276DF" w:rsidRPr="007276DF" w:rsidTr="007276DF">
        <w:trPr>
          <w:trHeight w:val="315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Osobné náklady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684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557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550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462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401</w:t>
            </w:r>
          </w:p>
        </w:tc>
      </w:tr>
      <w:tr w:rsidR="007276DF" w:rsidRPr="007276DF" w:rsidTr="007276DF">
        <w:trPr>
          <w:trHeight w:val="315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Dane a poplatky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29 653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18</w:t>
            </w:r>
          </w:p>
        </w:tc>
      </w:tr>
      <w:tr w:rsidR="007276DF" w:rsidRPr="007276DF" w:rsidTr="007276DF">
        <w:trPr>
          <w:trHeight w:val="315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EBIT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869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10</w:t>
            </w:r>
          </w:p>
        </w:tc>
      </w:tr>
      <w:tr w:rsidR="007276DF" w:rsidRPr="007276DF" w:rsidTr="007276DF">
        <w:trPr>
          <w:trHeight w:val="315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Odpisy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-835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185</w:t>
            </w:r>
          </w:p>
        </w:tc>
      </w:tr>
      <w:tr w:rsidR="007276DF" w:rsidRPr="007276DF" w:rsidTr="007276DF">
        <w:trPr>
          <w:trHeight w:val="315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EBITDA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195</w:t>
            </w:r>
          </w:p>
        </w:tc>
      </w:tr>
      <w:tr w:rsidR="007276DF" w:rsidRPr="007276DF" w:rsidTr="007276DF">
        <w:trPr>
          <w:trHeight w:val="315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Hospodársky výsledok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825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-1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-8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276DF" w:rsidRPr="007276DF" w:rsidRDefault="007276DF" w:rsidP="007276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7276DF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-29</w:t>
            </w:r>
          </w:p>
        </w:tc>
      </w:tr>
    </w:tbl>
    <w:p w:rsidR="00932F02" w:rsidRPr="00847FB5" w:rsidRDefault="00932F02" w:rsidP="00821BCE">
      <w:pPr>
        <w:rPr>
          <w:rFonts w:ascii="Arial" w:hAnsi="Arial" w:cs="Arial"/>
          <w:sz w:val="16"/>
          <w:szCs w:val="16"/>
        </w:rPr>
      </w:pPr>
    </w:p>
    <w:bookmarkEnd w:id="3"/>
    <w:p w:rsidR="00EB6CED" w:rsidRDefault="00BD6A9A" w:rsidP="00B64DDB">
      <w:pPr>
        <w:ind w:firstLine="708"/>
        <w:jc w:val="both"/>
        <w:rPr>
          <w:rFonts w:ascii="Arial" w:hAnsi="Arial" w:cs="Arial"/>
        </w:rPr>
      </w:pPr>
      <w:r w:rsidRPr="00847FB5">
        <w:rPr>
          <w:rFonts w:ascii="Arial" w:hAnsi="Arial" w:cs="Arial"/>
        </w:rPr>
        <w:t>Rok 201</w:t>
      </w:r>
      <w:r w:rsidR="007276DF">
        <w:rPr>
          <w:rFonts w:ascii="Arial" w:hAnsi="Arial" w:cs="Arial"/>
        </w:rPr>
        <w:t>6</w:t>
      </w:r>
      <w:r w:rsidRPr="00847FB5">
        <w:rPr>
          <w:rFonts w:ascii="Arial" w:hAnsi="Arial" w:cs="Arial"/>
        </w:rPr>
        <w:t xml:space="preserve"> znamenal </w:t>
      </w:r>
      <w:r w:rsidR="00CD57F9" w:rsidRPr="00847FB5">
        <w:rPr>
          <w:rFonts w:ascii="Arial" w:hAnsi="Arial" w:cs="Arial"/>
        </w:rPr>
        <w:t>v porovnaní s</w:t>
      </w:r>
      <w:r w:rsidR="00EB6CED">
        <w:rPr>
          <w:rFonts w:ascii="Arial" w:hAnsi="Arial" w:cs="Arial"/>
        </w:rPr>
        <w:t xml:space="preserve"> predchádzajúcim </w:t>
      </w:r>
      <w:r w:rsidR="00CD57F9" w:rsidRPr="00847FB5">
        <w:rPr>
          <w:rFonts w:ascii="Arial" w:hAnsi="Arial" w:cs="Arial"/>
        </w:rPr>
        <w:t xml:space="preserve">rokom </w:t>
      </w:r>
      <w:r w:rsidRPr="00847FB5">
        <w:rPr>
          <w:rFonts w:ascii="Arial" w:hAnsi="Arial" w:cs="Arial"/>
        </w:rPr>
        <w:t xml:space="preserve">pre spoločnosť </w:t>
      </w:r>
      <w:r w:rsidR="007276DF">
        <w:rPr>
          <w:rFonts w:ascii="Arial" w:hAnsi="Arial" w:cs="Arial"/>
        </w:rPr>
        <w:t>nárast obratu po viac ako šiestich rokoch</w:t>
      </w:r>
      <w:r w:rsidR="00F961D9">
        <w:rPr>
          <w:rFonts w:ascii="Arial" w:hAnsi="Arial" w:cs="Arial"/>
        </w:rPr>
        <w:t xml:space="preserve">. </w:t>
      </w:r>
      <w:r w:rsidR="007276DF">
        <w:rPr>
          <w:rFonts w:ascii="Arial" w:hAnsi="Arial" w:cs="Arial"/>
        </w:rPr>
        <w:t>Medziročný rast bol v nominálnej hodnote viac ako 2 Mio. €, čo v percentuálnom vyjadrení predstavuje vzostup o 4,7 %</w:t>
      </w:r>
      <w:r w:rsidR="00EB6CED">
        <w:rPr>
          <w:rFonts w:ascii="Arial" w:hAnsi="Arial" w:cs="Arial"/>
        </w:rPr>
        <w:t>.</w:t>
      </w:r>
    </w:p>
    <w:p w:rsidR="005F7D68" w:rsidRDefault="007276DF" w:rsidP="00B64DDB">
      <w:pPr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Hlavnou príčinou rastu obratu bolo zakomponovenie nových komodít do tovarového mixu, ako aj rozšírenie odberateľskej siete v segmente veľkoobchodu s tabakovými výrobkami o čerpacie stanice. Ako stálu rezervu v možnostiach rastu obratu hodnotíme </w:t>
      </w:r>
      <w:r w:rsidR="009202E2">
        <w:rPr>
          <w:rFonts w:ascii="Arial" w:hAnsi="Arial" w:cs="Arial"/>
        </w:rPr>
        <w:t>stagnáci</w:t>
      </w:r>
      <w:r>
        <w:rPr>
          <w:rFonts w:ascii="Arial" w:hAnsi="Arial" w:cs="Arial"/>
        </w:rPr>
        <w:t>u</w:t>
      </w:r>
      <w:r w:rsidR="009202E2">
        <w:rPr>
          <w:rFonts w:ascii="Arial" w:hAnsi="Arial" w:cs="Arial"/>
        </w:rPr>
        <w:t xml:space="preserve"> v oblasti moderných predajných kanálov a rozšírenia portfólia spoločnosti o nové produkty s vyššou pridanou hodnotou.</w:t>
      </w:r>
    </w:p>
    <w:p w:rsidR="004659B7" w:rsidRDefault="004659B7" w:rsidP="00B64DDB">
      <w:pPr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Vývoj hospodárskej situácie </w:t>
      </w:r>
      <w:r w:rsidR="00EB6CED">
        <w:rPr>
          <w:rFonts w:ascii="Arial" w:hAnsi="Arial" w:cs="Arial"/>
        </w:rPr>
        <w:t>sa oproti minulému roku vylepšil a spoločnosť dosiahla opäť účtovnú stratu, aj keď je minimálna</w:t>
      </w:r>
      <w:r w:rsidR="00377F94">
        <w:rPr>
          <w:rFonts w:ascii="Arial" w:hAnsi="Arial" w:cs="Arial"/>
        </w:rPr>
        <w:t>, pre manažment spoločnosti to znamená zvýšenie aktivít v komoditách pridávajúcich vyššiu pridanú hodnotu a to je najväčšia výzva pre rok 201</w:t>
      </w:r>
      <w:r w:rsidR="007276DF">
        <w:rPr>
          <w:rFonts w:ascii="Arial" w:hAnsi="Arial" w:cs="Arial"/>
        </w:rPr>
        <w:t>7</w:t>
      </w:r>
      <w:r w:rsidR="00377F94">
        <w:rPr>
          <w:rFonts w:ascii="Arial" w:hAnsi="Arial" w:cs="Arial"/>
        </w:rPr>
        <w:t xml:space="preserve">. </w:t>
      </w:r>
    </w:p>
    <w:p w:rsidR="004659B7" w:rsidRDefault="00377F94" w:rsidP="00B64DDB">
      <w:pPr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Jedným z pozitív </w:t>
      </w:r>
      <w:r w:rsidR="004659B7">
        <w:rPr>
          <w:rFonts w:ascii="Arial" w:hAnsi="Arial" w:cs="Arial"/>
        </w:rPr>
        <w:t>roku 201</w:t>
      </w:r>
      <w:r w:rsidR="007276DF">
        <w:rPr>
          <w:rFonts w:ascii="Arial" w:hAnsi="Arial" w:cs="Arial"/>
        </w:rPr>
        <w:t>6</w:t>
      </w:r>
      <w:r w:rsidR="004659B7">
        <w:rPr>
          <w:rFonts w:ascii="Arial" w:hAnsi="Arial" w:cs="Arial"/>
        </w:rPr>
        <w:t xml:space="preserve"> oproti predchádzajúcim rokom je </w:t>
      </w:r>
      <w:r>
        <w:rPr>
          <w:rFonts w:ascii="Arial" w:hAnsi="Arial" w:cs="Arial"/>
        </w:rPr>
        <w:t xml:space="preserve">opätovný </w:t>
      </w:r>
      <w:r w:rsidR="004659B7">
        <w:rPr>
          <w:rFonts w:ascii="Arial" w:hAnsi="Arial" w:cs="Arial"/>
        </w:rPr>
        <w:t xml:space="preserve">pokles </w:t>
      </w:r>
      <w:r w:rsidR="00932F02">
        <w:rPr>
          <w:rFonts w:ascii="Arial" w:hAnsi="Arial" w:cs="Arial"/>
        </w:rPr>
        <w:t xml:space="preserve">objemu aj </w:t>
      </w:r>
      <w:r w:rsidR="004659B7">
        <w:rPr>
          <w:rFonts w:ascii="Arial" w:hAnsi="Arial" w:cs="Arial"/>
        </w:rPr>
        <w:t>podielu osobných nákladov na celkových tržbách, čo naznačuje zvýšenie efektivity a produktivity práce.</w:t>
      </w:r>
      <w:r w:rsidR="00932F02">
        <w:rPr>
          <w:rFonts w:ascii="Arial" w:hAnsi="Arial" w:cs="Arial"/>
        </w:rPr>
        <w:t xml:space="preserve"> Toto znižovanie však nie j</w:t>
      </w:r>
      <w:r w:rsidR="00E220E4">
        <w:rPr>
          <w:rFonts w:ascii="Arial" w:hAnsi="Arial" w:cs="Arial"/>
        </w:rPr>
        <w:t>e pre nasledujúce roky očakáva</w:t>
      </w:r>
      <w:r w:rsidR="00932F02">
        <w:rPr>
          <w:rFonts w:ascii="Arial" w:hAnsi="Arial" w:cs="Arial"/>
        </w:rPr>
        <w:t>né, nakoľko časť zamestnancov musí vykonávať svoju prácu bez ohľadu na výšku obratu, t.j. zahrňujeme ich do fixných nákladov.</w:t>
      </w:r>
    </w:p>
    <w:p w:rsidR="00932F02" w:rsidRDefault="00932F02" w:rsidP="00F961D9">
      <w:pPr>
        <w:ind w:firstLine="708"/>
        <w:jc w:val="center"/>
        <w:rPr>
          <w:rFonts w:ascii="Arial" w:hAnsi="Arial" w:cs="Arial"/>
          <w:b/>
          <w:sz w:val="40"/>
          <w:szCs w:val="40"/>
        </w:rPr>
      </w:pPr>
    </w:p>
    <w:p w:rsidR="00932F02" w:rsidRDefault="00932F02" w:rsidP="00F961D9">
      <w:pPr>
        <w:ind w:firstLine="708"/>
        <w:jc w:val="center"/>
        <w:rPr>
          <w:rFonts w:ascii="Arial" w:hAnsi="Arial" w:cs="Arial"/>
          <w:b/>
          <w:sz w:val="40"/>
          <w:szCs w:val="40"/>
        </w:rPr>
      </w:pPr>
    </w:p>
    <w:p w:rsidR="00932F02" w:rsidRDefault="00932F02" w:rsidP="00F961D9">
      <w:pPr>
        <w:ind w:firstLine="708"/>
        <w:jc w:val="center"/>
        <w:rPr>
          <w:rFonts w:ascii="Arial" w:hAnsi="Arial" w:cs="Arial"/>
          <w:b/>
          <w:sz w:val="40"/>
          <w:szCs w:val="40"/>
        </w:rPr>
      </w:pPr>
    </w:p>
    <w:p w:rsidR="00932F02" w:rsidRDefault="00932F02" w:rsidP="00F961D9">
      <w:pPr>
        <w:ind w:firstLine="708"/>
        <w:jc w:val="center"/>
        <w:rPr>
          <w:rFonts w:ascii="Arial" w:hAnsi="Arial" w:cs="Arial"/>
          <w:b/>
          <w:sz w:val="40"/>
          <w:szCs w:val="40"/>
        </w:rPr>
      </w:pPr>
    </w:p>
    <w:p w:rsidR="007276DF" w:rsidRDefault="007276DF" w:rsidP="00F961D9">
      <w:pPr>
        <w:ind w:firstLine="708"/>
        <w:jc w:val="center"/>
        <w:rPr>
          <w:rFonts w:ascii="Arial" w:hAnsi="Arial" w:cs="Arial"/>
          <w:b/>
          <w:sz w:val="40"/>
          <w:szCs w:val="40"/>
        </w:rPr>
      </w:pPr>
    </w:p>
    <w:p w:rsidR="007276DF" w:rsidRDefault="007276DF" w:rsidP="00F961D9">
      <w:pPr>
        <w:ind w:firstLine="708"/>
        <w:jc w:val="center"/>
        <w:rPr>
          <w:rFonts w:ascii="Arial" w:hAnsi="Arial" w:cs="Arial"/>
          <w:b/>
          <w:sz w:val="40"/>
          <w:szCs w:val="40"/>
        </w:rPr>
      </w:pPr>
    </w:p>
    <w:p w:rsidR="00F961D9" w:rsidRDefault="000B75A1" w:rsidP="000B75A1">
      <w:pPr>
        <w:spacing w:after="0"/>
        <w:ind w:firstLine="708"/>
        <w:jc w:val="center"/>
        <w:rPr>
          <w:rFonts w:ascii="Arial" w:hAnsi="Arial" w:cs="Arial"/>
          <w:b/>
          <w:sz w:val="36"/>
          <w:szCs w:val="36"/>
        </w:rPr>
      </w:pPr>
      <w:r w:rsidRPr="000B75A1">
        <w:rPr>
          <w:rFonts w:ascii="Arial" w:hAnsi="Arial" w:cs="Arial"/>
          <w:b/>
          <w:sz w:val="36"/>
          <w:szCs w:val="36"/>
        </w:rPr>
        <w:t>Grafické znázornenie vybraných ukazovateľov</w:t>
      </w:r>
    </w:p>
    <w:p w:rsidR="003016B5" w:rsidRPr="000B75A1" w:rsidRDefault="003016B5" w:rsidP="000B75A1">
      <w:pPr>
        <w:spacing w:after="0"/>
        <w:ind w:firstLine="708"/>
        <w:jc w:val="center"/>
        <w:rPr>
          <w:rFonts w:ascii="Arial" w:hAnsi="Arial" w:cs="Arial"/>
          <w:b/>
          <w:sz w:val="36"/>
          <w:szCs w:val="36"/>
        </w:rPr>
      </w:pPr>
    </w:p>
    <w:p w:rsidR="000B75A1" w:rsidRDefault="007276DF" w:rsidP="00185E6B">
      <w:pPr>
        <w:spacing w:after="0"/>
        <w:jc w:val="center"/>
        <w:rPr>
          <w:rFonts w:ascii="Arial" w:hAnsi="Arial" w:cs="Arial"/>
        </w:rPr>
      </w:pPr>
      <w:r>
        <w:rPr>
          <w:noProof/>
          <w:lang w:eastAsia="sk-SK" w:bidi="ar-SA"/>
        </w:rPr>
        <w:drawing>
          <wp:inline distT="0" distB="0" distL="0" distR="0">
            <wp:extent cx="5759450" cy="3735070"/>
            <wp:effectExtent l="0" t="0" r="0" b="0"/>
            <wp:docPr id="1" name="Graf 1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2FA5DB83-0102-4D02-83B2-C0D6A2B7166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377F94" w:rsidRDefault="00377F94" w:rsidP="00185E6B">
      <w:pPr>
        <w:spacing w:after="0"/>
        <w:jc w:val="center"/>
        <w:rPr>
          <w:rFonts w:ascii="Arial" w:hAnsi="Arial" w:cs="Arial"/>
        </w:rPr>
      </w:pPr>
    </w:p>
    <w:p w:rsidR="00377F94" w:rsidRDefault="007276DF" w:rsidP="00185E6B">
      <w:pPr>
        <w:spacing w:after="0"/>
        <w:jc w:val="center"/>
        <w:rPr>
          <w:rFonts w:ascii="Arial" w:hAnsi="Arial" w:cs="Arial"/>
        </w:rPr>
      </w:pPr>
      <w:r>
        <w:rPr>
          <w:noProof/>
          <w:lang w:eastAsia="sk-SK" w:bidi="ar-SA"/>
        </w:rPr>
        <w:drawing>
          <wp:inline distT="0" distB="0" distL="0" distR="0">
            <wp:extent cx="5759450" cy="3735070"/>
            <wp:effectExtent l="0" t="0" r="0" b="0"/>
            <wp:docPr id="2" name="Graf 2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1759896A-D70B-4ABD-8C53-F1D54AF4CEB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377F94" w:rsidRDefault="00377F94" w:rsidP="00185E6B">
      <w:pPr>
        <w:spacing w:after="0"/>
        <w:jc w:val="center"/>
        <w:rPr>
          <w:rFonts w:ascii="Arial" w:hAnsi="Arial" w:cs="Arial"/>
        </w:rPr>
      </w:pPr>
    </w:p>
    <w:p w:rsidR="00D114BF" w:rsidRDefault="007276DF" w:rsidP="00185E6B">
      <w:pPr>
        <w:jc w:val="center"/>
        <w:rPr>
          <w:rFonts w:ascii="Arial" w:hAnsi="Arial" w:cs="Arial"/>
        </w:rPr>
      </w:pPr>
      <w:r>
        <w:rPr>
          <w:noProof/>
          <w:lang w:eastAsia="sk-SK" w:bidi="ar-SA"/>
        </w:rPr>
        <w:lastRenderedPageBreak/>
        <w:drawing>
          <wp:inline distT="0" distB="0" distL="0" distR="0">
            <wp:extent cx="5759450" cy="3735070"/>
            <wp:effectExtent l="0" t="0" r="0" b="0"/>
            <wp:docPr id="4" name="Graf 4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791396DA-6058-4B22-ADE7-EF4BBC1486E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D46EAF" w:rsidRDefault="003016B5" w:rsidP="000B75A1">
      <w:pPr>
        <w:jc w:val="center"/>
        <w:rPr>
          <w:color w:val="FF0000"/>
        </w:rPr>
      </w:pPr>
      <w:bookmarkStart w:id="5" w:name="_Toc133220732"/>
      <w:r>
        <w:rPr>
          <w:noProof/>
          <w:lang w:eastAsia="sk-SK" w:bidi="ar-SA"/>
        </w:rPr>
        <w:drawing>
          <wp:inline distT="0" distB="0" distL="0" distR="0">
            <wp:extent cx="5759450" cy="3735070"/>
            <wp:effectExtent l="0" t="0" r="0" b="0"/>
            <wp:docPr id="6" name="Graf 6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612BC6BD-56BA-4CFA-82BC-0379134BDA0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D46EAF" w:rsidRDefault="00D46EAF" w:rsidP="004659B7">
      <w:pPr>
        <w:jc w:val="center"/>
        <w:rPr>
          <w:color w:val="FF0000"/>
        </w:rPr>
      </w:pPr>
    </w:p>
    <w:p w:rsidR="003016B5" w:rsidRDefault="003016B5" w:rsidP="004659B7">
      <w:pPr>
        <w:jc w:val="center"/>
        <w:rPr>
          <w:color w:val="FF0000"/>
        </w:rPr>
      </w:pPr>
    </w:p>
    <w:p w:rsidR="003016B5" w:rsidRDefault="003016B5" w:rsidP="004659B7">
      <w:pPr>
        <w:jc w:val="center"/>
        <w:rPr>
          <w:color w:val="FF0000"/>
        </w:rPr>
      </w:pPr>
    </w:p>
    <w:p w:rsidR="003016B5" w:rsidRDefault="003016B5" w:rsidP="004659B7">
      <w:pPr>
        <w:jc w:val="center"/>
        <w:rPr>
          <w:color w:val="FF0000"/>
        </w:rPr>
      </w:pPr>
    </w:p>
    <w:p w:rsidR="003016B5" w:rsidRDefault="003016B5" w:rsidP="004659B7">
      <w:pPr>
        <w:jc w:val="center"/>
        <w:rPr>
          <w:color w:val="FF0000"/>
        </w:rPr>
      </w:pPr>
    </w:p>
    <w:p w:rsidR="003016B5" w:rsidRDefault="003016B5" w:rsidP="004659B7">
      <w:pPr>
        <w:jc w:val="center"/>
        <w:rPr>
          <w:color w:val="FF0000"/>
        </w:rPr>
      </w:pPr>
      <w:r>
        <w:rPr>
          <w:noProof/>
          <w:lang w:eastAsia="sk-SK" w:bidi="ar-SA"/>
        </w:rPr>
        <w:drawing>
          <wp:inline distT="0" distB="0" distL="0" distR="0">
            <wp:extent cx="5759450" cy="3735070"/>
            <wp:effectExtent l="0" t="0" r="0" b="0"/>
            <wp:docPr id="8" name="Graf 8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014FC820-DEB4-49DA-A852-4DC2A03E62F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377F94" w:rsidRDefault="00377F94" w:rsidP="004659B7">
      <w:pPr>
        <w:jc w:val="center"/>
        <w:rPr>
          <w:color w:val="FF0000"/>
        </w:rPr>
      </w:pPr>
    </w:p>
    <w:p w:rsidR="003016B5" w:rsidRDefault="003016B5" w:rsidP="004659B7">
      <w:pPr>
        <w:jc w:val="center"/>
        <w:rPr>
          <w:color w:val="FF0000"/>
        </w:rPr>
      </w:pPr>
    </w:p>
    <w:p w:rsidR="003016B5" w:rsidRDefault="003016B5" w:rsidP="004659B7">
      <w:pPr>
        <w:jc w:val="center"/>
        <w:rPr>
          <w:color w:val="FF0000"/>
        </w:rPr>
      </w:pPr>
    </w:p>
    <w:p w:rsidR="003016B5" w:rsidRDefault="003016B5" w:rsidP="004659B7">
      <w:pPr>
        <w:jc w:val="center"/>
        <w:rPr>
          <w:color w:val="FF0000"/>
        </w:rPr>
      </w:pPr>
    </w:p>
    <w:p w:rsidR="003016B5" w:rsidRDefault="003016B5" w:rsidP="004659B7">
      <w:pPr>
        <w:jc w:val="center"/>
        <w:rPr>
          <w:color w:val="FF0000"/>
        </w:rPr>
      </w:pPr>
    </w:p>
    <w:p w:rsidR="003016B5" w:rsidRDefault="003016B5" w:rsidP="004659B7">
      <w:pPr>
        <w:jc w:val="center"/>
        <w:rPr>
          <w:color w:val="FF0000"/>
        </w:rPr>
      </w:pPr>
    </w:p>
    <w:p w:rsidR="003016B5" w:rsidRDefault="003016B5" w:rsidP="004659B7">
      <w:pPr>
        <w:jc w:val="center"/>
        <w:rPr>
          <w:color w:val="FF0000"/>
        </w:rPr>
      </w:pPr>
    </w:p>
    <w:p w:rsidR="003016B5" w:rsidRDefault="003016B5" w:rsidP="004659B7">
      <w:pPr>
        <w:jc w:val="center"/>
        <w:rPr>
          <w:color w:val="FF0000"/>
        </w:rPr>
      </w:pPr>
    </w:p>
    <w:p w:rsidR="003016B5" w:rsidRDefault="003016B5" w:rsidP="004659B7">
      <w:pPr>
        <w:jc w:val="center"/>
        <w:rPr>
          <w:color w:val="FF0000"/>
        </w:rPr>
      </w:pPr>
    </w:p>
    <w:p w:rsidR="003016B5" w:rsidRDefault="003016B5" w:rsidP="004659B7">
      <w:pPr>
        <w:jc w:val="center"/>
        <w:rPr>
          <w:color w:val="FF0000"/>
        </w:rPr>
      </w:pPr>
    </w:p>
    <w:p w:rsidR="003016B5" w:rsidRDefault="003016B5" w:rsidP="004659B7">
      <w:pPr>
        <w:jc w:val="center"/>
        <w:rPr>
          <w:color w:val="FF0000"/>
        </w:rPr>
      </w:pPr>
    </w:p>
    <w:p w:rsidR="003016B5" w:rsidRDefault="003016B5" w:rsidP="004659B7">
      <w:pPr>
        <w:jc w:val="center"/>
        <w:rPr>
          <w:color w:val="FF0000"/>
        </w:rPr>
      </w:pPr>
    </w:p>
    <w:p w:rsidR="003016B5" w:rsidRDefault="003016B5" w:rsidP="004659B7">
      <w:pPr>
        <w:jc w:val="center"/>
        <w:rPr>
          <w:color w:val="FF0000"/>
        </w:rPr>
      </w:pPr>
    </w:p>
    <w:p w:rsidR="003016B5" w:rsidRDefault="003016B5" w:rsidP="004659B7">
      <w:pPr>
        <w:jc w:val="center"/>
        <w:rPr>
          <w:color w:val="FF0000"/>
        </w:rPr>
      </w:pPr>
    </w:p>
    <w:p w:rsidR="003016B5" w:rsidRDefault="003016B5" w:rsidP="004659B7">
      <w:pPr>
        <w:jc w:val="center"/>
        <w:rPr>
          <w:color w:val="FF0000"/>
        </w:rPr>
      </w:pPr>
    </w:p>
    <w:p w:rsidR="003016B5" w:rsidRDefault="003016B5" w:rsidP="003016B5">
      <w:pPr>
        <w:spacing w:after="0"/>
        <w:ind w:firstLine="708"/>
        <w:jc w:val="center"/>
        <w:rPr>
          <w:rFonts w:ascii="Arial" w:hAnsi="Arial" w:cs="Arial"/>
          <w:b/>
          <w:sz w:val="36"/>
          <w:szCs w:val="36"/>
        </w:rPr>
      </w:pPr>
      <w:r w:rsidRPr="000B75A1">
        <w:rPr>
          <w:rFonts w:ascii="Arial" w:hAnsi="Arial" w:cs="Arial"/>
          <w:b/>
          <w:sz w:val="36"/>
          <w:szCs w:val="36"/>
        </w:rPr>
        <w:lastRenderedPageBreak/>
        <w:t>Grafické znázornenie ukazovateľov</w:t>
      </w:r>
      <w:r>
        <w:rPr>
          <w:rFonts w:ascii="Arial" w:hAnsi="Arial" w:cs="Arial"/>
          <w:b/>
          <w:sz w:val="36"/>
          <w:szCs w:val="36"/>
        </w:rPr>
        <w:t xml:space="preserve"> aktivity</w:t>
      </w:r>
    </w:p>
    <w:p w:rsidR="003016B5" w:rsidRDefault="003016B5" w:rsidP="004659B7">
      <w:pPr>
        <w:jc w:val="center"/>
        <w:rPr>
          <w:color w:val="FF0000"/>
        </w:rPr>
      </w:pPr>
    </w:p>
    <w:p w:rsidR="003016B5" w:rsidRDefault="003016B5" w:rsidP="004659B7">
      <w:pPr>
        <w:jc w:val="center"/>
        <w:rPr>
          <w:color w:val="FF0000"/>
        </w:rPr>
      </w:pPr>
    </w:p>
    <w:tbl>
      <w:tblPr>
        <w:tblW w:w="910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380"/>
        <w:gridCol w:w="960"/>
        <w:gridCol w:w="960"/>
        <w:gridCol w:w="960"/>
        <w:gridCol w:w="960"/>
        <w:gridCol w:w="960"/>
        <w:gridCol w:w="960"/>
        <w:gridCol w:w="960"/>
      </w:tblGrid>
      <w:tr w:rsidR="003016B5" w:rsidRPr="003016B5" w:rsidTr="003016B5">
        <w:trPr>
          <w:trHeight w:val="315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v tis. €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2012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2016</w:t>
            </w:r>
          </w:p>
        </w:tc>
      </w:tr>
      <w:tr w:rsidR="003016B5" w:rsidRPr="003016B5" w:rsidTr="003016B5">
        <w:trPr>
          <w:trHeight w:val="315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Pohľadávky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661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592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501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560</w:t>
            </w:r>
          </w:p>
        </w:tc>
      </w:tr>
      <w:tr w:rsidR="003016B5" w:rsidRPr="003016B5" w:rsidTr="003016B5">
        <w:trPr>
          <w:trHeight w:val="315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Záväzky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1 400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796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952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1 041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1 017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896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1 199</w:t>
            </w:r>
          </w:p>
        </w:tc>
      </w:tr>
      <w:tr w:rsidR="003016B5" w:rsidRPr="003016B5" w:rsidTr="003016B5">
        <w:trPr>
          <w:trHeight w:val="315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Zásoby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3 071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3 249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3 200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2 836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3 046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3 108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3 158</w:t>
            </w:r>
          </w:p>
        </w:tc>
      </w:tr>
      <w:tr w:rsidR="003016B5" w:rsidRPr="003016B5" w:rsidTr="003016B5">
        <w:trPr>
          <w:trHeight w:val="315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rPr>
                <w:rFonts w:ascii="Times New Roman" w:eastAsia="Times New Roman" w:hAnsi="Times New Roman" w:cs="Times New Roman"/>
                <w:i w:val="0"/>
                <w:iCs w:val="0"/>
                <w:lang w:eastAsia="sk-SK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rPr>
                <w:rFonts w:ascii="Times New Roman" w:eastAsia="Times New Roman" w:hAnsi="Times New Roman" w:cs="Times New Roman"/>
                <w:i w:val="0"/>
                <w:iCs w:val="0"/>
                <w:lang w:eastAsia="sk-SK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rPr>
                <w:rFonts w:ascii="Times New Roman" w:eastAsia="Times New Roman" w:hAnsi="Times New Roman" w:cs="Times New Roman"/>
                <w:i w:val="0"/>
                <w:iCs w:val="0"/>
                <w:lang w:eastAsia="sk-SK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rPr>
                <w:rFonts w:ascii="Times New Roman" w:eastAsia="Times New Roman" w:hAnsi="Times New Roman" w:cs="Times New Roman"/>
                <w:i w:val="0"/>
                <w:iCs w:val="0"/>
                <w:lang w:eastAsia="sk-SK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rPr>
                <w:rFonts w:ascii="Times New Roman" w:eastAsia="Times New Roman" w:hAnsi="Times New Roman" w:cs="Times New Roman"/>
                <w:i w:val="0"/>
                <w:iCs w:val="0"/>
                <w:lang w:eastAsia="sk-SK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rPr>
                <w:rFonts w:ascii="Times New Roman" w:eastAsia="Times New Roman" w:hAnsi="Times New Roman" w:cs="Times New Roman"/>
                <w:i w:val="0"/>
                <w:iCs w:val="0"/>
                <w:lang w:eastAsia="sk-SK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rPr>
                <w:rFonts w:ascii="Times New Roman" w:eastAsia="Times New Roman" w:hAnsi="Times New Roman" w:cs="Times New Roman"/>
                <w:i w:val="0"/>
                <w:iCs w:val="0"/>
                <w:lang w:eastAsia="sk-SK" w:bidi="ar-SA"/>
              </w:rPr>
            </w:pPr>
          </w:p>
        </w:tc>
      </w:tr>
      <w:tr w:rsidR="003016B5" w:rsidRPr="003016B5" w:rsidTr="003016B5">
        <w:trPr>
          <w:trHeight w:val="315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v dňoch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2012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2016</w:t>
            </w:r>
          </w:p>
        </w:tc>
      </w:tr>
      <w:tr w:rsidR="003016B5" w:rsidRPr="003016B5" w:rsidTr="003016B5">
        <w:trPr>
          <w:trHeight w:val="315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Doba inkasa pohľadávok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3,87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2,39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1,90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4,41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3,60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3,97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4,54</w:t>
            </w:r>
          </w:p>
        </w:tc>
      </w:tr>
      <w:tr w:rsidR="003016B5" w:rsidRPr="003016B5" w:rsidTr="003016B5">
        <w:trPr>
          <w:trHeight w:val="315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Doba úhrady záväzkov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8,19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7,64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6,41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7,88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8,06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7,11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9,72</w:t>
            </w:r>
          </w:p>
        </w:tc>
      </w:tr>
      <w:tr w:rsidR="003016B5" w:rsidRPr="003016B5" w:rsidTr="003016B5">
        <w:trPr>
          <w:trHeight w:val="315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Doba obratu zásob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17,96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19,93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21,50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21,12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22,69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23,15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3016B5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23,52</w:t>
            </w:r>
          </w:p>
        </w:tc>
      </w:tr>
    </w:tbl>
    <w:p w:rsidR="00815CEF" w:rsidRDefault="00815CEF" w:rsidP="00144A8F">
      <w:pPr>
        <w:jc w:val="both"/>
        <w:rPr>
          <w:rFonts w:ascii="Arial" w:hAnsi="Arial" w:cs="Arial"/>
          <w:i w:val="0"/>
          <w:color w:val="FF0000"/>
          <w:sz w:val="22"/>
          <w:szCs w:val="22"/>
          <w:u w:val="single"/>
        </w:rPr>
      </w:pPr>
    </w:p>
    <w:p w:rsidR="00185E6B" w:rsidRPr="00185E6B" w:rsidRDefault="003016B5" w:rsidP="00144A8F">
      <w:pPr>
        <w:jc w:val="both"/>
        <w:rPr>
          <w:rFonts w:ascii="Arial" w:hAnsi="Arial" w:cs="Arial"/>
          <w:i w:val="0"/>
          <w:color w:val="FF0000"/>
          <w:sz w:val="22"/>
          <w:szCs w:val="22"/>
        </w:rPr>
      </w:pPr>
      <w:r>
        <w:rPr>
          <w:noProof/>
          <w:lang w:eastAsia="sk-SK" w:bidi="ar-SA"/>
        </w:rPr>
        <w:drawing>
          <wp:inline distT="0" distB="0" distL="0" distR="0">
            <wp:extent cx="5759450" cy="3735070"/>
            <wp:effectExtent l="0" t="0" r="0" b="0"/>
            <wp:docPr id="9" name="Graf 9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8308AFF1-1022-4A5E-B9BE-BA0D09113CA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185E6B" w:rsidRPr="00DF7873" w:rsidRDefault="00185E6B" w:rsidP="00A45B88">
      <w:pPr>
        <w:jc w:val="center"/>
        <w:rPr>
          <w:rFonts w:ascii="Arial" w:hAnsi="Arial" w:cs="Arial"/>
          <w:i w:val="0"/>
          <w:color w:val="FF0000"/>
        </w:rPr>
      </w:pPr>
    </w:p>
    <w:p w:rsidR="007D42BD" w:rsidRDefault="007D42BD">
      <w:pPr>
        <w:rPr>
          <w:rFonts w:asciiTheme="majorHAnsi" w:eastAsiaTheme="majorEastAsia" w:hAnsiTheme="majorHAnsi" w:cstheme="majorBidi"/>
          <w:b/>
          <w:bCs/>
          <w:i w:val="0"/>
          <w:color w:val="622423" w:themeColor="accent2" w:themeShade="7F"/>
          <w:sz w:val="22"/>
          <w:szCs w:val="22"/>
        </w:rPr>
      </w:pPr>
      <w:bookmarkStart w:id="6" w:name="_Toc133220733"/>
      <w:bookmarkStart w:id="7" w:name="_Toc288732791"/>
      <w:bookmarkEnd w:id="5"/>
      <w:r>
        <w:rPr>
          <w:i w:val="0"/>
        </w:rPr>
        <w:br w:type="page"/>
      </w:r>
    </w:p>
    <w:p w:rsidR="00D17EAE" w:rsidRPr="00847FB5" w:rsidRDefault="00E21DD2" w:rsidP="003A2403">
      <w:pPr>
        <w:pStyle w:val="Nadpis1"/>
        <w:rPr>
          <w:b w:val="0"/>
          <w:bCs w:val="0"/>
          <w:i w:val="0"/>
          <w:sz w:val="24"/>
          <w:szCs w:val="24"/>
        </w:rPr>
      </w:pPr>
      <w:r w:rsidRPr="00847FB5">
        <w:rPr>
          <w:i w:val="0"/>
        </w:rPr>
        <w:lastRenderedPageBreak/>
        <w:t>Ľ</w:t>
      </w:r>
      <w:r w:rsidR="004F72FB" w:rsidRPr="00847FB5">
        <w:rPr>
          <w:i w:val="0"/>
        </w:rPr>
        <w:t>UDSKÉ ZDROJE</w:t>
      </w:r>
      <w:bookmarkEnd w:id="6"/>
      <w:bookmarkEnd w:id="7"/>
    </w:p>
    <w:p w:rsidR="00847FB5" w:rsidRDefault="00847FB5" w:rsidP="000C2BD2">
      <w:pPr>
        <w:rPr>
          <w:rFonts w:ascii="Arial" w:hAnsi="Arial" w:cs="Arial"/>
          <w:color w:val="FF0000"/>
        </w:rPr>
      </w:pPr>
    </w:p>
    <w:p w:rsidR="00847FB5" w:rsidRDefault="00847FB5" w:rsidP="000D07C2">
      <w:pPr>
        <w:jc w:val="both"/>
        <w:rPr>
          <w:rFonts w:ascii="Arial" w:hAnsi="Arial" w:cs="Arial"/>
        </w:rPr>
      </w:pPr>
      <w:r>
        <w:rPr>
          <w:rFonts w:ascii="Arial" w:hAnsi="Arial" w:cs="Arial"/>
          <w:color w:val="FF0000"/>
        </w:rPr>
        <w:tab/>
      </w:r>
      <w:r w:rsidRPr="009625AF">
        <w:rPr>
          <w:rFonts w:ascii="Arial" w:hAnsi="Arial" w:cs="Arial"/>
        </w:rPr>
        <w:t>V r</w:t>
      </w:r>
      <w:r w:rsidR="000D07C2">
        <w:rPr>
          <w:rFonts w:ascii="Arial" w:hAnsi="Arial" w:cs="Arial"/>
        </w:rPr>
        <w:t xml:space="preserve">oku </w:t>
      </w:r>
      <w:r w:rsidRPr="009625AF">
        <w:rPr>
          <w:rFonts w:ascii="Arial" w:hAnsi="Arial" w:cs="Arial"/>
        </w:rPr>
        <w:t>201</w:t>
      </w:r>
      <w:r w:rsidR="003016B5">
        <w:rPr>
          <w:rFonts w:ascii="Arial" w:hAnsi="Arial" w:cs="Arial"/>
        </w:rPr>
        <w:t>6</w:t>
      </w:r>
      <w:r w:rsidR="009625AF" w:rsidRPr="009625AF">
        <w:rPr>
          <w:rFonts w:ascii="Arial" w:hAnsi="Arial" w:cs="Arial"/>
        </w:rPr>
        <w:t>pokračovala</w:t>
      </w:r>
      <w:r w:rsidRPr="009625AF">
        <w:rPr>
          <w:rFonts w:ascii="Arial" w:hAnsi="Arial" w:cs="Arial"/>
        </w:rPr>
        <w:t xml:space="preserve"> redukcia </w:t>
      </w:r>
      <w:r w:rsidR="00367D69">
        <w:rPr>
          <w:rFonts w:ascii="Arial" w:hAnsi="Arial" w:cs="Arial"/>
        </w:rPr>
        <w:t xml:space="preserve">počtu </w:t>
      </w:r>
      <w:r w:rsidRPr="009625AF">
        <w:rPr>
          <w:rFonts w:ascii="Arial" w:hAnsi="Arial" w:cs="Arial"/>
        </w:rPr>
        <w:t xml:space="preserve">zamestnancov v dôsledku </w:t>
      </w:r>
      <w:r w:rsidR="000D07C2">
        <w:rPr>
          <w:rFonts w:ascii="Arial" w:hAnsi="Arial" w:cs="Arial"/>
        </w:rPr>
        <w:t>znižovania počtu maloobchodných predajní, ktoré pre svoju veľmi nízku rentabilitu tržieb, spôsobenú reguláciou cien tabakových výrobkov, nedokázala pokrývať fixné náklady na prevádzku jed</w:t>
      </w:r>
      <w:r w:rsidR="00E220E4">
        <w:rPr>
          <w:rFonts w:ascii="Arial" w:hAnsi="Arial" w:cs="Arial"/>
        </w:rPr>
        <w:t>n</w:t>
      </w:r>
      <w:r w:rsidR="000D07C2">
        <w:rPr>
          <w:rFonts w:ascii="Arial" w:hAnsi="Arial" w:cs="Arial"/>
        </w:rPr>
        <w:t>otlivých predajní.</w:t>
      </w:r>
    </w:p>
    <w:tbl>
      <w:tblPr>
        <w:tblW w:w="9740" w:type="dxa"/>
        <w:tblInd w:w="80" w:type="dxa"/>
        <w:tblCellMar>
          <w:left w:w="70" w:type="dxa"/>
          <w:right w:w="70" w:type="dxa"/>
        </w:tblCellMar>
        <w:tblLook w:val="04A0"/>
      </w:tblPr>
      <w:tblGrid>
        <w:gridCol w:w="2920"/>
        <w:gridCol w:w="960"/>
        <w:gridCol w:w="960"/>
        <w:gridCol w:w="960"/>
        <w:gridCol w:w="1060"/>
        <w:gridCol w:w="960"/>
        <w:gridCol w:w="960"/>
        <w:gridCol w:w="960"/>
      </w:tblGrid>
      <w:tr w:rsidR="003016B5" w:rsidRPr="003016B5" w:rsidTr="003016B5">
        <w:trPr>
          <w:trHeight w:val="315"/>
        </w:trPr>
        <w:tc>
          <w:tcPr>
            <w:tcW w:w="292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color w:val="000000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2010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2011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2012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2013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2014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2015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20</w:t>
            </w:r>
            <w:r w:rsidR="00D144BD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1</w:t>
            </w: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6</w:t>
            </w:r>
          </w:p>
        </w:tc>
      </w:tr>
      <w:tr w:rsidR="003016B5" w:rsidRPr="003016B5" w:rsidTr="003016B5">
        <w:trPr>
          <w:trHeight w:val="555"/>
        </w:trPr>
        <w:tc>
          <w:tcPr>
            <w:tcW w:w="292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color w:val="000000"/>
                <w:lang w:eastAsia="sk-SK" w:bidi="ar-SA"/>
              </w:rPr>
              <w:t>Priemerný evidenčný počet pracovníkov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73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59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49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34</w:t>
            </w:r>
          </w:p>
        </w:tc>
      </w:tr>
      <w:tr w:rsidR="003016B5" w:rsidRPr="003016B5" w:rsidTr="003016B5">
        <w:trPr>
          <w:trHeight w:val="810"/>
        </w:trPr>
        <w:tc>
          <w:tcPr>
            <w:tcW w:w="292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color w:val="000000"/>
                <w:lang w:eastAsia="sk-SK" w:bidi="ar-SA"/>
              </w:rPr>
              <w:t>Celkový počet hodín odpracovaný všetkými zamestnancami v tis. hod.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132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105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98 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86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83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62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63</w:t>
            </w:r>
          </w:p>
        </w:tc>
      </w:tr>
      <w:tr w:rsidR="003016B5" w:rsidRPr="003016B5" w:rsidTr="003016B5">
        <w:trPr>
          <w:trHeight w:val="555"/>
        </w:trPr>
        <w:tc>
          <w:tcPr>
            <w:tcW w:w="292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color w:val="000000"/>
                <w:lang w:eastAsia="sk-SK" w:bidi="ar-SA"/>
              </w:rPr>
              <w:t>Základné (tarifné) mzdy za prácu spolu v tis.  €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498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399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320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340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340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237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288</w:t>
            </w:r>
          </w:p>
        </w:tc>
      </w:tr>
      <w:tr w:rsidR="003016B5" w:rsidRPr="003016B5" w:rsidTr="003016B5">
        <w:trPr>
          <w:trHeight w:val="555"/>
        </w:trPr>
        <w:tc>
          <w:tcPr>
            <w:tcW w:w="292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color w:val="000000"/>
                <w:lang w:eastAsia="sk-SK" w:bidi="ar-SA"/>
              </w:rPr>
              <w:t>Základné mzdy v priemere na jedného pracovníka za mesiac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436,38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563,92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513,28 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518,24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664,37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564,04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568,25</w:t>
            </w:r>
          </w:p>
        </w:tc>
      </w:tr>
      <w:tr w:rsidR="003016B5" w:rsidRPr="003016B5" w:rsidTr="003016B5">
        <w:trPr>
          <w:trHeight w:val="330"/>
        </w:trPr>
        <w:tc>
          <w:tcPr>
            <w:tcW w:w="292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color w:val="000000"/>
                <w:lang w:eastAsia="sk-SK" w:bidi="ar-SA"/>
              </w:rPr>
              <w:t>Povinné odvody v tis. €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160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158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139 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141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127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103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112</w:t>
            </w:r>
          </w:p>
        </w:tc>
      </w:tr>
      <w:tr w:rsidR="003016B5" w:rsidRPr="003016B5" w:rsidTr="003016B5">
        <w:trPr>
          <w:trHeight w:val="555"/>
        </w:trPr>
        <w:tc>
          <w:tcPr>
            <w:tcW w:w="292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color w:val="000000"/>
                <w:lang w:eastAsia="sk-SK" w:bidi="ar-SA"/>
              </w:rPr>
              <w:t>Priemerné povinné odvody na zamestnanca a mesiac v €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182,93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223,1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223,15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224,18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278,5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246,39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252,84</w:t>
            </w:r>
          </w:p>
        </w:tc>
      </w:tr>
      <w:tr w:rsidR="003016B5" w:rsidRPr="003016B5" w:rsidTr="003016B5">
        <w:trPr>
          <w:trHeight w:val="810"/>
        </w:trPr>
        <w:tc>
          <w:tcPr>
            <w:tcW w:w="292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color w:val="000000"/>
                <w:lang w:eastAsia="sk-SK" w:bidi="ar-SA"/>
              </w:rPr>
              <w:t>Zaťaženie odvodov k základnej mzde na zamestnanca a mesiac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41,92%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39,56%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43,48%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43,25%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41,92%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43,68%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016B5" w:rsidRPr="003016B5" w:rsidRDefault="003016B5" w:rsidP="003016B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</w:pPr>
            <w:r w:rsidRPr="003016B5">
              <w:rPr>
                <w:rFonts w:ascii="Arial" w:eastAsia="Times New Roman" w:hAnsi="Arial" w:cs="Arial"/>
                <w:b/>
                <w:bCs/>
                <w:color w:val="000000"/>
                <w:lang w:eastAsia="sk-SK" w:bidi="ar-SA"/>
              </w:rPr>
              <w:t>44,49%</w:t>
            </w:r>
          </w:p>
        </w:tc>
      </w:tr>
    </w:tbl>
    <w:p w:rsidR="00185E6B" w:rsidRDefault="00185E6B" w:rsidP="000D07C2">
      <w:pPr>
        <w:jc w:val="both"/>
        <w:rPr>
          <w:rFonts w:ascii="Arial" w:hAnsi="Arial" w:cs="Arial"/>
        </w:rPr>
      </w:pPr>
    </w:p>
    <w:p w:rsidR="00185E6B" w:rsidRDefault="00D144BD" w:rsidP="000D07C2">
      <w:pPr>
        <w:jc w:val="both"/>
        <w:rPr>
          <w:rFonts w:ascii="Arial" w:hAnsi="Arial" w:cs="Arial"/>
        </w:rPr>
      </w:pPr>
      <w:r>
        <w:rPr>
          <w:noProof/>
          <w:lang w:eastAsia="sk-SK" w:bidi="ar-SA"/>
        </w:rPr>
        <w:drawing>
          <wp:inline distT="0" distB="0" distL="0" distR="0">
            <wp:extent cx="5759450" cy="3735070"/>
            <wp:effectExtent l="0" t="0" r="0" b="0"/>
            <wp:docPr id="19" name="Graf 19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91F8C0F1-5DFC-4599-89F4-AC1B82292C7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:rsidR="009625AF" w:rsidRPr="00424F9A" w:rsidRDefault="009625AF" w:rsidP="00185E6B">
      <w:pPr>
        <w:jc w:val="center"/>
        <w:rPr>
          <w:rFonts w:ascii="Arial" w:hAnsi="Arial" w:cs="Arial"/>
          <w:color w:val="000000" w:themeColor="text1"/>
        </w:rPr>
      </w:pPr>
    </w:p>
    <w:p w:rsidR="00E4226A" w:rsidRDefault="00E4226A" w:rsidP="00A71028">
      <w:pPr>
        <w:jc w:val="center"/>
        <w:rPr>
          <w:rFonts w:ascii="Arial" w:eastAsia="Batang" w:hAnsi="Arial" w:cs="Arial"/>
          <w:color w:val="000000" w:themeColor="text1"/>
          <w:sz w:val="16"/>
          <w:szCs w:val="16"/>
        </w:rPr>
      </w:pPr>
    </w:p>
    <w:p w:rsidR="00A71028" w:rsidRDefault="00D144BD" w:rsidP="00A71028">
      <w:pPr>
        <w:jc w:val="center"/>
        <w:rPr>
          <w:rFonts w:ascii="Arial" w:eastAsia="Batang" w:hAnsi="Arial" w:cs="Arial"/>
          <w:color w:val="000000" w:themeColor="text1"/>
          <w:sz w:val="16"/>
          <w:szCs w:val="16"/>
        </w:rPr>
      </w:pPr>
      <w:r>
        <w:rPr>
          <w:noProof/>
          <w:lang w:eastAsia="sk-SK" w:bidi="ar-SA"/>
        </w:rPr>
        <w:lastRenderedPageBreak/>
        <w:drawing>
          <wp:inline distT="0" distB="0" distL="0" distR="0">
            <wp:extent cx="5759450" cy="3735070"/>
            <wp:effectExtent l="0" t="0" r="0" b="0"/>
            <wp:docPr id="20" name="Graf 20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3E00870C-BACF-4AC3-9D69-FA4D4081864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:rsidR="00A71028" w:rsidRDefault="00D144BD" w:rsidP="00A71028">
      <w:pPr>
        <w:jc w:val="center"/>
        <w:rPr>
          <w:rFonts w:ascii="Arial" w:eastAsia="Batang" w:hAnsi="Arial" w:cs="Arial"/>
          <w:color w:val="000000" w:themeColor="text1"/>
          <w:sz w:val="16"/>
          <w:szCs w:val="16"/>
        </w:rPr>
      </w:pPr>
      <w:r>
        <w:rPr>
          <w:noProof/>
          <w:lang w:eastAsia="sk-SK" w:bidi="ar-SA"/>
        </w:rPr>
        <w:drawing>
          <wp:inline distT="0" distB="0" distL="0" distR="0">
            <wp:extent cx="5759450" cy="3735070"/>
            <wp:effectExtent l="0" t="0" r="0" b="0"/>
            <wp:docPr id="21" name="Graf 21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6BBD7B55-81B3-46E8-81DE-CDDC24449ED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:rsidR="00EE2A53" w:rsidRDefault="00D144BD" w:rsidP="00A71028">
      <w:pPr>
        <w:jc w:val="center"/>
        <w:rPr>
          <w:rFonts w:ascii="Arial" w:eastAsia="Batang" w:hAnsi="Arial" w:cs="Arial"/>
          <w:color w:val="000000" w:themeColor="text1"/>
          <w:sz w:val="16"/>
          <w:szCs w:val="16"/>
        </w:rPr>
      </w:pPr>
      <w:r>
        <w:rPr>
          <w:noProof/>
          <w:lang w:eastAsia="sk-SK" w:bidi="ar-SA"/>
        </w:rPr>
        <w:lastRenderedPageBreak/>
        <w:drawing>
          <wp:inline distT="0" distB="0" distL="0" distR="0">
            <wp:extent cx="5759450" cy="3735070"/>
            <wp:effectExtent l="0" t="0" r="0" b="0"/>
            <wp:docPr id="22" name="Graf 22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A7D22700-DC50-4CAB-96BE-05C5D5C9DEF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:rsidR="00A71028" w:rsidRDefault="00A71028" w:rsidP="00A71028">
      <w:pPr>
        <w:jc w:val="center"/>
        <w:rPr>
          <w:rFonts w:ascii="Arial" w:eastAsia="Batang" w:hAnsi="Arial" w:cs="Arial"/>
          <w:color w:val="000000" w:themeColor="text1"/>
          <w:sz w:val="16"/>
          <w:szCs w:val="16"/>
        </w:rPr>
      </w:pPr>
    </w:p>
    <w:p w:rsidR="00D144BD" w:rsidRDefault="00D144BD" w:rsidP="00A71028">
      <w:pPr>
        <w:jc w:val="center"/>
        <w:rPr>
          <w:rFonts w:ascii="Arial" w:eastAsia="Batang" w:hAnsi="Arial" w:cs="Arial"/>
          <w:color w:val="000000" w:themeColor="text1"/>
          <w:sz w:val="16"/>
          <w:szCs w:val="16"/>
        </w:rPr>
      </w:pPr>
      <w:bookmarkStart w:id="8" w:name="_GoBack"/>
      <w:bookmarkEnd w:id="8"/>
    </w:p>
    <w:p w:rsidR="009D07B8" w:rsidRPr="009D07B8" w:rsidRDefault="009D07B8" w:rsidP="009D07B8">
      <w:pPr>
        <w:pStyle w:val="Nadpis1"/>
        <w:jc w:val="both"/>
        <w:rPr>
          <w:bCs w:val="0"/>
          <w:color w:val="000000" w:themeColor="text1"/>
          <w:sz w:val="24"/>
          <w:szCs w:val="24"/>
        </w:rPr>
      </w:pPr>
      <w:r w:rsidRPr="009D07B8">
        <w:rPr>
          <w:bCs w:val="0"/>
          <w:color w:val="000000" w:themeColor="text1"/>
          <w:sz w:val="24"/>
          <w:szCs w:val="24"/>
        </w:rPr>
        <w:t>Investície</w:t>
      </w:r>
    </w:p>
    <w:p w:rsidR="009D07B8" w:rsidRDefault="009D07B8" w:rsidP="004F65D8">
      <w:pPr>
        <w:ind w:firstLine="708"/>
        <w:jc w:val="both"/>
        <w:rPr>
          <w:rFonts w:ascii="Arial" w:hAnsi="Arial" w:cs="Arial"/>
          <w:color w:val="333333"/>
        </w:rPr>
      </w:pPr>
    </w:p>
    <w:p w:rsidR="000F620E" w:rsidRPr="004F65D8" w:rsidRDefault="00175F95" w:rsidP="004F65D8">
      <w:pPr>
        <w:ind w:firstLine="708"/>
        <w:jc w:val="both"/>
        <w:rPr>
          <w:rFonts w:ascii="Arial" w:hAnsi="Arial" w:cs="Arial"/>
          <w:color w:val="333333"/>
        </w:rPr>
      </w:pPr>
      <w:r w:rsidRPr="004F65D8">
        <w:rPr>
          <w:rFonts w:ascii="Arial" w:hAnsi="Arial" w:cs="Arial"/>
          <w:color w:val="333333"/>
        </w:rPr>
        <w:t>Investičné výdaje v roku 201</w:t>
      </w:r>
      <w:r w:rsidR="00D144BD">
        <w:rPr>
          <w:rFonts w:ascii="Arial" w:hAnsi="Arial" w:cs="Arial"/>
          <w:color w:val="333333"/>
        </w:rPr>
        <w:t>6</w:t>
      </w:r>
      <w:r w:rsidR="00CE644A">
        <w:rPr>
          <w:rFonts w:ascii="Arial" w:hAnsi="Arial" w:cs="Arial"/>
          <w:color w:val="333333"/>
        </w:rPr>
        <w:t xml:space="preserve"> boli </w:t>
      </w:r>
      <w:r w:rsidR="00E9762A">
        <w:rPr>
          <w:rFonts w:ascii="Arial" w:hAnsi="Arial" w:cs="Arial"/>
          <w:color w:val="333333"/>
        </w:rPr>
        <w:t xml:space="preserve">smerované do obnovy vozového parku so snahou o zníženie prevádzkových nákladov. </w:t>
      </w:r>
      <w:r w:rsidR="00D144BD">
        <w:rPr>
          <w:rFonts w:ascii="Arial" w:hAnsi="Arial" w:cs="Arial"/>
          <w:color w:val="333333"/>
        </w:rPr>
        <w:t xml:space="preserve">Tiež boli obstarané nové vozidlá za účelom ich ďalšieho prenájmu a tým zvýšenie výkonov spoločnosti. Tieto </w:t>
      </w:r>
      <w:r w:rsidR="00E9762A">
        <w:rPr>
          <w:rFonts w:ascii="Arial" w:hAnsi="Arial" w:cs="Arial"/>
          <w:color w:val="333333"/>
        </w:rPr>
        <w:t>investíci</w:t>
      </w:r>
      <w:r w:rsidR="00D144BD">
        <w:rPr>
          <w:rFonts w:ascii="Arial" w:hAnsi="Arial" w:cs="Arial"/>
          <w:color w:val="333333"/>
        </w:rPr>
        <w:t>e</w:t>
      </w:r>
      <w:r w:rsidR="00E9762A">
        <w:rPr>
          <w:rFonts w:ascii="Arial" w:hAnsi="Arial" w:cs="Arial"/>
          <w:color w:val="333333"/>
        </w:rPr>
        <w:t xml:space="preserve"> bol</w:t>
      </w:r>
      <w:r w:rsidR="00D144BD">
        <w:rPr>
          <w:rFonts w:ascii="Arial" w:hAnsi="Arial" w:cs="Arial"/>
          <w:color w:val="333333"/>
        </w:rPr>
        <w:t>i</w:t>
      </w:r>
      <w:r w:rsidR="00E9762A">
        <w:rPr>
          <w:rFonts w:ascii="Arial" w:hAnsi="Arial" w:cs="Arial"/>
          <w:color w:val="333333"/>
        </w:rPr>
        <w:t xml:space="preserve"> očakávan</w:t>
      </w:r>
      <w:r w:rsidR="00D144BD">
        <w:rPr>
          <w:rFonts w:ascii="Arial" w:hAnsi="Arial" w:cs="Arial"/>
          <w:color w:val="333333"/>
        </w:rPr>
        <w:t>é</w:t>
      </w:r>
      <w:r w:rsidR="00E9762A">
        <w:rPr>
          <w:rFonts w:ascii="Arial" w:hAnsi="Arial" w:cs="Arial"/>
          <w:color w:val="333333"/>
        </w:rPr>
        <w:t xml:space="preserve"> a bol</w:t>
      </w:r>
      <w:r w:rsidR="00D144BD">
        <w:rPr>
          <w:rFonts w:ascii="Arial" w:hAnsi="Arial" w:cs="Arial"/>
          <w:color w:val="333333"/>
        </w:rPr>
        <w:t>i</w:t>
      </w:r>
      <w:r w:rsidR="00E9762A">
        <w:rPr>
          <w:rFonts w:ascii="Arial" w:hAnsi="Arial" w:cs="Arial"/>
          <w:color w:val="333333"/>
        </w:rPr>
        <w:t xml:space="preserve"> v súlade s plánom investícií stanovenom v roku 201</w:t>
      </w:r>
      <w:r w:rsidR="00D144BD">
        <w:rPr>
          <w:rFonts w:ascii="Arial" w:hAnsi="Arial" w:cs="Arial"/>
          <w:color w:val="333333"/>
        </w:rPr>
        <w:t>5</w:t>
      </w:r>
      <w:r w:rsidR="00E9762A">
        <w:rPr>
          <w:rFonts w:ascii="Arial" w:hAnsi="Arial" w:cs="Arial"/>
          <w:color w:val="333333"/>
        </w:rPr>
        <w:t>.</w:t>
      </w:r>
    </w:p>
    <w:p w:rsidR="009D07B8" w:rsidRPr="009125A9" w:rsidRDefault="009D07B8" w:rsidP="006B5223">
      <w:pPr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ab/>
        <w:t xml:space="preserve">Financovanie nových investičných aktivít </w:t>
      </w:r>
      <w:r w:rsidR="00E9762A">
        <w:rPr>
          <w:rFonts w:ascii="Arial" w:hAnsi="Arial" w:cs="Arial"/>
          <w:color w:val="333333"/>
        </w:rPr>
        <w:t>bolo maj</w:t>
      </w:r>
      <w:r>
        <w:rPr>
          <w:rFonts w:ascii="Arial" w:hAnsi="Arial" w:cs="Arial"/>
          <w:color w:val="333333"/>
        </w:rPr>
        <w:t xml:space="preserve">oritne z externých dlhodobých zdrojov </w:t>
      </w:r>
      <w:r w:rsidR="003B31F6">
        <w:rPr>
          <w:rFonts w:ascii="Arial" w:hAnsi="Arial" w:cs="Arial"/>
          <w:color w:val="333333"/>
        </w:rPr>
        <w:t xml:space="preserve">(Volkswagen Finančné služby, s.r.o.) </w:t>
      </w:r>
      <w:r>
        <w:rPr>
          <w:rFonts w:ascii="Arial" w:hAnsi="Arial" w:cs="Arial"/>
          <w:color w:val="333333"/>
        </w:rPr>
        <w:t xml:space="preserve">s </w:t>
      </w:r>
      <w:r w:rsidR="00D144BD">
        <w:rPr>
          <w:rFonts w:ascii="Arial" w:hAnsi="Arial" w:cs="Arial"/>
          <w:color w:val="333333"/>
        </w:rPr>
        <w:t>v</w:t>
      </w:r>
      <w:r>
        <w:rPr>
          <w:rFonts w:ascii="Arial" w:hAnsi="Arial" w:cs="Arial"/>
          <w:color w:val="333333"/>
        </w:rPr>
        <w:t>lastným spolufinancovaním, pričom výška Equity</w:t>
      </w:r>
      <w:r w:rsidR="00D144BD">
        <w:rPr>
          <w:rFonts w:ascii="Arial" w:hAnsi="Arial" w:cs="Arial"/>
          <w:color w:val="333333"/>
        </w:rPr>
        <w:t xml:space="preserve"> je účtovanáv dlhodobých záväzkoch</w:t>
      </w:r>
      <w:r w:rsidR="003B31F6">
        <w:rPr>
          <w:rFonts w:ascii="Arial" w:hAnsi="Arial" w:cs="Arial"/>
          <w:color w:val="333333"/>
        </w:rPr>
        <w:t>.</w:t>
      </w:r>
    </w:p>
    <w:p w:rsidR="004B5F76" w:rsidRDefault="004B5F76" w:rsidP="004B5F76">
      <w:pPr>
        <w:autoSpaceDE w:val="0"/>
        <w:autoSpaceDN w:val="0"/>
        <w:adjustRightInd w:val="0"/>
        <w:rPr>
          <w:rFonts w:ascii="Arial" w:hAnsi="Arial" w:cs="Arial"/>
          <w:color w:val="FF0000"/>
          <w:lang w:val="cs-CZ" w:eastAsia="cs-CZ"/>
        </w:rPr>
      </w:pPr>
      <w:bookmarkStart w:id="9" w:name="_Toc133220736"/>
    </w:p>
    <w:bookmarkEnd w:id="9"/>
    <w:p w:rsidR="009D07B8" w:rsidRPr="00E44C1D" w:rsidRDefault="009D07B8" w:rsidP="009D07B8">
      <w:pPr>
        <w:pStyle w:val="Nadpis1"/>
        <w:rPr>
          <w:caps/>
        </w:rPr>
      </w:pPr>
      <w:r>
        <w:t>Bezpečnosť a ochrana zdravia pri práci a ochrana pred požiarmi</w:t>
      </w:r>
    </w:p>
    <w:p w:rsidR="005831CD" w:rsidRDefault="005831CD" w:rsidP="005831CD">
      <w:pPr>
        <w:jc w:val="both"/>
        <w:rPr>
          <w:rFonts w:ascii="Arial" w:hAnsi="Arial" w:cs="Arial"/>
          <w:color w:val="FF0000"/>
        </w:rPr>
      </w:pPr>
    </w:p>
    <w:p w:rsidR="005831CD" w:rsidRPr="00DF32C1" w:rsidRDefault="005831CD" w:rsidP="005831CD">
      <w:pPr>
        <w:ind w:firstLine="708"/>
        <w:jc w:val="both"/>
        <w:rPr>
          <w:rFonts w:ascii="Arial" w:hAnsi="Arial" w:cs="Arial"/>
        </w:rPr>
      </w:pPr>
      <w:r w:rsidRPr="00203469">
        <w:rPr>
          <w:rFonts w:ascii="Arial" w:hAnsi="Arial" w:cs="Arial"/>
        </w:rPr>
        <w:t>Naša spoločnosť postupuje pri zabezpečovaní činností na úseku BOZP v súlade s príslušnými legislatívnymi predpismi a v súlade s prijatou politikou bezpečnosti a ochrany zdravia pri práci.</w:t>
      </w:r>
      <w:r w:rsidRPr="00A53ECE">
        <w:rPr>
          <w:rFonts w:ascii="Arial" w:hAnsi="Arial" w:cs="Arial"/>
        </w:rPr>
        <w:t>Kontrolu plnenia povinností v oblasti BOZP vykonávame formou pravidelných interných auditov vlastnými zamestnancami.V roku 201</w:t>
      </w:r>
      <w:r w:rsidR="00D144BD">
        <w:rPr>
          <w:rFonts w:ascii="Arial" w:hAnsi="Arial" w:cs="Arial"/>
        </w:rPr>
        <w:t>6</w:t>
      </w:r>
      <w:r w:rsidRPr="00A53ECE">
        <w:rPr>
          <w:rFonts w:ascii="Arial" w:hAnsi="Arial" w:cs="Arial"/>
        </w:rPr>
        <w:t xml:space="preserve"> v spoločnosti </w:t>
      </w:r>
      <w:r w:rsidR="009D07B8">
        <w:rPr>
          <w:rFonts w:ascii="Arial" w:hAnsi="Arial" w:cs="Arial"/>
        </w:rPr>
        <w:t>ne</w:t>
      </w:r>
      <w:r w:rsidRPr="00A53ECE">
        <w:rPr>
          <w:rFonts w:ascii="Arial" w:hAnsi="Arial" w:cs="Arial"/>
        </w:rPr>
        <w:t>boli zaznamenané registrované pracovné úrazy, nebol ani jeden</w:t>
      </w:r>
      <w:r w:rsidR="009D07B8">
        <w:rPr>
          <w:rFonts w:ascii="Arial" w:hAnsi="Arial" w:cs="Arial"/>
        </w:rPr>
        <w:t xml:space="preserve"> smrteľný pracovný úraz</w:t>
      </w:r>
      <w:r w:rsidRPr="00A53ECE">
        <w:rPr>
          <w:rFonts w:ascii="Arial" w:hAnsi="Arial" w:cs="Arial"/>
        </w:rPr>
        <w:t>.</w:t>
      </w:r>
    </w:p>
    <w:p w:rsidR="009D07B8" w:rsidRPr="00E44C1D" w:rsidRDefault="009D07B8" w:rsidP="009D07B8">
      <w:pPr>
        <w:pStyle w:val="Nadpis1"/>
        <w:rPr>
          <w:caps/>
        </w:rPr>
      </w:pPr>
      <w:r>
        <w:lastRenderedPageBreak/>
        <w:t xml:space="preserve">Kvalita </w:t>
      </w:r>
    </w:p>
    <w:p w:rsidR="00491B0E" w:rsidRPr="00DF7873" w:rsidRDefault="00491B0E" w:rsidP="00491B0E">
      <w:pPr>
        <w:autoSpaceDE w:val="0"/>
        <w:autoSpaceDN w:val="0"/>
        <w:adjustRightInd w:val="0"/>
        <w:rPr>
          <w:rFonts w:ascii="Arial" w:hAnsi="Arial" w:cs="Arial"/>
          <w:color w:val="FF0000"/>
          <w:lang w:eastAsia="cs-CZ"/>
        </w:rPr>
      </w:pPr>
    </w:p>
    <w:p w:rsidR="0065773E" w:rsidRPr="009D07B8" w:rsidRDefault="0094077D" w:rsidP="0094077D">
      <w:pPr>
        <w:pStyle w:val="Zoznam"/>
        <w:widowControl w:val="0"/>
        <w:tabs>
          <w:tab w:val="left" w:pos="5580"/>
          <w:tab w:val="left" w:pos="7797"/>
        </w:tabs>
        <w:suppressAutoHyphens/>
        <w:ind w:left="0" w:firstLine="0"/>
        <w:jc w:val="both"/>
        <w:rPr>
          <w:rFonts w:ascii="Arial" w:hAnsi="Arial" w:cs="Arial"/>
          <w:snapToGrid/>
          <w:lang w:val="sk-SK" w:eastAsia="sk-SK"/>
        </w:rPr>
      </w:pPr>
      <w:r w:rsidRPr="009D07B8">
        <w:rPr>
          <w:rFonts w:ascii="Arial" w:hAnsi="Arial" w:cs="Arial"/>
          <w:snapToGrid/>
          <w:lang w:val="sk-SK" w:eastAsia="sk-SK"/>
        </w:rPr>
        <w:t xml:space="preserve">Politika kvality </w:t>
      </w:r>
      <w:r w:rsidR="0065773E" w:rsidRPr="009D07B8">
        <w:rPr>
          <w:rFonts w:ascii="Arial" w:hAnsi="Arial" w:cs="Arial"/>
          <w:snapToGrid/>
          <w:lang w:val="sk-SK" w:eastAsia="sk-SK"/>
        </w:rPr>
        <w:t>spoločnosti sa zameriava na:</w:t>
      </w:r>
    </w:p>
    <w:p w:rsidR="0094077D" w:rsidRPr="009D07B8" w:rsidRDefault="0094077D" w:rsidP="0094077D">
      <w:pPr>
        <w:pStyle w:val="Metodickpokyn"/>
        <w:numPr>
          <w:ilvl w:val="0"/>
          <w:numId w:val="16"/>
        </w:numPr>
        <w:jc w:val="both"/>
        <w:rPr>
          <w:rFonts w:cs="Arial"/>
          <w:sz w:val="20"/>
          <w:lang w:eastAsia="sk-SK"/>
        </w:rPr>
      </w:pPr>
      <w:r w:rsidRPr="009D07B8">
        <w:rPr>
          <w:rFonts w:cs="Arial"/>
          <w:sz w:val="20"/>
          <w:lang w:eastAsia="sk-SK"/>
        </w:rPr>
        <w:t>dosiahnutie spokojnosti zákazníka plnením jeho požiadaviek,</w:t>
      </w:r>
    </w:p>
    <w:p w:rsidR="0094077D" w:rsidRPr="009D07B8" w:rsidRDefault="0094077D" w:rsidP="0094077D">
      <w:pPr>
        <w:pStyle w:val="Metodickpokyn"/>
        <w:numPr>
          <w:ilvl w:val="0"/>
          <w:numId w:val="16"/>
        </w:numPr>
        <w:jc w:val="both"/>
        <w:rPr>
          <w:rFonts w:cs="Arial"/>
          <w:sz w:val="20"/>
          <w:lang w:eastAsia="sk-SK"/>
        </w:rPr>
      </w:pPr>
      <w:r w:rsidRPr="009D07B8">
        <w:rPr>
          <w:rFonts w:cs="Arial"/>
          <w:sz w:val="20"/>
          <w:lang w:eastAsia="sk-SK"/>
        </w:rPr>
        <w:t>komplexné a  neustále zlepšovanie v</w:t>
      </w:r>
      <w:r w:rsidR="00D144BD">
        <w:rPr>
          <w:rFonts w:cs="Arial"/>
          <w:sz w:val="20"/>
          <w:lang w:eastAsia="sk-SK"/>
        </w:rPr>
        <w:t> systému manažérstva kvality</w:t>
      </w:r>
      <w:r w:rsidRPr="009D07B8">
        <w:rPr>
          <w:rFonts w:cs="Arial"/>
          <w:sz w:val="20"/>
          <w:lang w:eastAsia="sk-SK"/>
        </w:rPr>
        <w:t>, t.j. v každom identifikovanom procese v spoločnosti,</w:t>
      </w:r>
    </w:p>
    <w:p w:rsidR="0094077D" w:rsidRPr="009D07B8" w:rsidRDefault="0094077D" w:rsidP="0094077D">
      <w:pPr>
        <w:pStyle w:val="Metodickpokyn"/>
        <w:numPr>
          <w:ilvl w:val="0"/>
          <w:numId w:val="16"/>
        </w:numPr>
        <w:jc w:val="both"/>
        <w:rPr>
          <w:rFonts w:cs="Arial"/>
          <w:sz w:val="20"/>
          <w:lang w:eastAsia="sk-SK"/>
        </w:rPr>
      </w:pPr>
      <w:r w:rsidRPr="009D07B8">
        <w:rPr>
          <w:rFonts w:cs="Arial"/>
          <w:sz w:val="20"/>
          <w:lang w:eastAsia="sk-SK"/>
        </w:rPr>
        <w:t>ľudské zdroje a  zvýšenie ich hodnoty ako jedného z najhodnotnejších zdrojov zabezpečovania kvality,</w:t>
      </w:r>
    </w:p>
    <w:p w:rsidR="0094077D" w:rsidRPr="009D07B8" w:rsidRDefault="0094077D" w:rsidP="0094077D">
      <w:pPr>
        <w:pStyle w:val="Metodickpokyn"/>
        <w:numPr>
          <w:ilvl w:val="0"/>
          <w:numId w:val="16"/>
        </w:numPr>
        <w:jc w:val="both"/>
        <w:rPr>
          <w:rFonts w:cs="Arial"/>
          <w:sz w:val="20"/>
          <w:lang w:eastAsia="sk-SK"/>
        </w:rPr>
      </w:pPr>
      <w:r w:rsidRPr="009D07B8">
        <w:rPr>
          <w:rFonts w:cs="Arial"/>
          <w:sz w:val="20"/>
          <w:lang w:eastAsia="sk-SK"/>
        </w:rPr>
        <w:t xml:space="preserve">dosahovanie efektívnosti SMK prostredníctvom maximalizácie obratu a minimalizácie nákladov.  </w:t>
      </w:r>
    </w:p>
    <w:p w:rsidR="0094077D" w:rsidRPr="009D07B8" w:rsidRDefault="0094077D" w:rsidP="0094077D">
      <w:pPr>
        <w:pStyle w:val="Metodickpokyn"/>
        <w:jc w:val="both"/>
        <w:rPr>
          <w:rFonts w:cs="Arial"/>
          <w:sz w:val="20"/>
          <w:lang w:eastAsia="sk-SK"/>
        </w:rPr>
      </w:pPr>
    </w:p>
    <w:p w:rsidR="0094077D" w:rsidRPr="009D07B8" w:rsidRDefault="00EE2A53" w:rsidP="00983ED2">
      <w:pPr>
        <w:pStyle w:val="Zoznam"/>
        <w:widowControl w:val="0"/>
        <w:tabs>
          <w:tab w:val="left" w:pos="5580"/>
          <w:tab w:val="left" w:pos="7797"/>
        </w:tabs>
        <w:suppressAutoHyphens/>
        <w:jc w:val="both"/>
        <w:rPr>
          <w:rFonts w:ascii="Arial" w:hAnsi="Arial" w:cs="Arial"/>
          <w:snapToGrid/>
          <w:lang w:val="sk-SK" w:eastAsia="sk-SK"/>
        </w:rPr>
      </w:pPr>
      <w:r>
        <w:rPr>
          <w:rFonts w:ascii="Arial" w:hAnsi="Arial" w:cs="Arial"/>
          <w:snapToGrid/>
          <w:lang w:val="sk-SK" w:eastAsia="sk-SK"/>
        </w:rPr>
        <w:t>V roku 201</w:t>
      </w:r>
      <w:r w:rsidR="00D144BD">
        <w:rPr>
          <w:rFonts w:ascii="Arial" w:hAnsi="Arial" w:cs="Arial"/>
          <w:snapToGrid/>
          <w:lang w:val="sk-SK" w:eastAsia="sk-SK"/>
        </w:rPr>
        <w:t>7</w:t>
      </w:r>
      <w:r w:rsidR="00983ED2" w:rsidRPr="009D07B8">
        <w:rPr>
          <w:rFonts w:ascii="Arial" w:hAnsi="Arial" w:cs="Arial"/>
          <w:snapToGrid/>
          <w:lang w:val="sk-SK" w:eastAsia="sk-SK"/>
        </w:rPr>
        <w:t xml:space="preserve"> sa chce spoločnosť v rámci manažmentu kvality zamerať na</w:t>
      </w:r>
    </w:p>
    <w:p w:rsidR="0094077D" w:rsidRPr="009D07B8" w:rsidRDefault="0094077D" w:rsidP="0094077D">
      <w:pPr>
        <w:pStyle w:val="Zoznam"/>
        <w:widowControl w:val="0"/>
        <w:tabs>
          <w:tab w:val="left" w:pos="5580"/>
          <w:tab w:val="left" w:pos="7797"/>
        </w:tabs>
        <w:suppressAutoHyphens/>
        <w:ind w:left="0" w:firstLine="0"/>
        <w:jc w:val="both"/>
        <w:rPr>
          <w:rFonts w:ascii="Arial" w:hAnsi="Arial" w:cs="Arial"/>
          <w:snapToGrid/>
          <w:lang w:val="sk-SK" w:eastAsia="sk-SK"/>
        </w:rPr>
      </w:pPr>
    </w:p>
    <w:p w:rsidR="0094077D" w:rsidRPr="009D07B8" w:rsidRDefault="0094077D" w:rsidP="0094077D">
      <w:pPr>
        <w:pStyle w:val="Zoznam"/>
        <w:widowControl w:val="0"/>
        <w:numPr>
          <w:ilvl w:val="0"/>
          <w:numId w:val="21"/>
        </w:numPr>
        <w:tabs>
          <w:tab w:val="left" w:pos="5580"/>
          <w:tab w:val="left" w:pos="7797"/>
        </w:tabs>
        <w:suppressAutoHyphens/>
        <w:jc w:val="both"/>
        <w:rPr>
          <w:rFonts w:ascii="Arial" w:hAnsi="Arial" w:cs="Arial"/>
          <w:snapToGrid/>
          <w:lang w:val="sk-SK" w:eastAsia="sk-SK"/>
        </w:rPr>
      </w:pPr>
      <w:r w:rsidRPr="009D07B8">
        <w:rPr>
          <w:rFonts w:ascii="Arial" w:hAnsi="Arial" w:cs="Arial"/>
          <w:snapToGrid/>
          <w:lang w:val="sk-SK" w:eastAsia="sk-SK"/>
        </w:rPr>
        <w:t xml:space="preserve">zavedeniu monitoringu ukazovateľov výkonnosti, prezentácia výsledkov na všetkých stupňoch riadenia, </w:t>
      </w:r>
    </w:p>
    <w:p w:rsidR="0094077D" w:rsidRPr="009D07B8" w:rsidRDefault="0094077D" w:rsidP="0094077D">
      <w:pPr>
        <w:pStyle w:val="Zoznam"/>
        <w:widowControl w:val="0"/>
        <w:numPr>
          <w:ilvl w:val="0"/>
          <w:numId w:val="21"/>
        </w:numPr>
        <w:tabs>
          <w:tab w:val="left" w:pos="5580"/>
          <w:tab w:val="left" w:pos="7797"/>
        </w:tabs>
        <w:suppressAutoHyphens/>
        <w:jc w:val="both"/>
        <w:rPr>
          <w:rFonts w:ascii="Arial" w:hAnsi="Arial" w:cs="Arial"/>
          <w:snapToGrid/>
          <w:lang w:val="sk-SK" w:eastAsia="sk-SK"/>
        </w:rPr>
      </w:pPr>
      <w:r w:rsidRPr="009D07B8">
        <w:rPr>
          <w:rFonts w:ascii="Arial" w:hAnsi="Arial" w:cs="Arial"/>
          <w:snapToGrid/>
          <w:lang w:val="sk-SK" w:eastAsia="sk-SK"/>
        </w:rPr>
        <w:t xml:space="preserve">dodržiavanie </w:t>
      </w:r>
      <w:r w:rsidR="00983ED2" w:rsidRPr="009D07B8">
        <w:rPr>
          <w:rFonts w:ascii="Arial" w:hAnsi="Arial" w:cs="Arial"/>
          <w:snapToGrid/>
          <w:lang w:val="sk-SK" w:eastAsia="sk-SK"/>
        </w:rPr>
        <w:t xml:space="preserve">pravidiel </w:t>
      </w:r>
      <w:r w:rsidR="009D07B8">
        <w:rPr>
          <w:rFonts w:ascii="Arial" w:hAnsi="Arial" w:cs="Arial"/>
          <w:snapToGrid/>
          <w:lang w:val="sk-SK" w:eastAsia="sk-SK"/>
        </w:rPr>
        <w:t xml:space="preserve">interného riadenia spoločnosti </w:t>
      </w:r>
      <w:r w:rsidRPr="009D07B8">
        <w:rPr>
          <w:rFonts w:ascii="Arial" w:hAnsi="Arial" w:cs="Arial"/>
          <w:snapToGrid/>
          <w:lang w:val="sk-SK" w:eastAsia="sk-SK"/>
        </w:rPr>
        <w:t>v súlade s aktuálne platnými smernicami, t.j. dodržiavanie je vyžadované v rámci celej vertikály organizačnej štruktúry počnúc najvyšším stupňom riadenia /vedenie spoločnosti/,</w:t>
      </w:r>
    </w:p>
    <w:p w:rsidR="0094077D" w:rsidRDefault="0094077D" w:rsidP="0094077D">
      <w:pPr>
        <w:pStyle w:val="Zoznam"/>
        <w:widowControl w:val="0"/>
        <w:numPr>
          <w:ilvl w:val="0"/>
          <w:numId w:val="21"/>
        </w:numPr>
        <w:tabs>
          <w:tab w:val="left" w:pos="5580"/>
          <w:tab w:val="left" w:pos="7797"/>
        </w:tabs>
        <w:suppressAutoHyphens/>
        <w:jc w:val="both"/>
        <w:rPr>
          <w:rFonts w:ascii="Arial" w:hAnsi="Arial" w:cs="Arial"/>
          <w:snapToGrid/>
          <w:lang w:val="sk-SK" w:eastAsia="sk-SK"/>
        </w:rPr>
      </w:pPr>
      <w:r w:rsidRPr="009D07B8">
        <w:rPr>
          <w:rFonts w:ascii="Arial" w:hAnsi="Arial" w:cs="Arial"/>
          <w:snapToGrid/>
          <w:lang w:val="sk-SK" w:eastAsia="sk-SK"/>
        </w:rPr>
        <w:t>riadenie organizačných jednotiek a útvarov v zmysle hesla:  “budúci prínos pre spoločnosť je prioritným kritériom akýchkoľvek rozhodovacích procesov“,</w:t>
      </w:r>
    </w:p>
    <w:p w:rsidR="00E33C9A" w:rsidRPr="00E44C1D" w:rsidRDefault="00E33C9A" w:rsidP="00E33C9A">
      <w:pPr>
        <w:pStyle w:val="Nadpis1"/>
        <w:rPr>
          <w:caps/>
        </w:rPr>
      </w:pPr>
      <w:r>
        <w:t xml:space="preserve">Návrh na rozdelenie hospodárskeho výsledku </w:t>
      </w:r>
    </w:p>
    <w:p w:rsidR="00E33C9A" w:rsidRDefault="00E33C9A" w:rsidP="00E33C9A">
      <w:pPr>
        <w:pStyle w:val="Zoznam"/>
        <w:widowControl w:val="0"/>
        <w:tabs>
          <w:tab w:val="left" w:pos="5580"/>
          <w:tab w:val="left" w:pos="7797"/>
        </w:tabs>
        <w:suppressAutoHyphens/>
        <w:jc w:val="both"/>
        <w:rPr>
          <w:rFonts w:ascii="Arial" w:hAnsi="Arial" w:cs="Arial"/>
          <w:snapToGrid/>
          <w:lang w:val="sk-SK" w:eastAsia="sk-SK"/>
        </w:rPr>
      </w:pPr>
    </w:p>
    <w:p w:rsidR="00E33C9A" w:rsidRDefault="002C5D4A" w:rsidP="00E33C9A">
      <w:pPr>
        <w:pStyle w:val="Zoznam"/>
        <w:widowControl w:val="0"/>
        <w:suppressAutoHyphens/>
        <w:ind w:left="0" w:firstLine="0"/>
        <w:jc w:val="both"/>
        <w:rPr>
          <w:rFonts w:ascii="Arial" w:hAnsi="Arial" w:cs="Arial"/>
          <w:snapToGrid/>
          <w:lang w:val="sk-SK" w:eastAsia="sk-SK"/>
        </w:rPr>
      </w:pPr>
      <w:r>
        <w:rPr>
          <w:rFonts w:ascii="Arial" w:hAnsi="Arial" w:cs="Arial"/>
          <w:snapToGrid/>
          <w:lang w:val="sk-SK" w:eastAsia="sk-SK"/>
        </w:rPr>
        <w:t xml:space="preserve">Vedenie spoločnosti FAPO, s.r.o. </w:t>
      </w:r>
      <w:r w:rsidR="00E33C9A">
        <w:rPr>
          <w:rFonts w:ascii="Arial" w:hAnsi="Arial" w:cs="Arial"/>
          <w:snapToGrid/>
          <w:lang w:val="sk-SK" w:eastAsia="sk-SK"/>
        </w:rPr>
        <w:t>navrhuje valnému zhromaždeniu ponechať hospodársky výsledok roku 201</w:t>
      </w:r>
      <w:r w:rsidR="00D144BD">
        <w:rPr>
          <w:rFonts w:ascii="Arial" w:hAnsi="Arial" w:cs="Arial"/>
          <w:snapToGrid/>
          <w:lang w:val="sk-SK" w:eastAsia="sk-SK"/>
        </w:rPr>
        <w:t>6</w:t>
      </w:r>
      <w:r w:rsidR="00E33C9A">
        <w:rPr>
          <w:rFonts w:ascii="Arial" w:hAnsi="Arial" w:cs="Arial"/>
          <w:snapToGrid/>
          <w:lang w:val="sk-SK" w:eastAsia="sk-SK"/>
        </w:rPr>
        <w:t xml:space="preserve"> na účte číslo 42</w:t>
      </w:r>
      <w:r w:rsidR="00E9762A">
        <w:rPr>
          <w:rFonts w:ascii="Arial" w:hAnsi="Arial" w:cs="Arial"/>
          <w:snapToGrid/>
          <w:lang w:val="sk-SK" w:eastAsia="sk-SK"/>
        </w:rPr>
        <w:t>9</w:t>
      </w:r>
      <w:r w:rsidR="00E33C9A">
        <w:rPr>
          <w:rFonts w:ascii="Arial" w:hAnsi="Arial" w:cs="Arial"/>
          <w:snapToGrid/>
          <w:lang w:val="sk-SK" w:eastAsia="sk-SK"/>
        </w:rPr>
        <w:t xml:space="preserve"> – </w:t>
      </w:r>
      <w:r w:rsidR="00E9762A">
        <w:rPr>
          <w:rFonts w:ascii="Arial" w:hAnsi="Arial" w:cs="Arial"/>
          <w:snapToGrid/>
          <w:lang w:val="sk-SK" w:eastAsia="sk-SK"/>
        </w:rPr>
        <w:t>Neuhradená strata minulých rokov</w:t>
      </w:r>
      <w:r w:rsidR="00E33C9A">
        <w:rPr>
          <w:rFonts w:ascii="Arial" w:hAnsi="Arial" w:cs="Arial"/>
          <w:snapToGrid/>
          <w:lang w:val="sk-SK" w:eastAsia="sk-SK"/>
        </w:rPr>
        <w:t>.</w:t>
      </w:r>
    </w:p>
    <w:p w:rsidR="00E33C9A" w:rsidRDefault="00E33C9A" w:rsidP="00E33C9A">
      <w:pPr>
        <w:pStyle w:val="Zoznam"/>
        <w:widowControl w:val="0"/>
        <w:suppressAutoHyphens/>
        <w:ind w:left="0" w:firstLine="0"/>
        <w:jc w:val="both"/>
        <w:rPr>
          <w:rFonts w:ascii="Arial" w:hAnsi="Arial" w:cs="Arial"/>
          <w:snapToGrid/>
          <w:lang w:val="sk-SK" w:eastAsia="sk-SK"/>
        </w:rPr>
      </w:pPr>
      <w:r>
        <w:rPr>
          <w:rFonts w:ascii="Arial" w:hAnsi="Arial" w:cs="Arial"/>
          <w:snapToGrid/>
          <w:lang w:val="sk-SK" w:eastAsia="sk-SK"/>
        </w:rPr>
        <w:t>Zasadnutie valného zhromaždenia k schváleniu účtovnej závierky za rok 201</w:t>
      </w:r>
      <w:r w:rsidR="00D144BD">
        <w:rPr>
          <w:rFonts w:ascii="Arial" w:hAnsi="Arial" w:cs="Arial"/>
          <w:snapToGrid/>
          <w:lang w:val="sk-SK" w:eastAsia="sk-SK"/>
        </w:rPr>
        <w:t xml:space="preserve">6 je naplánované v druhom štvrťroku 2017 </w:t>
      </w:r>
      <w:r>
        <w:rPr>
          <w:rFonts w:ascii="Arial" w:hAnsi="Arial" w:cs="Arial"/>
          <w:snapToGrid/>
          <w:lang w:val="sk-SK" w:eastAsia="sk-SK"/>
        </w:rPr>
        <w:t>po osvedčení účtovnej závierky audítorskou spoločnosťou.</w:t>
      </w:r>
    </w:p>
    <w:p w:rsidR="007D42BD" w:rsidRDefault="007D42BD" w:rsidP="00E33C9A">
      <w:pPr>
        <w:pStyle w:val="Zoznam"/>
        <w:widowControl w:val="0"/>
        <w:suppressAutoHyphens/>
        <w:ind w:left="0" w:firstLine="0"/>
        <w:jc w:val="both"/>
        <w:rPr>
          <w:rFonts w:ascii="Arial" w:hAnsi="Arial" w:cs="Arial"/>
          <w:snapToGrid/>
          <w:lang w:val="sk-SK" w:eastAsia="sk-SK"/>
        </w:rPr>
      </w:pPr>
    </w:p>
    <w:p w:rsidR="007D42BD" w:rsidRDefault="007D42BD" w:rsidP="00E33C9A">
      <w:pPr>
        <w:pStyle w:val="Zoznam"/>
        <w:widowControl w:val="0"/>
        <w:suppressAutoHyphens/>
        <w:ind w:left="0" w:firstLine="0"/>
        <w:jc w:val="both"/>
        <w:rPr>
          <w:rFonts w:ascii="Arial" w:hAnsi="Arial" w:cs="Arial"/>
          <w:snapToGrid/>
          <w:lang w:val="sk-SK" w:eastAsia="sk-SK"/>
        </w:rPr>
      </w:pPr>
      <w:r>
        <w:rPr>
          <w:rFonts w:ascii="Arial" w:hAnsi="Arial" w:cs="Arial"/>
          <w:snapToGrid/>
          <w:lang w:val="sk-SK" w:eastAsia="sk-SK"/>
        </w:rPr>
        <w:t>V Galante, 3</w:t>
      </w:r>
      <w:r w:rsidR="00D144BD">
        <w:rPr>
          <w:rFonts w:ascii="Arial" w:hAnsi="Arial" w:cs="Arial"/>
          <w:snapToGrid/>
          <w:lang w:val="sk-SK" w:eastAsia="sk-SK"/>
        </w:rPr>
        <w:t>1</w:t>
      </w:r>
      <w:r>
        <w:rPr>
          <w:rFonts w:ascii="Arial" w:hAnsi="Arial" w:cs="Arial"/>
          <w:snapToGrid/>
          <w:lang w:val="sk-SK" w:eastAsia="sk-SK"/>
        </w:rPr>
        <w:t>.</w:t>
      </w:r>
      <w:r w:rsidR="00857802">
        <w:rPr>
          <w:rFonts w:ascii="Arial" w:hAnsi="Arial" w:cs="Arial"/>
          <w:snapToGrid/>
          <w:lang w:val="sk-SK" w:eastAsia="sk-SK"/>
        </w:rPr>
        <w:t>3</w:t>
      </w:r>
      <w:r>
        <w:rPr>
          <w:rFonts w:ascii="Arial" w:hAnsi="Arial" w:cs="Arial"/>
          <w:snapToGrid/>
          <w:lang w:val="sk-SK" w:eastAsia="sk-SK"/>
        </w:rPr>
        <w:t>.201</w:t>
      </w:r>
      <w:r w:rsidR="00D144BD">
        <w:rPr>
          <w:rFonts w:ascii="Arial" w:hAnsi="Arial" w:cs="Arial"/>
          <w:snapToGrid/>
          <w:lang w:val="sk-SK" w:eastAsia="sk-SK"/>
        </w:rPr>
        <w:t>7</w:t>
      </w:r>
      <w:r>
        <w:rPr>
          <w:rFonts w:ascii="Arial" w:hAnsi="Arial" w:cs="Arial"/>
          <w:snapToGrid/>
          <w:lang w:val="sk-SK" w:eastAsia="sk-SK"/>
        </w:rPr>
        <w:t>.</w:t>
      </w:r>
    </w:p>
    <w:p w:rsidR="007D42BD" w:rsidRDefault="007D42BD" w:rsidP="00E33C9A">
      <w:pPr>
        <w:pStyle w:val="Zoznam"/>
        <w:widowControl w:val="0"/>
        <w:suppressAutoHyphens/>
        <w:ind w:left="0" w:firstLine="0"/>
        <w:jc w:val="both"/>
        <w:rPr>
          <w:rFonts w:ascii="Arial" w:hAnsi="Arial" w:cs="Arial"/>
          <w:snapToGrid/>
          <w:lang w:val="sk-SK" w:eastAsia="sk-SK"/>
        </w:rPr>
      </w:pPr>
    </w:p>
    <w:p w:rsidR="007D42BD" w:rsidRDefault="007D42BD" w:rsidP="00E33C9A">
      <w:pPr>
        <w:pStyle w:val="Zoznam"/>
        <w:widowControl w:val="0"/>
        <w:suppressAutoHyphens/>
        <w:ind w:left="0" w:firstLine="0"/>
        <w:jc w:val="both"/>
        <w:rPr>
          <w:rFonts w:ascii="Arial" w:hAnsi="Arial" w:cs="Arial"/>
          <w:snapToGrid/>
          <w:lang w:val="sk-SK" w:eastAsia="sk-SK"/>
        </w:rPr>
      </w:pPr>
    </w:p>
    <w:p w:rsidR="007D42BD" w:rsidRDefault="007D42BD" w:rsidP="00E33C9A">
      <w:pPr>
        <w:pStyle w:val="Zoznam"/>
        <w:widowControl w:val="0"/>
        <w:suppressAutoHyphens/>
        <w:ind w:left="0" w:firstLine="0"/>
        <w:jc w:val="both"/>
        <w:rPr>
          <w:rFonts w:ascii="Arial" w:hAnsi="Arial" w:cs="Arial"/>
          <w:snapToGrid/>
          <w:lang w:val="sk-SK" w:eastAsia="sk-SK"/>
        </w:rPr>
      </w:pPr>
    </w:p>
    <w:p w:rsidR="007D42BD" w:rsidRDefault="007D42BD" w:rsidP="00E33C9A">
      <w:pPr>
        <w:pStyle w:val="Zoznam"/>
        <w:widowControl w:val="0"/>
        <w:suppressAutoHyphens/>
        <w:ind w:left="0" w:firstLine="0"/>
        <w:jc w:val="both"/>
        <w:rPr>
          <w:rFonts w:ascii="Arial" w:hAnsi="Arial" w:cs="Arial"/>
          <w:snapToGrid/>
          <w:lang w:val="sk-SK" w:eastAsia="sk-SK"/>
        </w:rPr>
      </w:pPr>
    </w:p>
    <w:p w:rsidR="007D42BD" w:rsidRDefault="007D42BD" w:rsidP="000B6C5E">
      <w:pPr>
        <w:pStyle w:val="Zoznam"/>
        <w:widowControl w:val="0"/>
        <w:suppressAutoHyphens/>
        <w:ind w:left="709" w:firstLine="709"/>
        <w:jc w:val="right"/>
        <w:rPr>
          <w:rFonts w:ascii="Arial" w:hAnsi="Arial" w:cs="Arial"/>
          <w:snapToGrid/>
          <w:lang w:val="sk-SK" w:eastAsia="sk-SK"/>
        </w:rPr>
      </w:pPr>
      <w:r>
        <w:rPr>
          <w:rFonts w:ascii="Arial" w:hAnsi="Arial" w:cs="Arial"/>
          <w:snapToGrid/>
          <w:lang w:val="sk-SK" w:eastAsia="sk-SK"/>
        </w:rPr>
        <w:t>JUDr. Jozef Boľo</w:t>
      </w:r>
    </w:p>
    <w:p w:rsidR="007D42BD" w:rsidRPr="009D07B8" w:rsidRDefault="007D42BD" w:rsidP="000B6C5E">
      <w:pPr>
        <w:pStyle w:val="Zoznam"/>
        <w:widowControl w:val="0"/>
        <w:suppressAutoHyphens/>
        <w:ind w:left="1418" w:firstLine="0"/>
        <w:jc w:val="right"/>
        <w:rPr>
          <w:rFonts w:ascii="Arial" w:hAnsi="Arial" w:cs="Arial"/>
          <w:snapToGrid/>
          <w:lang w:val="sk-SK" w:eastAsia="sk-SK"/>
        </w:rPr>
      </w:pPr>
      <w:r>
        <w:rPr>
          <w:rFonts w:ascii="Arial" w:hAnsi="Arial" w:cs="Arial"/>
          <w:snapToGrid/>
          <w:lang w:val="sk-SK" w:eastAsia="sk-SK"/>
        </w:rPr>
        <w:t xml:space="preserve">       konateľ</w:t>
      </w:r>
    </w:p>
    <w:sectPr w:rsidR="007D42BD" w:rsidRPr="009D07B8" w:rsidSect="00D10F85">
      <w:pgSz w:w="11906" w:h="16838"/>
      <w:pgMar w:top="539" w:right="1418" w:bottom="357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09D2" w:rsidRDefault="001B09D2">
      <w:r>
        <w:separator/>
      </w:r>
    </w:p>
  </w:endnote>
  <w:endnote w:type="continuationSeparator" w:id="1">
    <w:p w:rsidR="001B09D2" w:rsidRDefault="001B09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Georgia-Bold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644A" w:rsidRDefault="0054706B" w:rsidP="00B52C3E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CE644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E644A" w:rsidRDefault="00CE644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644A" w:rsidRPr="001F77D4" w:rsidRDefault="00CE644A" w:rsidP="001F77D4">
    <w:pPr>
      <w:pStyle w:val="Pta"/>
      <w:framePr w:wrap="around" w:vAnchor="text" w:hAnchor="page" w:x="5918" w:y="-13"/>
      <w:rPr>
        <w:rStyle w:val="slostrany"/>
        <w:rFonts w:ascii="Arial" w:hAnsi="Arial" w:cs="Arial"/>
        <w:b/>
        <w:i w:val="0"/>
        <w:color w:val="999999"/>
      </w:rPr>
    </w:pPr>
  </w:p>
  <w:p w:rsidR="00CE644A" w:rsidRDefault="00CE644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09D2" w:rsidRDefault="001B09D2">
      <w:r>
        <w:separator/>
      </w:r>
    </w:p>
  </w:footnote>
  <w:footnote w:type="continuationSeparator" w:id="1">
    <w:p w:rsidR="001B09D2" w:rsidRDefault="001B09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644A" w:rsidRPr="00877E9C" w:rsidRDefault="00CE644A">
    <w:pPr>
      <w:pStyle w:val="Hlavika"/>
      <w:rPr>
        <w:rFonts w:ascii="Arial" w:hAnsi="Arial" w:cs="Arial"/>
        <w:b/>
        <w:i w:val="0"/>
        <w:color w:val="FFFFFF"/>
        <w:highlight w:val="lightGray"/>
        <w:u w:val="single"/>
      </w:rPr>
    </w:pPr>
    <w:r>
      <w:rPr>
        <w:rFonts w:ascii="Arial" w:hAnsi="Arial" w:cs="Arial"/>
        <w:b/>
        <w:i w:val="0"/>
        <w:color w:val="FFFFFF"/>
        <w:highlight w:val="lightGray"/>
        <w:u w:val="single"/>
      </w:rPr>
      <w:t>FAPO, spol. s r. o.</w:t>
    </w:r>
    <w:r>
      <w:rPr>
        <w:rFonts w:ascii="Arial" w:hAnsi="Arial" w:cs="Arial"/>
        <w:b/>
        <w:i w:val="0"/>
        <w:color w:val="FFFFFF"/>
        <w:highlight w:val="lightGray"/>
        <w:u w:val="single"/>
      </w:rPr>
      <w:tab/>
    </w:r>
    <w:r>
      <w:rPr>
        <w:rFonts w:ascii="Arial" w:hAnsi="Arial" w:cs="Arial"/>
        <w:b/>
        <w:i w:val="0"/>
        <w:color w:val="FFFFFF"/>
        <w:highlight w:val="lightGray"/>
        <w:u w:val="single"/>
      </w:rPr>
      <w:tab/>
      <w:t>VÝROČNÁ SPRÁVA 201</w:t>
    </w:r>
    <w:r w:rsidR="003016B5">
      <w:rPr>
        <w:rFonts w:ascii="Arial" w:hAnsi="Arial" w:cs="Arial"/>
        <w:b/>
        <w:i w:val="0"/>
        <w:color w:val="FFFFFF"/>
        <w:highlight w:val="lightGray"/>
        <w:u w:val="single"/>
      </w:rPr>
      <w:t>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E0F3C"/>
    <w:multiLevelType w:val="hybridMultilevel"/>
    <w:tmpl w:val="F72C000C"/>
    <w:lvl w:ilvl="0" w:tplc="F8C651E4">
      <w:start w:val="1"/>
      <w:numFmt w:val="bullet"/>
      <w:lvlText w:val=""/>
      <w:lvlJc w:val="left"/>
      <w:pPr>
        <w:tabs>
          <w:tab w:val="num" w:pos="464"/>
        </w:tabs>
        <w:ind w:left="464" w:hanging="397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7"/>
        </w:tabs>
        <w:ind w:left="150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7"/>
        </w:tabs>
        <w:ind w:left="22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7"/>
        </w:tabs>
        <w:ind w:left="29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7"/>
        </w:tabs>
        <w:ind w:left="366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7"/>
        </w:tabs>
        <w:ind w:left="43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7"/>
        </w:tabs>
        <w:ind w:left="51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7"/>
        </w:tabs>
        <w:ind w:left="582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7"/>
        </w:tabs>
        <w:ind w:left="6547" w:hanging="360"/>
      </w:pPr>
      <w:rPr>
        <w:rFonts w:ascii="Wingdings" w:hAnsi="Wingdings" w:hint="default"/>
      </w:rPr>
    </w:lvl>
  </w:abstractNum>
  <w:abstractNum w:abstractNumId="1">
    <w:nsid w:val="06273425"/>
    <w:multiLevelType w:val="hybridMultilevel"/>
    <w:tmpl w:val="6B76EF2A"/>
    <w:lvl w:ilvl="0" w:tplc="F6B4FFA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AB382CF6">
      <w:start w:val="13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7771AF8"/>
    <w:multiLevelType w:val="hybridMultilevel"/>
    <w:tmpl w:val="FD2AD266"/>
    <w:lvl w:ilvl="0" w:tplc="FD5C7A58">
      <w:start w:val="1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F57314"/>
    <w:multiLevelType w:val="hybridMultilevel"/>
    <w:tmpl w:val="6A66685C"/>
    <w:lvl w:ilvl="0" w:tplc="816EFA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Georgia-Bold" w:hAnsi="Georgia-Bold" w:cs="Georgia-Bold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EF168A3"/>
    <w:multiLevelType w:val="hybridMultilevel"/>
    <w:tmpl w:val="E938C34E"/>
    <w:lvl w:ilvl="0" w:tplc="F6B4FFA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2323B44"/>
    <w:multiLevelType w:val="hybridMultilevel"/>
    <w:tmpl w:val="CABAF3C2"/>
    <w:lvl w:ilvl="0" w:tplc="F6B4FFA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2BA20AD"/>
    <w:multiLevelType w:val="hybridMultilevel"/>
    <w:tmpl w:val="FB3A7B76"/>
    <w:lvl w:ilvl="0" w:tplc="F6B4FFA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31E8DF14">
      <w:start w:val="1"/>
      <w:numFmt w:val="bullet"/>
      <w:lvlText w:val=""/>
      <w:lvlJc w:val="left"/>
      <w:pPr>
        <w:tabs>
          <w:tab w:val="num" w:pos="1477"/>
        </w:tabs>
        <w:ind w:left="1477" w:hanging="397"/>
      </w:pPr>
      <w:rPr>
        <w:rFonts w:ascii="Wingdings" w:hAnsi="Wingdings" w:hint="default"/>
        <w:color w:val="auto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2CE0C59"/>
    <w:multiLevelType w:val="hybridMultilevel"/>
    <w:tmpl w:val="A49A21FE"/>
    <w:lvl w:ilvl="0" w:tplc="1996082C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48C65E6"/>
    <w:multiLevelType w:val="hybridMultilevel"/>
    <w:tmpl w:val="CDC46A0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6AB4FC6"/>
    <w:multiLevelType w:val="hybridMultilevel"/>
    <w:tmpl w:val="F12EFA88"/>
    <w:lvl w:ilvl="0" w:tplc="DBD2BDA4">
      <w:start w:val="14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BC877EB"/>
    <w:multiLevelType w:val="hybridMultilevel"/>
    <w:tmpl w:val="BF92E15C"/>
    <w:lvl w:ilvl="0" w:tplc="F6B4FFA4">
      <w:start w:val="1"/>
      <w:numFmt w:val="bullet"/>
      <w:lvlText w:val=""/>
      <w:lvlJc w:val="left"/>
      <w:pPr>
        <w:tabs>
          <w:tab w:val="num" w:pos="464"/>
        </w:tabs>
        <w:ind w:left="464" w:hanging="397"/>
      </w:pPr>
      <w:rPr>
        <w:rFonts w:ascii="Wingdings" w:hAnsi="Wingdings" w:hint="default"/>
        <w:color w:val="auto"/>
      </w:rPr>
    </w:lvl>
    <w:lvl w:ilvl="1" w:tplc="32427332">
      <w:start w:val="13"/>
      <w:numFmt w:val="bullet"/>
      <w:lvlText w:val="-"/>
      <w:lvlJc w:val="left"/>
      <w:pPr>
        <w:tabs>
          <w:tab w:val="num" w:pos="1507"/>
        </w:tabs>
        <w:ind w:left="1507" w:hanging="360"/>
      </w:pPr>
      <w:rPr>
        <w:rFonts w:ascii="Arial" w:eastAsia="Times New Roman" w:hAnsi="Arial" w:cs="Aria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7"/>
        </w:tabs>
        <w:ind w:left="22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7"/>
        </w:tabs>
        <w:ind w:left="29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7"/>
        </w:tabs>
        <w:ind w:left="366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7"/>
        </w:tabs>
        <w:ind w:left="43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7"/>
        </w:tabs>
        <w:ind w:left="51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7"/>
        </w:tabs>
        <w:ind w:left="582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7"/>
        </w:tabs>
        <w:ind w:left="6547" w:hanging="360"/>
      </w:pPr>
      <w:rPr>
        <w:rFonts w:ascii="Wingdings" w:hAnsi="Wingdings" w:hint="default"/>
      </w:rPr>
    </w:lvl>
  </w:abstractNum>
  <w:abstractNum w:abstractNumId="11">
    <w:nsid w:val="25CF2C55"/>
    <w:multiLevelType w:val="hybridMultilevel"/>
    <w:tmpl w:val="76E81726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9915A14"/>
    <w:multiLevelType w:val="hybridMultilevel"/>
    <w:tmpl w:val="6D667E52"/>
    <w:lvl w:ilvl="0" w:tplc="F6B4FFA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C7E4FC3C">
      <w:start w:val="1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F6B4FFA4">
      <w:start w:val="1"/>
      <w:numFmt w:val="bullet"/>
      <w:lvlText w:val=""/>
      <w:lvlJc w:val="left"/>
      <w:pPr>
        <w:tabs>
          <w:tab w:val="num" w:pos="2197"/>
        </w:tabs>
        <w:ind w:left="2197" w:hanging="397"/>
      </w:pPr>
      <w:rPr>
        <w:rFonts w:ascii="Wingdings" w:hAnsi="Wingdings" w:hint="default"/>
        <w:color w:val="auto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B3D77A3"/>
    <w:multiLevelType w:val="hybridMultilevel"/>
    <w:tmpl w:val="0C265570"/>
    <w:lvl w:ilvl="0" w:tplc="F6B4FFA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BF7AA8"/>
    <w:multiLevelType w:val="hybridMultilevel"/>
    <w:tmpl w:val="3FD07C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5BF2104"/>
    <w:multiLevelType w:val="hybridMultilevel"/>
    <w:tmpl w:val="8918E4D6"/>
    <w:lvl w:ilvl="0" w:tplc="F6B4FFA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6B20FDD"/>
    <w:multiLevelType w:val="hybridMultilevel"/>
    <w:tmpl w:val="8BD26E6C"/>
    <w:lvl w:ilvl="0" w:tplc="1996082C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BFD1EB9"/>
    <w:multiLevelType w:val="multilevel"/>
    <w:tmpl w:val="D0947E2C"/>
    <w:lvl w:ilvl="0">
      <w:start w:val="12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9D55DE"/>
    <w:multiLevelType w:val="hybridMultilevel"/>
    <w:tmpl w:val="FA9E25C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487670"/>
    <w:multiLevelType w:val="hybridMultilevel"/>
    <w:tmpl w:val="0AF829B0"/>
    <w:lvl w:ilvl="0" w:tplc="1996082C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4D26A5C"/>
    <w:multiLevelType w:val="hybridMultilevel"/>
    <w:tmpl w:val="3D14A4BC"/>
    <w:lvl w:ilvl="0" w:tplc="F6B4FFA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7B82EE9"/>
    <w:multiLevelType w:val="hybridMultilevel"/>
    <w:tmpl w:val="64B276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E4859CD"/>
    <w:multiLevelType w:val="multilevel"/>
    <w:tmpl w:val="9CB68B3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23">
    <w:nsid w:val="564B3F10"/>
    <w:multiLevelType w:val="hybridMultilevel"/>
    <w:tmpl w:val="040ECE3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8FB6A25"/>
    <w:multiLevelType w:val="hybridMultilevel"/>
    <w:tmpl w:val="336071C2"/>
    <w:lvl w:ilvl="0" w:tplc="9A228D40">
      <w:start w:val="13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F76D28"/>
    <w:multiLevelType w:val="hybridMultilevel"/>
    <w:tmpl w:val="2478531A"/>
    <w:lvl w:ilvl="0" w:tplc="F6B4FFA4">
      <w:start w:val="1"/>
      <w:numFmt w:val="bullet"/>
      <w:lvlText w:val=""/>
      <w:lvlJc w:val="left"/>
      <w:pPr>
        <w:tabs>
          <w:tab w:val="num" w:pos="464"/>
        </w:tabs>
        <w:ind w:left="464" w:hanging="397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507"/>
        </w:tabs>
        <w:ind w:left="150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7"/>
        </w:tabs>
        <w:ind w:left="22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7"/>
        </w:tabs>
        <w:ind w:left="29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7"/>
        </w:tabs>
        <w:ind w:left="366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7"/>
        </w:tabs>
        <w:ind w:left="43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7"/>
        </w:tabs>
        <w:ind w:left="51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7"/>
        </w:tabs>
        <w:ind w:left="582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7"/>
        </w:tabs>
        <w:ind w:left="6547" w:hanging="360"/>
      </w:pPr>
      <w:rPr>
        <w:rFonts w:ascii="Wingdings" w:hAnsi="Wingdings" w:hint="default"/>
      </w:rPr>
    </w:lvl>
  </w:abstractNum>
  <w:abstractNum w:abstractNumId="26">
    <w:nsid w:val="63383338"/>
    <w:multiLevelType w:val="hybridMultilevel"/>
    <w:tmpl w:val="822A0532"/>
    <w:lvl w:ilvl="0" w:tplc="F6B4FFA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6981037"/>
    <w:multiLevelType w:val="hybridMultilevel"/>
    <w:tmpl w:val="9FB0B352"/>
    <w:lvl w:ilvl="0" w:tplc="9C0E5CC2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C612671"/>
    <w:multiLevelType w:val="hybridMultilevel"/>
    <w:tmpl w:val="8024646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D8141F5"/>
    <w:multiLevelType w:val="hybridMultilevel"/>
    <w:tmpl w:val="158041A6"/>
    <w:lvl w:ilvl="0" w:tplc="F6B4FFA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3B82AA9"/>
    <w:multiLevelType w:val="hybridMultilevel"/>
    <w:tmpl w:val="D0947E2C"/>
    <w:lvl w:ilvl="0" w:tplc="A6D4AF2C">
      <w:start w:val="12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765A23DB"/>
    <w:multiLevelType w:val="hybridMultilevel"/>
    <w:tmpl w:val="6C0C6F3E"/>
    <w:lvl w:ilvl="0" w:tplc="1996082C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806526A"/>
    <w:multiLevelType w:val="hybridMultilevel"/>
    <w:tmpl w:val="EDE64DBC"/>
    <w:lvl w:ilvl="0" w:tplc="98B0397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1003BA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DD44AE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7666C5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78A954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CD6B18E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55EFA5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A145C2A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BCC8DF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3">
    <w:nsid w:val="7A9C1674"/>
    <w:multiLevelType w:val="hybridMultilevel"/>
    <w:tmpl w:val="28521F8A"/>
    <w:lvl w:ilvl="0" w:tplc="31E8DF1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21692D"/>
    <w:multiLevelType w:val="hybridMultilevel"/>
    <w:tmpl w:val="5EC4DA9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D4E5AEA"/>
    <w:multiLevelType w:val="hybridMultilevel"/>
    <w:tmpl w:val="3ACAAEE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E5727A0"/>
    <w:multiLevelType w:val="hybridMultilevel"/>
    <w:tmpl w:val="3326CA82"/>
    <w:lvl w:ilvl="0" w:tplc="F6B4FFA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32"/>
  </w:num>
  <w:num w:numId="3">
    <w:abstractNumId w:val="30"/>
  </w:num>
  <w:num w:numId="4">
    <w:abstractNumId w:val="18"/>
  </w:num>
  <w:num w:numId="5">
    <w:abstractNumId w:val="9"/>
  </w:num>
  <w:num w:numId="6">
    <w:abstractNumId w:val="17"/>
  </w:num>
  <w:num w:numId="7">
    <w:abstractNumId w:val="24"/>
  </w:num>
  <w:num w:numId="8">
    <w:abstractNumId w:val="14"/>
  </w:num>
  <w:num w:numId="9">
    <w:abstractNumId w:val="23"/>
  </w:num>
  <w:num w:numId="10">
    <w:abstractNumId w:val="2"/>
  </w:num>
  <w:num w:numId="11">
    <w:abstractNumId w:val="28"/>
  </w:num>
  <w:num w:numId="12">
    <w:abstractNumId w:val="21"/>
  </w:num>
  <w:num w:numId="13">
    <w:abstractNumId w:val="34"/>
  </w:num>
  <w:num w:numId="14">
    <w:abstractNumId w:val="3"/>
  </w:num>
  <w:num w:numId="15">
    <w:abstractNumId w:val="11"/>
  </w:num>
  <w:num w:numId="16">
    <w:abstractNumId w:val="27"/>
  </w:num>
  <w:num w:numId="17">
    <w:abstractNumId w:val="1"/>
  </w:num>
  <w:num w:numId="18">
    <w:abstractNumId w:val="25"/>
  </w:num>
  <w:num w:numId="19">
    <w:abstractNumId w:val="26"/>
  </w:num>
  <w:num w:numId="20">
    <w:abstractNumId w:val="29"/>
  </w:num>
  <w:num w:numId="21">
    <w:abstractNumId w:val="36"/>
  </w:num>
  <w:num w:numId="22">
    <w:abstractNumId w:val="5"/>
  </w:num>
  <w:num w:numId="23">
    <w:abstractNumId w:val="13"/>
  </w:num>
  <w:num w:numId="24">
    <w:abstractNumId w:val="8"/>
  </w:num>
  <w:num w:numId="25">
    <w:abstractNumId w:val="12"/>
  </w:num>
  <w:num w:numId="26">
    <w:abstractNumId w:val="15"/>
  </w:num>
  <w:num w:numId="27">
    <w:abstractNumId w:val="19"/>
  </w:num>
  <w:num w:numId="28">
    <w:abstractNumId w:val="16"/>
  </w:num>
  <w:num w:numId="29">
    <w:abstractNumId w:val="0"/>
  </w:num>
  <w:num w:numId="30">
    <w:abstractNumId w:val="22"/>
  </w:num>
  <w:num w:numId="31">
    <w:abstractNumId w:val="6"/>
  </w:num>
  <w:num w:numId="32">
    <w:abstractNumId w:val="33"/>
  </w:num>
  <w:num w:numId="33">
    <w:abstractNumId w:val="10"/>
  </w:num>
  <w:num w:numId="34">
    <w:abstractNumId w:val="7"/>
  </w:num>
  <w:num w:numId="35">
    <w:abstractNumId w:val="20"/>
  </w:num>
  <w:num w:numId="36">
    <w:abstractNumId w:val="4"/>
  </w:num>
  <w:num w:numId="37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0001D4"/>
    <w:rsid w:val="000001D4"/>
    <w:rsid w:val="00000EB4"/>
    <w:rsid w:val="000057C6"/>
    <w:rsid w:val="00015132"/>
    <w:rsid w:val="000324E2"/>
    <w:rsid w:val="00046DFC"/>
    <w:rsid w:val="00073FB1"/>
    <w:rsid w:val="00081B32"/>
    <w:rsid w:val="0008259D"/>
    <w:rsid w:val="0008596A"/>
    <w:rsid w:val="000B6C5E"/>
    <w:rsid w:val="000B75A1"/>
    <w:rsid w:val="000C2BD2"/>
    <w:rsid w:val="000D07C2"/>
    <w:rsid w:val="000D63B3"/>
    <w:rsid w:val="000D66E7"/>
    <w:rsid w:val="000D7358"/>
    <w:rsid w:val="000E475A"/>
    <w:rsid w:val="000E6D51"/>
    <w:rsid w:val="000F5747"/>
    <w:rsid w:val="000F620E"/>
    <w:rsid w:val="00101A8D"/>
    <w:rsid w:val="0011217C"/>
    <w:rsid w:val="00112C80"/>
    <w:rsid w:val="001146A4"/>
    <w:rsid w:val="001206DE"/>
    <w:rsid w:val="00127F9E"/>
    <w:rsid w:val="0013274A"/>
    <w:rsid w:val="00133452"/>
    <w:rsid w:val="00144A8F"/>
    <w:rsid w:val="00146C4B"/>
    <w:rsid w:val="001652AF"/>
    <w:rsid w:val="00172F7E"/>
    <w:rsid w:val="00175F95"/>
    <w:rsid w:val="00181187"/>
    <w:rsid w:val="00185E6B"/>
    <w:rsid w:val="00192B5D"/>
    <w:rsid w:val="0019515A"/>
    <w:rsid w:val="001A5AE9"/>
    <w:rsid w:val="001B09D2"/>
    <w:rsid w:val="001B4128"/>
    <w:rsid w:val="001C7412"/>
    <w:rsid w:val="001D3015"/>
    <w:rsid w:val="001D6F54"/>
    <w:rsid w:val="001E2654"/>
    <w:rsid w:val="001F5005"/>
    <w:rsid w:val="001F6A28"/>
    <w:rsid w:val="001F77D4"/>
    <w:rsid w:val="00211CC3"/>
    <w:rsid w:val="00223871"/>
    <w:rsid w:val="00223A38"/>
    <w:rsid w:val="002427CE"/>
    <w:rsid w:val="00252437"/>
    <w:rsid w:val="00262736"/>
    <w:rsid w:val="002815AE"/>
    <w:rsid w:val="002824E6"/>
    <w:rsid w:val="002838C3"/>
    <w:rsid w:val="0028403C"/>
    <w:rsid w:val="002962F8"/>
    <w:rsid w:val="00296940"/>
    <w:rsid w:val="002B1057"/>
    <w:rsid w:val="002C4C65"/>
    <w:rsid w:val="002C5541"/>
    <w:rsid w:val="002C5D4A"/>
    <w:rsid w:val="002C6B87"/>
    <w:rsid w:val="002C6E56"/>
    <w:rsid w:val="002C7CBD"/>
    <w:rsid w:val="002D1AA9"/>
    <w:rsid w:val="002D3490"/>
    <w:rsid w:val="002D39C2"/>
    <w:rsid w:val="002D55B9"/>
    <w:rsid w:val="002E2789"/>
    <w:rsid w:val="002E4BEF"/>
    <w:rsid w:val="002F109A"/>
    <w:rsid w:val="002F516D"/>
    <w:rsid w:val="003016B5"/>
    <w:rsid w:val="0030250A"/>
    <w:rsid w:val="00304D70"/>
    <w:rsid w:val="00306EEA"/>
    <w:rsid w:val="0032217B"/>
    <w:rsid w:val="003272E1"/>
    <w:rsid w:val="003335FE"/>
    <w:rsid w:val="00335212"/>
    <w:rsid w:val="00344C1B"/>
    <w:rsid w:val="003502A0"/>
    <w:rsid w:val="00351114"/>
    <w:rsid w:val="003517BA"/>
    <w:rsid w:val="00361B7D"/>
    <w:rsid w:val="00366C5C"/>
    <w:rsid w:val="00367D69"/>
    <w:rsid w:val="00377F94"/>
    <w:rsid w:val="00384D51"/>
    <w:rsid w:val="00386191"/>
    <w:rsid w:val="003876D2"/>
    <w:rsid w:val="00391415"/>
    <w:rsid w:val="0039467F"/>
    <w:rsid w:val="0039709D"/>
    <w:rsid w:val="003972C5"/>
    <w:rsid w:val="003A000E"/>
    <w:rsid w:val="003A0085"/>
    <w:rsid w:val="003A2403"/>
    <w:rsid w:val="003A630E"/>
    <w:rsid w:val="003A7CF3"/>
    <w:rsid w:val="003B31F6"/>
    <w:rsid w:val="003C6D8F"/>
    <w:rsid w:val="003D0967"/>
    <w:rsid w:val="003E19FB"/>
    <w:rsid w:val="003E6518"/>
    <w:rsid w:val="00404BA2"/>
    <w:rsid w:val="0040582D"/>
    <w:rsid w:val="00405B36"/>
    <w:rsid w:val="00414DD1"/>
    <w:rsid w:val="0042057B"/>
    <w:rsid w:val="00422491"/>
    <w:rsid w:val="00424F9A"/>
    <w:rsid w:val="00425C6E"/>
    <w:rsid w:val="00434B30"/>
    <w:rsid w:val="00437064"/>
    <w:rsid w:val="00445F21"/>
    <w:rsid w:val="0044708B"/>
    <w:rsid w:val="004522FA"/>
    <w:rsid w:val="00457ABB"/>
    <w:rsid w:val="004659B7"/>
    <w:rsid w:val="004673F3"/>
    <w:rsid w:val="00470323"/>
    <w:rsid w:val="00481313"/>
    <w:rsid w:val="00483465"/>
    <w:rsid w:val="00485E11"/>
    <w:rsid w:val="00486162"/>
    <w:rsid w:val="00490538"/>
    <w:rsid w:val="00491B0E"/>
    <w:rsid w:val="004976D4"/>
    <w:rsid w:val="00497FFB"/>
    <w:rsid w:val="004A393F"/>
    <w:rsid w:val="004B5F76"/>
    <w:rsid w:val="004B6DA6"/>
    <w:rsid w:val="004C12A5"/>
    <w:rsid w:val="004C6D37"/>
    <w:rsid w:val="004E597A"/>
    <w:rsid w:val="004E6C06"/>
    <w:rsid w:val="004F65D8"/>
    <w:rsid w:val="004F72FB"/>
    <w:rsid w:val="005010D8"/>
    <w:rsid w:val="00502CC6"/>
    <w:rsid w:val="0050742B"/>
    <w:rsid w:val="00511074"/>
    <w:rsid w:val="00513CD9"/>
    <w:rsid w:val="005213DE"/>
    <w:rsid w:val="00523D5C"/>
    <w:rsid w:val="005240BA"/>
    <w:rsid w:val="00526B71"/>
    <w:rsid w:val="00527798"/>
    <w:rsid w:val="00533380"/>
    <w:rsid w:val="00535082"/>
    <w:rsid w:val="00535195"/>
    <w:rsid w:val="0054706B"/>
    <w:rsid w:val="00553304"/>
    <w:rsid w:val="005575F8"/>
    <w:rsid w:val="00567B47"/>
    <w:rsid w:val="005763E2"/>
    <w:rsid w:val="00576D78"/>
    <w:rsid w:val="0058149E"/>
    <w:rsid w:val="00581650"/>
    <w:rsid w:val="005831CD"/>
    <w:rsid w:val="005906EC"/>
    <w:rsid w:val="005A51FC"/>
    <w:rsid w:val="005A72E3"/>
    <w:rsid w:val="005B2808"/>
    <w:rsid w:val="005B4382"/>
    <w:rsid w:val="005C2B19"/>
    <w:rsid w:val="005D07BF"/>
    <w:rsid w:val="005D489B"/>
    <w:rsid w:val="005F2513"/>
    <w:rsid w:val="005F26B5"/>
    <w:rsid w:val="005F7D68"/>
    <w:rsid w:val="00600D15"/>
    <w:rsid w:val="00604F0D"/>
    <w:rsid w:val="00607B71"/>
    <w:rsid w:val="00613998"/>
    <w:rsid w:val="0061773D"/>
    <w:rsid w:val="00617891"/>
    <w:rsid w:val="00620A07"/>
    <w:rsid w:val="00622E36"/>
    <w:rsid w:val="00624951"/>
    <w:rsid w:val="006260CF"/>
    <w:rsid w:val="00635586"/>
    <w:rsid w:val="00652A73"/>
    <w:rsid w:val="0065773E"/>
    <w:rsid w:val="00672D71"/>
    <w:rsid w:val="00672EA4"/>
    <w:rsid w:val="00673109"/>
    <w:rsid w:val="00675E73"/>
    <w:rsid w:val="006823F0"/>
    <w:rsid w:val="00685365"/>
    <w:rsid w:val="00686845"/>
    <w:rsid w:val="0069080F"/>
    <w:rsid w:val="0069329F"/>
    <w:rsid w:val="006A3139"/>
    <w:rsid w:val="006A4A2E"/>
    <w:rsid w:val="006A4B92"/>
    <w:rsid w:val="006A59CE"/>
    <w:rsid w:val="006B33B3"/>
    <w:rsid w:val="006B4AF5"/>
    <w:rsid w:val="006B5223"/>
    <w:rsid w:val="006B666B"/>
    <w:rsid w:val="006C0BEE"/>
    <w:rsid w:val="006C2CDA"/>
    <w:rsid w:val="006C586C"/>
    <w:rsid w:val="006D0631"/>
    <w:rsid w:val="006E0B13"/>
    <w:rsid w:val="006F4617"/>
    <w:rsid w:val="00701817"/>
    <w:rsid w:val="00704B8B"/>
    <w:rsid w:val="00707AC0"/>
    <w:rsid w:val="007117CA"/>
    <w:rsid w:val="00721B34"/>
    <w:rsid w:val="007276DF"/>
    <w:rsid w:val="00727B9E"/>
    <w:rsid w:val="00731ECF"/>
    <w:rsid w:val="007343D0"/>
    <w:rsid w:val="00754286"/>
    <w:rsid w:val="00756052"/>
    <w:rsid w:val="0075657E"/>
    <w:rsid w:val="0077515A"/>
    <w:rsid w:val="00782312"/>
    <w:rsid w:val="00783AD6"/>
    <w:rsid w:val="00783C59"/>
    <w:rsid w:val="00787D36"/>
    <w:rsid w:val="00793527"/>
    <w:rsid w:val="00793973"/>
    <w:rsid w:val="007A3243"/>
    <w:rsid w:val="007C74E5"/>
    <w:rsid w:val="007D2E86"/>
    <w:rsid w:val="007D42BD"/>
    <w:rsid w:val="007E0714"/>
    <w:rsid w:val="007E5938"/>
    <w:rsid w:val="007F2E0E"/>
    <w:rsid w:val="007F4EE0"/>
    <w:rsid w:val="007F56C1"/>
    <w:rsid w:val="00815CEF"/>
    <w:rsid w:val="00820A94"/>
    <w:rsid w:val="00821BCE"/>
    <w:rsid w:val="0083010D"/>
    <w:rsid w:val="008351BB"/>
    <w:rsid w:val="0084177B"/>
    <w:rsid w:val="00844535"/>
    <w:rsid w:val="00847FB5"/>
    <w:rsid w:val="00851E53"/>
    <w:rsid w:val="008531CD"/>
    <w:rsid w:val="00857802"/>
    <w:rsid w:val="00860F29"/>
    <w:rsid w:val="0086161C"/>
    <w:rsid w:val="0086191C"/>
    <w:rsid w:val="00861EBB"/>
    <w:rsid w:val="008655E0"/>
    <w:rsid w:val="00877E9C"/>
    <w:rsid w:val="0088707A"/>
    <w:rsid w:val="008905E5"/>
    <w:rsid w:val="008B0825"/>
    <w:rsid w:val="008B4B78"/>
    <w:rsid w:val="008B7073"/>
    <w:rsid w:val="008D1C8D"/>
    <w:rsid w:val="008D2ABD"/>
    <w:rsid w:val="008D2FE5"/>
    <w:rsid w:val="008E1AA1"/>
    <w:rsid w:val="009125A9"/>
    <w:rsid w:val="009202E2"/>
    <w:rsid w:val="009225DF"/>
    <w:rsid w:val="009276BE"/>
    <w:rsid w:val="00931810"/>
    <w:rsid w:val="00932763"/>
    <w:rsid w:val="00932F02"/>
    <w:rsid w:val="0093642A"/>
    <w:rsid w:val="0094077D"/>
    <w:rsid w:val="00960B65"/>
    <w:rsid w:val="009625AF"/>
    <w:rsid w:val="009644CA"/>
    <w:rsid w:val="009679C1"/>
    <w:rsid w:val="00975CFB"/>
    <w:rsid w:val="00983ED2"/>
    <w:rsid w:val="009934FA"/>
    <w:rsid w:val="009A0D53"/>
    <w:rsid w:val="009A3C3C"/>
    <w:rsid w:val="009A47B5"/>
    <w:rsid w:val="009B1475"/>
    <w:rsid w:val="009B173E"/>
    <w:rsid w:val="009B2F58"/>
    <w:rsid w:val="009B7C7E"/>
    <w:rsid w:val="009C30B1"/>
    <w:rsid w:val="009C3108"/>
    <w:rsid w:val="009D07B8"/>
    <w:rsid w:val="009E4C95"/>
    <w:rsid w:val="009E69AF"/>
    <w:rsid w:val="009F049D"/>
    <w:rsid w:val="009F19E0"/>
    <w:rsid w:val="009F29D2"/>
    <w:rsid w:val="009F3030"/>
    <w:rsid w:val="009F6D8A"/>
    <w:rsid w:val="00A061A0"/>
    <w:rsid w:val="00A0775C"/>
    <w:rsid w:val="00A13815"/>
    <w:rsid w:val="00A175ED"/>
    <w:rsid w:val="00A20879"/>
    <w:rsid w:val="00A30114"/>
    <w:rsid w:val="00A309C0"/>
    <w:rsid w:val="00A35349"/>
    <w:rsid w:val="00A40653"/>
    <w:rsid w:val="00A45B88"/>
    <w:rsid w:val="00A47FC1"/>
    <w:rsid w:val="00A54D32"/>
    <w:rsid w:val="00A67182"/>
    <w:rsid w:val="00A71028"/>
    <w:rsid w:val="00A72045"/>
    <w:rsid w:val="00A73F6E"/>
    <w:rsid w:val="00A76013"/>
    <w:rsid w:val="00A7608B"/>
    <w:rsid w:val="00A76D85"/>
    <w:rsid w:val="00A862E7"/>
    <w:rsid w:val="00A87943"/>
    <w:rsid w:val="00A93FBD"/>
    <w:rsid w:val="00AA2889"/>
    <w:rsid w:val="00AA2B2B"/>
    <w:rsid w:val="00AB541B"/>
    <w:rsid w:val="00AC2865"/>
    <w:rsid w:val="00AC41BC"/>
    <w:rsid w:val="00AD0271"/>
    <w:rsid w:val="00AF138C"/>
    <w:rsid w:val="00AF1486"/>
    <w:rsid w:val="00AF2DA6"/>
    <w:rsid w:val="00AF6627"/>
    <w:rsid w:val="00AF7396"/>
    <w:rsid w:val="00B06AAC"/>
    <w:rsid w:val="00B06FB4"/>
    <w:rsid w:val="00B208FE"/>
    <w:rsid w:val="00B24284"/>
    <w:rsid w:val="00B31E5C"/>
    <w:rsid w:val="00B41E5C"/>
    <w:rsid w:val="00B52C3E"/>
    <w:rsid w:val="00B57A87"/>
    <w:rsid w:val="00B63D02"/>
    <w:rsid w:val="00B64DDB"/>
    <w:rsid w:val="00B717E0"/>
    <w:rsid w:val="00B7491E"/>
    <w:rsid w:val="00B803BA"/>
    <w:rsid w:val="00B838AF"/>
    <w:rsid w:val="00B86E3E"/>
    <w:rsid w:val="00B91FA4"/>
    <w:rsid w:val="00B92DF4"/>
    <w:rsid w:val="00BA498A"/>
    <w:rsid w:val="00BB0426"/>
    <w:rsid w:val="00BB1721"/>
    <w:rsid w:val="00BB552F"/>
    <w:rsid w:val="00BC0084"/>
    <w:rsid w:val="00BC18A0"/>
    <w:rsid w:val="00BC51BC"/>
    <w:rsid w:val="00BD0BB0"/>
    <w:rsid w:val="00BD1DA2"/>
    <w:rsid w:val="00BD6A9A"/>
    <w:rsid w:val="00BD71B3"/>
    <w:rsid w:val="00BE1744"/>
    <w:rsid w:val="00BE2AB3"/>
    <w:rsid w:val="00BE3D01"/>
    <w:rsid w:val="00BE5ABE"/>
    <w:rsid w:val="00BF789B"/>
    <w:rsid w:val="00C01080"/>
    <w:rsid w:val="00C058CF"/>
    <w:rsid w:val="00C266B4"/>
    <w:rsid w:val="00C26944"/>
    <w:rsid w:val="00C3210A"/>
    <w:rsid w:val="00C3500E"/>
    <w:rsid w:val="00C43343"/>
    <w:rsid w:val="00C46250"/>
    <w:rsid w:val="00C50008"/>
    <w:rsid w:val="00C5086C"/>
    <w:rsid w:val="00C5709A"/>
    <w:rsid w:val="00C76692"/>
    <w:rsid w:val="00C768AF"/>
    <w:rsid w:val="00C80DFF"/>
    <w:rsid w:val="00C93DB2"/>
    <w:rsid w:val="00CA4417"/>
    <w:rsid w:val="00CB3BCE"/>
    <w:rsid w:val="00CD57F9"/>
    <w:rsid w:val="00CD6263"/>
    <w:rsid w:val="00CD63A7"/>
    <w:rsid w:val="00CE644A"/>
    <w:rsid w:val="00CF056A"/>
    <w:rsid w:val="00CF0BC7"/>
    <w:rsid w:val="00CF5EC0"/>
    <w:rsid w:val="00CF5FD3"/>
    <w:rsid w:val="00D02F60"/>
    <w:rsid w:val="00D10F85"/>
    <w:rsid w:val="00D114BF"/>
    <w:rsid w:val="00D11E00"/>
    <w:rsid w:val="00D144BD"/>
    <w:rsid w:val="00D14AE9"/>
    <w:rsid w:val="00D172E2"/>
    <w:rsid w:val="00D17EAE"/>
    <w:rsid w:val="00D32B51"/>
    <w:rsid w:val="00D345FD"/>
    <w:rsid w:val="00D3796C"/>
    <w:rsid w:val="00D46164"/>
    <w:rsid w:val="00D46EAF"/>
    <w:rsid w:val="00D632B6"/>
    <w:rsid w:val="00D65211"/>
    <w:rsid w:val="00D71FFC"/>
    <w:rsid w:val="00D8321D"/>
    <w:rsid w:val="00D9220F"/>
    <w:rsid w:val="00D944D3"/>
    <w:rsid w:val="00D9459D"/>
    <w:rsid w:val="00D96090"/>
    <w:rsid w:val="00DA52D5"/>
    <w:rsid w:val="00DA56F5"/>
    <w:rsid w:val="00DA661D"/>
    <w:rsid w:val="00DA6AB1"/>
    <w:rsid w:val="00DD7290"/>
    <w:rsid w:val="00DE25C8"/>
    <w:rsid w:val="00DE59D3"/>
    <w:rsid w:val="00DE5D75"/>
    <w:rsid w:val="00DF220E"/>
    <w:rsid w:val="00DF4316"/>
    <w:rsid w:val="00DF7873"/>
    <w:rsid w:val="00E040D8"/>
    <w:rsid w:val="00E12A27"/>
    <w:rsid w:val="00E13CDF"/>
    <w:rsid w:val="00E166B1"/>
    <w:rsid w:val="00E17CA3"/>
    <w:rsid w:val="00E21DD2"/>
    <w:rsid w:val="00E220E4"/>
    <w:rsid w:val="00E2797A"/>
    <w:rsid w:val="00E33C9A"/>
    <w:rsid w:val="00E4226A"/>
    <w:rsid w:val="00E5127E"/>
    <w:rsid w:val="00E52F59"/>
    <w:rsid w:val="00E534A4"/>
    <w:rsid w:val="00E566D4"/>
    <w:rsid w:val="00E6276E"/>
    <w:rsid w:val="00E64560"/>
    <w:rsid w:val="00E70F3F"/>
    <w:rsid w:val="00E728F3"/>
    <w:rsid w:val="00E817E6"/>
    <w:rsid w:val="00E84BCE"/>
    <w:rsid w:val="00E93AA3"/>
    <w:rsid w:val="00E9762A"/>
    <w:rsid w:val="00EA3A15"/>
    <w:rsid w:val="00EB3B4C"/>
    <w:rsid w:val="00EB49C3"/>
    <w:rsid w:val="00EB6CED"/>
    <w:rsid w:val="00EC1338"/>
    <w:rsid w:val="00ED1623"/>
    <w:rsid w:val="00EE2378"/>
    <w:rsid w:val="00EE2A53"/>
    <w:rsid w:val="00EE471F"/>
    <w:rsid w:val="00EE67C4"/>
    <w:rsid w:val="00EF50AC"/>
    <w:rsid w:val="00F01F8C"/>
    <w:rsid w:val="00F12AB1"/>
    <w:rsid w:val="00F158E3"/>
    <w:rsid w:val="00F16C93"/>
    <w:rsid w:val="00F20DBA"/>
    <w:rsid w:val="00F21444"/>
    <w:rsid w:val="00F27935"/>
    <w:rsid w:val="00F41E7F"/>
    <w:rsid w:val="00F47414"/>
    <w:rsid w:val="00F52716"/>
    <w:rsid w:val="00F5320B"/>
    <w:rsid w:val="00F72828"/>
    <w:rsid w:val="00F77301"/>
    <w:rsid w:val="00F847E9"/>
    <w:rsid w:val="00F86056"/>
    <w:rsid w:val="00F961D9"/>
    <w:rsid w:val="00F96BC1"/>
    <w:rsid w:val="00F975DE"/>
    <w:rsid w:val="00F97732"/>
    <w:rsid w:val="00FA2C56"/>
    <w:rsid w:val="00FA31F0"/>
    <w:rsid w:val="00FA4AA6"/>
    <w:rsid w:val="00FC4E5D"/>
    <w:rsid w:val="00FC74E7"/>
    <w:rsid w:val="00FC7837"/>
    <w:rsid w:val="00FD764D"/>
    <w:rsid w:val="00FE2C0C"/>
    <w:rsid w:val="00FE4A0B"/>
    <w:rsid w:val="00FF6E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88" w:lineRule="auto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caption" w:uiPriority="35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10" w:unhideWhenUsed="0" w:qFormat="1"/>
    <w:lsdException w:name="Subtitle" w:semiHidden="0" w:uiPriority="11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3243"/>
    <w:rPr>
      <w:i/>
      <w:iCs/>
      <w:sz w:val="20"/>
      <w:szCs w:val="20"/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7A3243"/>
    <w:pPr>
      <w:pBdr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pBdr>
      <w:shd w:val="clear" w:color="auto" w:fill="F2DBDB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color w:val="622423" w:themeColor="accent2" w:themeShade="7F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7A3243"/>
    <w:pPr>
      <w:pBdr>
        <w:top w:val="single" w:sz="4" w:space="0" w:color="C0504D" w:themeColor="accent2"/>
        <w:left w:val="single" w:sz="48" w:space="2" w:color="C0504D" w:themeColor="accent2"/>
        <w:bottom w:val="single" w:sz="4" w:space="0" w:color="C0504D" w:themeColor="accent2"/>
        <w:right w:val="single" w:sz="4" w:space="4" w:color="C0504D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A3243"/>
    <w:pPr>
      <w:pBdr>
        <w:left w:val="single" w:sz="48" w:space="2" w:color="C0504D" w:themeColor="accent2"/>
        <w:bottom w:val="single" w:sz="4" w:space="0" w:color="C0504D" w:themeColor="accent2"/>
      </w:pBdr>
      <w:spacing w:before="200" w:after="100" w:line="240" w:lineRule="auto"/>
      <w:ind w:left="144"/>
      <w:contextualSpacing/>
      <w:outlineLvl w:val="2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A3243"/>
    <w:pPr>
      <w:pBdr>
        <w:left w:val="single" w:sz="4" w:space="2" w:color="C0504D" w:themeColor="accent2"/>
        <w:bottom w:val="single" w:sz="4" w:space="2" w:color="C0504D" w:themeColor="accent2"/>
      </w:pBdr>
      <w:spacing w:before="200" w:after="100" w:line="240" w:lineRule="auto"/>
      <w:ind w:left="86"/>
      <w:contextualSpacing/>
      <w:outlineLvl w:val="3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A3243"/>
    <w:pPr>
      <w:pBdr>
        <w:left w:val="dotted" w:sz="4" w:space="2" w:color="C0504D" w:themeColor="accent2"/>
        <w:bottom w:val="dotted" w:sz="4" w:space="2" w:color="C0504D" w:themeColor="accent2"/>
      </w:pBdr>
      <w:spacing w:before="200" w:after="100" w:line="240" w:lineRule="auto"/>
      <w:ind w:left="86"/>
      <w:contextualSpacing/>
      <w:outlineLvl w:val="4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A3243"/>
    <w:pPr>
      <w:pBdr>
        <w:bottom w:val="single" w:sz="4" w:space="2" w:color="E5B8B7" w:themeColor="accent2" w:themeTint="66"/>
      </w:pBdr>
      <w:spacing w:before="200" w:after="100" w:line="240" w:lineRule="auto"/>
      <w:contextualSpacing/>
      <w:outlineLvl w:val="5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A3243"/>
    <w:pPr>
      <w:pBdr>
        <w:bottom w:val="dotted" w:sz="4" w:space="2" w:color="D99594" w:themeColor="accent2" w:themeTint="99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A3243"/>
    <w:pPr>
      <w:spacing w:before="200" w:after="100" w:line="240" w:lineRule="auto"/>
      <w:contextualSpacing/>
      <w:outlineLvl w:val="7"/>
    </w:pPr>
    <w:rPr>
      <w:rFonts w:asciiTheme="majorHAnsi" w:eastAsiaTheme="majorEastAsia" w:hAnsiTheme="majorHAnsi" w:cstheme="majorBidi"/>
      <w:color w:val="C0504D" w:themeColor="accent2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A3243"/>
    <w:pPr>
      <w:spacing w:before="200" w:after="100" w:line="240" w:lineRule="auto"/>
      <w:contextualSpacing/>
      <w:outlineLvl w:val="8"/>
    </w:pPr>
    <w:rPr>
      <w:rFonts w:asciiTheme="majorHAnsi" w:eastAsiaTheme="majorEastAsia" w:hAnsiTheme="majorHAnsi" w:cstheme="majorBidi"/>
      <w:color w:val="C0504D" w:themeColor="accent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6E0B13"/>
    <w:rPr>
      <w:color w:val="0000FF"/>
      <w:u w:val="single"/>
    </w:rPr>
  </w:style>
  <w:style w:type="paragraph" w:customStyle="1" w:styleId="Styl3">
    <w:name w:val="Styl3"/>
    <w:basedOn w:val="Normlny"/>
    <w:rsid w:val="0086191C"/>
    <w:rPr>
      <w:lang w:val="cs-CZ" w:eastAsia="cs-CZ"/>
    </w:rPr>
  </w:style>
  <w:style w:type="paragraph" w:styleId="Pta">
    <w:name w:val="footer"/>
    <w:basedOn w:val="Normlny"/>
    <w:rsid w:val="00EC1338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C1338"/>
  </w:style>
  <w:style w:type="paragraph" w:styleId="Obsah1">
    <w:name w:val="toc 1"/>
    <w:basedOn w:val="Normlny"/>
    <w:next w:val="Normlny"/>
    <w:autoRedefine/>
    <w:semiHidden/>
    <w:rsid w:val="009F19E0"/>
    <w:pPr>
      <w:spacing w:before="360"/>
    </w:pPr>
    <w:rPr>
      <w:rFonts w:ascii="Arial" w:hAnsi="Arial" w:cs="Arial"/>
      <w:b/>
      <w:bCs/>
      <w:caps/>
    </w:rPr>
  </w:style>
  <w:style w:type="paragraph" w:styleId="Obsah2">
    <w:name w:val="toc 2"/>
    <w:basedOn w:val="Normlny"/>
    <w:next w:val="Normlny"/>
    <w:autoRedefine/>
    <w:semiHidden/>
    <w:rsid w:val="009F19E0"/>
    <w:pPr>
      <w:spacing w:before="240"/>
    </w:pPr>
    <w:rPr>
      <w:b/>
      <w:bCs/>
    </w:rPr>
  </w:style>
  <w:style w:type="paragraph" w:styleId="Obsah3">
    <w:name w:val="toc 3"/>
    <w:basedOn w:val="Normlny"/>
    <w:next w:val="Normlny"/>
    <w:autoRedefine/>
    <w:semiHidden/>
    <w:rsid w:val="009F19E0"/>
    <w:pPr>
      <w:ind w:left="240"/>
    </w:pPr>
  </w:style>
  <w:style w:type="paragraph" w:styleId="Obsah4">
    <w:name w:val="toc 4"/>
    <w:basedOn w:val="Normlny"/>
    <w:next w:val="Normlny"/>
    <w:autoRedefine/>
    <w:semiHidden/>
    <w:rsid w:val="009F19E0"/>
    <w:pPr>
      <w:ind w:left="480"/>
    </w:pPr>
  </w:style>
  <w:style w:type="paragraph" w:styleId="Obsah5">
    <w:name w:val="toc 5"/>
    <w:basedOn w:val="Normlny"/>
    <w:next w:val="Normlny"/>
    <w:autoRedefine/>
    <w:semiHidden/>
    <w:rsid w:val="009F19E0"/>
    <w:pPr>
      <w:ind w:left="720"/>
    </w:pPr>
  </w:style>
  <w:style w:type="paragraph" w:styleId="Obsah6">
    <w:name w:val="toc 6"/>
    <w:basedOn w:val="Normlny"/>
    <w:next w:val="Normlny"/>
    <w:autoRedefine/>
    <w:semiHidden/>
    <w:rsid w:val="009F19E0"/>
    <w:pPr>
      <w:ind w:left="960"/>
    </w:pPr>
  </w:style>
  <w:style w:type="paragraph" w:styleId="Obsah7">
    <w:name w:val="toc 7"/>
    <w:basedOn w:val="Normlny"/>
    <w:next w:val="Normlny"/>
    <w:autoRedefine/>
    <w:semiHidden/>
    <w:rsid w:val="009F19E0"/>
    <w:pPr>
      <w:ind w:left="1200"/>
    </w:pPr>
  </w:style>
  <w:style w:type="paragraph" w:styleId="Obsah8">
    <w:name w:val="toc 8"/>
    <w:basedOn w:val="Normlny"/>
    <w:next w:val="Normlny"/>
    <w:autoRedefine/>
    <w:semiHidden/>
    <w:rsid w:val="009F19E0"/>
    <w:pPr>
      <w:ind w:left="1440"/>
    </w:pPr>
  </w:style>
  <w:style w:type="paragraph" w:styleId="Obsah9">
    <w:name w:val="toc 9"/>
    <w:basedOn w:val="Normlny"/>
    <w:next w:val="Normlny"/>
    <w:autoRedefine/>
    <w:semiHidden/>
    <w:rsid w:val="009F19E0"/>
    <w:pPr>
      <w:ind w:left="1680"/>
    </w:pPr>
  </w:style>
  <w:style w:type="character" w:styleId="PouitHypertextovPrepojenie">
    <w:name w:val="FollowedHyperlink"/>
    <w:basedOn w:val="Predvolenpsmoodseku"/>
    <w:rsid w:val="00535082"/>
    <w:rPr>
      <w:color w:val="800080"/>
      <w:u w:val="single"/>
    </w:rPr>
  </w:style>
  <w:style w:type="character" w:customStyle="1" w:styleId="ra">
    <w:name w:val="ra"/>
    <w:basedOn w:val="Predvolenpsmoodseku"/>
    <w:rsid w:val="00535082"/>
  </w:style>
  <w:style w:type="paragraph" w:styleId="Hlavika">
    <w:name w:val="header"/>
    <w:basedOn w:val="Normlny"/>
    <w:rsid w:val="00483465"/>
    <w:pPr>
      <w:tabs>
        <w:tab w:val="center" w:pos="4536"/>
        <w:tab w:val="right" w:pos="9072"/>
      </w:tabs>
    </w:pPr>
  </w:style>
  <w:style w:type="paragraph" w:customStyle="1" w:styleId="Metodickpokyn">
    <w:name w:val="Metodický pokyn"/>
    <w:basedOn w:val="Normlny"/>
    <w:rsid w:val="000F5747"/>
    <w:rPr>
      <w:rFonts w:ascii="Arial" w:hAnsi="Arial"/>
      <w:sz w:val="22"/>
      <w:lang w:eastAsia="cs-CZ"/>
    </w:rPr>
  </w:style>
  <w:style w:type="paragraph" w:styleId="Zoznam">
    <w:name w:val="List"/>
    <w:basedOn w:val="Normlny"/>
    <w:rsid w:val="000F5747"/>
    <w:pPr>
      <w:ind w:left="283" w:hanging="283"/>
    </w:pPr>
    <w:rPr>
      <w:snapToGrid w:val="0"/>
      <w:lang w:val="ru-RU" w:eastAsia="cs-CZ"/>
    </w:rPr>
  </w:style>
  <w:style w:type="paragraph" w:styleId="Odsekzoznamu">
    <w:name w:val="List Paragraph"/>
    <w:basedOn w:val="Normlny"/>
    <w:uiPriority w:val="34"/>
    <w:qFormat/>
    <w:rsid w:val="007A3243"/>
    <w:pPr>
      <w:ind w:left="720"/>
      <w:contextualSpacing/>
    </w:pPr>
  </w:style>
  <w:style w:type="paragraph" w:styleId="Textbubliny">
    <w:name w:val="Balloon Text"/>
    <w:basedOn w:val="Normlny"/>
    <w:semiHidden/>
    <w:rsid w:val="005F26B5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7A3243"/>
    <w:rPr>
      <w:rFonts w:asciiTheme="majorHAnsi" w:eastAsiaTheme="majorEastAsia" w:hAnsiTheme="majorHAnsi" w:cstheme="majorBidi"/>
      <w:b/>
      <w:bCs/>
      <w:i/>
      <w:iCs/>
      <w:color w:val="622423" w:themeColor="accent2" w:themeShade="7F"/>
      <w:shd w:val="clear" w:color="auto" w:fill="F2DBDB" w:themeFill="accent2" w:themeFillTint="33"/>
    </w:rPr>
  </w:style>
  <w:style w:type="character" w:customStyle="1" w:styleId="Nadpis2Char">
    <w:name w:val="Nadpis 2 Char"/>
    <w:basedOn w:val="Predvolenpsmoodseku"/>
    <w:link w:val="Nadpis2"/>
    <w:uiPriority w:val="9"/>
    <w:rsid w:val="007A3243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A3243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A3243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A3243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A3243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A3243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A3243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A3243"/>
    <w:rPr>
      <w:rFonts w:asciiTheme="majorHAnsi" w:eastAsiaTheme="majorEastAsia" w:hAnsiTheme="majorHAnsi" w:cstheme="majorBidi"/>
      <w:i/>
      <w:iCs/>
      <w:color w:val="C0504D" w:themeColor="accent2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7A3243"/>
    <w:rPr>
      <w:b/>
      <w:bCs/>
      <w:color w:val="943634" w:themeColor="accent2" w:themeShade="BF"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7A3243"/>
    <w:pPr>
      <w:pBdr>
        <w:top w:val="single" w:sz="48" w:space="0" w:color="C0504D" w:themeColor="accent2"/>
        <w:bottom w:val="single" w:sz="48" w:space="0" w:color="C0504D" w:themeColor="accent2"/>
      </w:pBdr>
      <w:shd w:val="clear" w:color="auto" w:fill="C0504D" w:themeFill="accent2"/>
      <w:spacing w:after="0" w:line="240" w:lineRule="auto"/>
      <w:jc w:val="center"/>
    </w:pPr>
    <w:rPr>
      <w:rFonts w:asciiTheme="majorHAnsi" w:eastAsiaTheme="majorEastAsia" w:hAnsiTheme="majorHAnsi" w:cstheme="majorBidi"/>
      <w:color w:val="FFFFFF" w:themeColor="background1"/>
      <w:spacing w:val="10"/>
      <w:sz w:val="48"/>
      <w:szCs w:val="48"/>
    </w:rPr>
  </w:style>
  <w:style w:type="character" w:customStyle="1" w:styleId="NzovChar">
    <w:name w:val="Názov Char"/>
    <w:basedOn w:val="Predvolenpsmoodseku"/>
    <w:link w:val="Nzov"/>
    <w:uiPriority w:val="10"/>
    <w:rsid w:val="007A3243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C0504D" w:themeFill="accent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A3243"/>
    <w:pPr>
      <w:pBdr>
        <w:bottom w:val="dotted" w:sz="8" w:space="10" w:color="C0504D" w:themeColor="accent2"/>
      </w:pBdr>
      <w:spacing w:before="200" w:after="900" w:line="240" w:lineRule="auto"/>
      <w:jc w:val="center"/>
    </w:pPr>
    <w:rPr>
      <w:rFonts w:asciiTheme="majorHAnsi" w:eastAsiaTheme="majorEastAsia" w:hAnsiTheme="majorHAnsi" w:cstheme="majorBidi"/>
      <w:color w:val="622423" w:themeColor="accent2" w:themeShade="7F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7A3243"/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</w:rPr>
  </w:style>
  <w:style w:type="character" w:styleId="Siln">
    <w:name w:val="Strong"/>
    <w:uiPriority w:val="22"/>
    <w:qFormat/>
    <w:rsid w:val="007A3243"/>
    <w:rPr>
      <w:b/>
      <w:bCs/>
      <w:spacing w:val="0"/>
    </w:rPr>
  </w:style>
  <w:style w:type="character" w:styleId="Zvraznenie">
    <w:name w:val="Emphasis"/>
    <w:uiPriority w:val="20"/>
    <w:qFormat/>
    <w:rsid w:val="007A3243"/>
    <w:rPr>
      <w:rFonts w:asciiTheme="majorHAnsi" w:eastAsiaTheme="majorEastAsia" w:hAnsiTheme="majorHAnsi" w:cstheme="majorBidi"/>
      <w:b/>
      <w:bCs/>
      <w:i/>
      <w:iCs/>
      <w:color w:val="C0504D" w:themeColor="accent2"/>
      <w:bdr w:val="single" w:sz="18" w:space="0" w:color="F2DBDB" w:themeColor="accent2" w:themeTint="33"/>
      <w:shd w:val="clear" w:color="auto" w:fill="F2DBDB" w:themeFill="accent2" w:themeFillTint="33"/>
    </w:rPr>
  </w:style>
  <w:style w:type="paragraph" w:styleId="Bezriadkovania">
    <w:name w:val="No Spacing"/>
    <w:basedOn w:val="Normlny"/>
    <w:uiPriority w:val="1"/>
    <w:qFormat/>
    <w:rsid w:val="007A3243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7A3243"/>
    <w:rPr>
      <w:i w:val="0"/>
      <w:iCs w:val="0"/>
      <w:color w:val="943634" w:themeColor="accent2" w:themeShade="BF"/>
    </w:rPr>
  </w:style>
  <w:style w:type="character" w:customStyle="1" w:styleId="CitciaChar">
    <w:name w:val="Citácia Char"/>
    <w:basedOn w:val="Predvolenpsmoodseku"/>
    <w:link w:val="Citcia"/>
    <w:uiPriority w:val="29"/>
    <w:rsid w:val="007A3243"/>
    <w:rPr>
      <w:color w:val="943634" w:themeColor="accent2" w:themeShade="BF"/>
      <w:sz w:val="20"/>
      <w:szCs w:val="20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A3243"/>
    <w:pPr>
      <w:pBdr>
        <w:top w:val="dotted" w:sz="8" w:space="10" w:color="C0504D" w:themeColor="accent2"/>
        <w:bottom w:val="dotted" w:sz="8" w:space="10" w:color="C0504D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color w:val="C0504D" w:themeColor="accent2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A3243"/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</w:rPr>
  </w:style>
  <w:style w:type="character" w:styleId="Jemnzvraznenie">
    <w:name w:val="Subtle Emphasis"/>
    <w:uiPriority w:val="19"/>
    <w:qFormat/>
    <w:rsid w:val="007A3243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styleId="Intenzvnezvraznenie">
    <w:name w:val="Intense Emphasis"/>
    <w:uiPriority w:val="21"/>
    <w:qFormat/>
    <w:rsid w:val="007A3243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C0504D" w:themeColor="accent2"/>
      <w:shd w:val="clear" w:color="auto" w:fill="C0504D" w:themeFill="accent2"/>
      <w:vertAlign w:val="baseline"/>
    </w:rPr>
  </w:style>
  <w:style w:type="character" w:styleId="Jemnodkaz">
    <w:name w:val="Subtle Reference"/>
    <w:uiPriority w:val="31"/>
    <w:qFormat/>
    <w:rsid w:val="007A3243"/>
    <w:rPr>
      <w:i/>
      <w:iCs/>
      <w:smallCaps/>
      <w:color w:val="C0504D" w:themeColor="accent2"/>
      <w:u w:color="C0504D" w:themeColor="accent2"/>
    </w:rPr>
  </w:style>
  <w:style w:type="character" w:styleId="Intenzvnyodkaz">
    <w:name w:val="Intense Reference"/>
    <w:uiPriority w:val="32"/>
    <w:qFormat/>
    <w:rsid w:val="007A3243"/>
    <w:rPr>
      <w:b/>
      <w:bCs/>
      <w:i/>
      <w:iCs/>
      <w:smallCaps/>
      <w:color w:val="C0504D" w:themeColor="accent2"/>
      <w:u w:color="C0504D" w:themeColor="accent2"/>
    </w:rPr>
  </w:style>
  <w:style w:type="character" w:styleId="Nzovknihy">
    <w:name w:val="Book Title"/>
    <w:uiPriority w:val="33"/>
    <w:qFormat/>
    <w:rsid w:val="007A3243"/>
    <w:rPr>
      <w:rFonts w:asciiTheme="majorHAnsi" w:eastAsiaTheme="majorEastAsia" w:hAnsiTheme="majorHAnsi" w:cstheme="majorBidi"/>
      <w:b/>
      <w:bCs/>
      <w:i/>
      <w:iCs/>
      <w:smallCaps/>
      <w:color w:val="943634" w:themeColor="accent2" w:themeShade="BF"/>
      <w:u w:val="single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7A3243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5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5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34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0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4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1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35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5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4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6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9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6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50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1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2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16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90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63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1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8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2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07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81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1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30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5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46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9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1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7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0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0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86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70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3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65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orsr.sk/hladaj_osoba.asp?PR=Fetkovi&#269;ov&#225;&amp;MENO=Marcela&amp;SID=0&amp;T=f0&amp;R=1" TargetMode="External"/><Relationship Id="rId18" Type="http://schemas.openxmlformats.org/officeDocument/2006/relationships/chart" Target="charts/chart3.xm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chart" Target="charts/chart6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Bo&#318;o&amp;MENO=Jozef&amp;SID=0&amp;T=f0&amp;R=1" TargetMode="External"/><Relationship Id="rId17" Type="http://schemas.openxmlformats.org/officeDocument/2006/relationships/chart" Target="charts/chart2.xml"/><Relationship Id="rId25" Type="http://schemas.openxmlformats.org/officeDocument/2006/relationships/chart" Target="charts/chart10.xml"/><Relationship Id="rId2" Type="http://schemas.openxmlformats.org/officeDocument/2006/relationships/numbering" Target="numbering.xml"/><Relationship Id="rId16" Type="http://schemas.openxmlformats.org/officeDocument/2006/relationships/chart" Target="charts/chart1.xml"/><Relationship Id="rId20" Type="http://schemas.openxmlformats.org/officeDocument/2006/relationships/chart" Target="charts/chart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chart" Target="charts/chart9.xml"/><Relationship Id="rId5" Type="http://schemas.openxmlformats.org/officeDocument/2006/relationships/webSettings" Target="webSettings.xml"/><Relationship Id="rId15" Type="http://schemas.openxmlformats.org/officeDocument/2006/relationships/hyperlink" Target="http://www.orsr.sk/hladaj_osoba.asp?PR=Bo&#318;ov&#225;&amp;MENO=Nade&#382;da&amp;SID=0&amp;T=f0&amp;R=1" TargetMode="External"/><Relationship Id="rId23" Type="http://schemas.openxmlformats.org/officeDocument/2006/relationships/chart" Target="charts/chart8.xml"/><Relationship Id="rId10" Type="http://schemas.openxmlformats.org/officeDocument/2006/relationships/footer" Target="footer1.xml"/><Relationship Id="rId19" Type="http://schemas.openxmlformats.org/officeDocument/2006/relationships/chart" Target="charts/chart4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yperlink" Target="http://www.orsr.sk/hladaj_osoba.asp?PR=T&#243;thov&#225;&amp;MENO=Eva&amp;SID=0&amp;T=f0&amp;R=1" TargetMode="External"/><Relationship Id="rId22" Type="http://schemas.openxmlformats.org/officeDocument/2006/relationships/chart" Target="charts/chart7.xml"/><Relationship Id="rId27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HARIUSPC05\Desktop\UCTO\FAPO\V&#253;ro&#269;n&#233;%20spr&#225;vy%20-%20zdrojov&#225;%20tabu&#318;ka%20grafov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HARIUSPC05\Desktop\UCTO\FAPO\V&#253;ro&#269;n&#233;%20spr&#225;vy%20-%20zdrojov&#225;%20tabu&#318;ka%20grafov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HARIUSPC05\Desktop\UCTO\FAPO\V&#253;ro&#269;n&#233;%20spr&#225;vy%20-%20zdrojov&#225;%20tabu&#318;ka%20grafov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HARIUSPC05\Desktop\UCTO\FAPO\V&#253;ro&#269;n&#233;%20spr&#225;vy%20-%20zdrojov&#225;%20tabu&#318;ka%20grafov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HARIUSPC05\Desktop\UCTO\FAPO\V&#253;ro&#269;n&#233;%20spr&#225;vy%20-%20zdrojov&#225;%20tabu&#318;ka%20grafov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HARIUSPC05\Desktop\UCTO\FAPO\V&#253;ro&#269;n&#233;%20spr&#225;vy%20-%20zdrojov&#225;%20tabu&#318;ka%20grafov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HARIUSPC05\Desktop\UCTO\FAPO\V&#253;ro&#269;n&#233;%20spr&#225;vy%20-%20zdrojov&#225;%20tabu&#318;ka%20grafov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HARIUSPC05\Desktop\UCTO\FAPO\V&#253;ro&#269;n&#233;%20spr&#225;vy%20-%20zdrojov&#225;%20tabu&#318;ka%20grafov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HARIUSPC05\Desktop\UCTO\FAPO\V&#253;ro&#269;n&#233;%20spr&#225;vy%20-%20zdrojov&#225;%20tabu&#318;ka%20grafov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HARIUSPC05\Desktop\UCTO\FAPO\V&#253;ro&#269;n&#233;%20spr&#225;vy%20-%20zdrojov&#225;%20tabu&#318;ka%20grafov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plotArea>
      <c:layout/>
      <c:lineChart>
        <c:grouping val="standard"/>
        <c:ser>
          <c:idx val="0"/>
          <c:order val="0"/>
          <c:tx>
            <c:strRef>
              <c:f>Hárok1!$C$9</c:f>
              <c:strCache>
                <c:ptCount val="1"/>
                <c:pt idx="0">
                  <c:v>Osobné náklady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Hárok1!$D$3:$J$3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Hárok1!$D$9:$J$9</c:f>
              <c:numCache>
                <c:formatCode>General</c:formatCode>
                <c:ptCount val="7"/>
                <c:pt idx="0">
                  <c:v>684</c:v>
                </c:pt>
                <c:pt idx="1">
                  <c:v>557</c:v>
                </c:pt>
                <c:pt idx="2">
                  <c:v>550</c:v>
                </c:pt>
                <c:pt idx="3">
                  <c:v>462</c:v>
                </c:pt>
                <c:pt idx="4">
                  <c:v>429</c:v>
                </c:pt>
                <c:pt idx="5">
                  <c:v>417</c:v>
                </c:pt>
                <c:pt idx="6">
                  <c:v>401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07BA-4349-BB13-AB8CB98CE178}"/>
            </c:ext>
          </c:extLst>
        </c:ser>
        <c:marker val="1"/>
        <c:axId val="151719936"/>
        <c:axId val="151721472"/>
      </c:lineChart>
      <c:catAx>
        <c:axId val="151719936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51721472"/>
        <c:crosses val="autoZero"/>
        <c:auto val="1"/>
        <c:lblAlgn val="ctr"/>
        <c:lblOffset val="100"/>
      </c:catAx>
      <c:valAx>
        <c:axId val="151721472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5171993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plotArea>
      <c:layout/>
      <c:lineChart>
        <c:grouping val="standard"/>
        <c:ser>
          <c:idx val="0"/>
          <c:order val="0"/>
          <c:tx>
            <c:strRef>
              <c:f>Hárok3!$B$12</c:f>
              <c:strCache>
                <c:ptCount val="1"/>
                <c:pt idx="0">
                  <c:v>Zaťaženie odvodov k základnej mzde na zamestnanca a mesiac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Hárok3!$C$5:$I$5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Hárok3!$C$12:$I$12</c:f>
              <c:numCache>
                <c:formatCode>0.00%</c:formatCode>
                <c:ptCount val="7"/>
                <c:pt idx="0">
                  <c:v>0.41920000000000002</c:v>
                </c:pt>
                <c:pt idx="1">
                  <c:v>0.39560000000000012</c:v>
                </c:pt>
                <c:pt idx="2">
                  <c:v>0.43480000000000013</c:v>
                </c:pt>
                <c:pt idx="3">
                  <c:v>0.43250000000000011</c:v>
                </c:pt>
                <c:pt idx="4">
                  <c:v>0.41919412375634058</c:v>
                </c:pt>
                <c:pt idx="5">
                  <c:v>0.43683072122544536</c:v>
                </c:pt>
                <c:pt idx="6">
                  <c:v>0.4449450065992081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7C1B-4CEE-8A70-D2174E6614CC}"/>
            </c:ext>
          </c:extLst>
        </c:ser>
        <c:marker val="1"/>
        <c:axId val="86261760"/>
        <c:axId val="86263296"/>
      </c:lineChart>
      <c:catAx>
        <c:axId val="86261760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6263296"/>
        <c:crosses val="autoZero"/>
        <c:auto val="1"/>
        <c:lblAlgn val="ctr"/>
        <c:lblOffset val="100"/>
      </c:catAx>
      <c:valAx>
        <c:axId val="86263296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626176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8"/>
  <c:chart>
    <c:title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view3D>
      <c:depthPercent val="100"/>
      <c:rAngAx val="1"/>
    </c:view3D>
    <c:floor>
      <c:spPr>
        <a:noFill/>
        <a:ln>
          <a:noFill/>
        </a:ln>
        <a:effectLst/>
        <a:sp3d/>
      </c:spPr>
    </c:floor>
    <c:sideWall>
      <c:spPr>
        <a:noFill/>
        <a:ln>
          <a:noFill/>
        </a:ln>
        <a:effectLst/>
        <a:sp3d/>
      </c:spPr>
    </c:sideWall>
    <c:backWall>
      <c:spPr>
        <a:noFill/>
        <a:ln>
          <a:noFill/>
        </a:ln>
        <a:effectLst/>
        <a:sp3d/>
      </c:spPr>
    </c:backWall>
    <c:plotArea>
      <c:layout/>
      <c:bar3DChart>
        <c:barDir val="col"/>
        <c:grouping val="stacked"/>
        <c:ser>
          <c:idx val="0"/>
          <c:order val="0"/>
          <c:tx>
            <c:strRef>
              <c:f>Hárok1!$C$7</c:f>
              <c:strCache>
                <c:ptCount val="1"/>
                <c:pt idx="0">
                  <c:v>Tržby celkom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  <a:sp3d/>
          </c:spPr>
          <c:cat>
            <c:numRef>
              <c:f>Hárok1!$D$3:$J$3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Hárok1!$D$7:$J$7</c:f>
              <c:numCache>
                <c:formatCode>#,##0</c:formatCode>
                <c:ptCount val="7"/>
                <c:pt idx="0">
                  <c:v>62401</c:v>
                </c:pt>
                <c:pt idx="1">
                  <c:v>58943</c:v>
                </c:pt>
                <c:pt idx="2">
                  <c:v>53600</c:v>
                </c:pt>
                <c:pt idx="3">
                  <c:v>49004</c:v>
                </c:pt>
                <c:pt idx="4">
                  <c:v>46026</c:v>
                </c:pt>
                <c:pt idx="5">
                  <c:v>44998</c:v>
                </c:pt>
                <c:pt idx="6">
                  <c:v>47098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A888-469B-B05C-447C9F458745}"/>
            </c:ext>
          </c:extLst>
        </c:ser>
        <c:shape val="box"/>
        <c:axId val="150775680"/>
        <c:axId val="150777216"/>
        <c:axId val="0"/>
      </c:bar3DChart>
      <c:catAx>
        <c:axId val="150775680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50777216"/>
        <c:crosses val="autoZero"/>
        <c:auto val="1"/>
        <c:lblAlgn val="ctr"/>
        <c:lblOffset val="100"/>
      </c:catAx>
      <c:valAx>
        <c:axId val="150777216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5077568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plotArea>
      <c:layout/>
      <c:lineChart>
        <c:grouping val="standard"/>
        <c:ser>
          <c:idx val="0"/>
          <c:order val="0"/>
          <c:tx>
            <c:strRef>
              <c:f>Hárok1!$C$13</c:f>
              <c:strCache>
                <c:ptCount val="1"/>
                <c:pt idx="0">
                  <c:v>EBITDA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Hárok1!$D$3:$J$3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Hárok1!$D$13:$J$13</c:f>
              <c:numCache>
                <c:formatCode>General</c:formatCode>
                <c:ptCount val="7"/>
                <c:pt idx="0">
                  <c:v>194</c:v>
                </c:pt>
                <c:pt idx="1">
                  <c:v>216</c:v>
                </c:pt>
                <c:pt idx="2">
                  <c:v>96</c:v>
                </c:pt>
                <c:pt idx="3">
                  <c:v>34</c:v>
                </c:pt>
                <c:pt idx="4">
                  <c:v>175</c:v>
                </c:pt>
                <c:pt idx="5">
                  <c:v>157</c:v>
                </c:pt>
                <c:pt idx="6">
                  <c:v>195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E471-4051-BA91-14223BF7D0D5}"/>
            </c:ext>
          </c:extLst>
        </c:ser>
        <c:marker val="1"/>
        <c:axId val="151752064"/>
        <c:axId val="151917696"/>
      </c:lineChart>
      <c:catAx>
        <c:axId val="151752064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51917696"/>
        <c:crosses val="autoZero"/>
        <c:auto val="1"/>
        <c:lblAlgn val="ctr"/>
        <c:lblOffset val="100"/>
      </c:catAx>
      <c:valAx>
        <c:axId val="151917696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5175206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cap="all" spc="120" normalizeH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view3D>
      <c:depthPercent val="100"/>
      <c:rAngAx val="1"/>
    </c:view3D>
    <c:floor>
      <c:spPr>
        <a:noFill/>
        <a:ln>
          <a:noFill/>
        </a:ln>
        <a:effectLst/>
        <a:sp3d/>
      </c:spPr>
    </c:floor>
    <c:sideWall>
      <c:spPr>
        <a:noFill/>
        <a:ln>
          <a:noFill/>
        </a:ln>
        <a:effectLst/>
        <a:sp3d/>
      </c:spPr>
    </c:sideWall>
    <c:backWall>
      <c:spPr>
        <a:noFill/>
        <a:ln>
          <a:noFill/>
        </a:ln>
        <a:effectLst/>
        <a:sp3d/>
      </c:spPr>
    </c:backWall>
    <c:plotArea>
      <c:layout/>
      <c:bar3DChart>
        <c:barDir val="col"/>
        <c:grouping val="stacked"/>
        <c:ser>
          <c:idx val="0"/>
          <c:order val="0"/>
          <c:tx>
            <c:strRef>
              <c:f>Hárok1!$C$11</c:f>
              <c:strCache>
                <c:ptCount val="1"/>
                <c:pt idx="0">
                  <c:v>EBIT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  <a:sp3d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Hárok1!$D$3:$J$3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Hárok1!$D$11:$J$11</c:f>
              <c:numCache>
                <c:formatCode>General</c:formatCode>
                <c:ptCount val="7"/>
                <c:pt idx="0">
                  <c:v>169</c:v>
                </c:pt>
                <c:pt idx="1">
                  <c:v>182</c:v>
                </c:pt>
                <c:pt idx="2">
                  <c:v>77</c:v>
                </c:pt>
                <c:pt idx="3">
                  <c:v>869</c:v>
                </c:pt>
                <c:pt idx="4">
                  <c:v>44</c:v>
                </c:pt>
                <c:pt idx="5">
                  <c:v>34</c:v>
                </c:pt>
                <c:pt idx="6">
                  <c:v>10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2200-4729-90E9-E099F31F4F77}"/>
            </c:ext>
          </c:extLst>
        </c:ser>
        <c:dLbls>
          <c:showVal val="1"/>
        </c:dLbls>
        <c:gapWidth val="79"/>
        <c:shape val="box"/>
        <c:axId val="151963904"/>
        <c:axId val="151973888"/>
        <c:axId val="0"/>
      </c:bar3DChart>
      <c:catAx>
        <c:axId val="151963904"/>
        <c:scaling>
          <c:orientation val="minMax"/>
        </c:scaling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51973888"/>
        <c:crosses val="autoZero"/>
        <c:auto val="1"/>
        <c:lblAlgn val="ctr"/>
        <c:lblOffset val="100"/>
      </c:catAx>
      <c:valAx>
        <c:axId val="151973888"/>
        <c:scaling>
          <c:orientation val="minMax"/>
        </c:scaling>
        <c:delete val="1"/>
        <c:axPos val="l"/>
        <c:numFmt formatCode="General" sourceLinked="1"/>
        <c:majorTickMark val="none"/>
        <c:tickLblPos val="nextTo"/>
        <c:crossAx val="15196390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31"/>
  <c:chart>
    <c:title>
      <c:tx>
        <c:rich>
          <a:bodyPr/>
          <a:lstStyle/>
          <a:p>
            <a:pPr>
              <a:defRPr lang="sk-SK"/>
            </a:pPr>
            <a:r>
              <a:rPr lang="sk-SK"/>
              <a:t>Hospodársky</a:t>
            </a:r>
            <a:r>
              <a:rPr lang="sk-SK" baseline="0"/>
              <a:t> výsledok</a:t>
            </a:r>
            <a:endParaRPr lang="sk-SK"/>
          </a:p>
        </c:rich>
      </c:tx>
    </c:title>
    <c:plotArea>
      <c:layout/>
      <c:lineChart>
        <c:grouping val="stacked"/>
        <c:ser>
          <c:idx val="0"/>
          <c:order val="0"/>
          <c:tx>
            <c:strRef>
              <c:f>Hárok1!$C$14</c:f>
              <c:strCache>
                <c:ptCount val="1"/>
                <c:pt idx="0">
                  <c:v>Hospodársky výsledok</c:v>
                </c:pt>
              </c:strCache>
            </c:strRef>
          </c:tx>
          <c:marker>
            <c:symbol val="none"/>
          </c:marker>
          <c:cat>
            <c:numRef>
              <c:f>Hárok1!$D$3:$J$3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Hárok1!$D$14:$J$14</c:f>
              <c:numCache>
                <c:formatCode>General</c:formatCode>
                <c:ptCount val="7"/>
                <c:pt idx="0">
                  <c:v>14</c:v>
                </c:pt>
                <c:pt idx="1">
                  <c:v>66</c:v>
                </c:pt>
                <c:pt idx="2">
                  <c:v>30</c:v>
                </c:pt>
                <c:pt idx="3">
                  <c:v>825</c:v>
                </c:pt>
                <c:pt idx="4">
                  <c:v>-1</c:v>
                </c:pt>
                <c:pt idx="5">
                  <c:v>-8</c:v>
                </c:pt>
                <c:pt idx="6">
                  <c:v>-29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DC3B-4257-983C-EDED47ED49AB}"/>
            </c:ext>
          </c:extLst>
        </c:ser>
        <c:marker val="1"/>
        <c:axId val="150958080"/>
        <c:axId val="150959616"/>
      </c:lineChart>
      <c:catAx>
        <c:axId val="150958080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/>
          <a:lstStyle/>
          <a:p>
            <a:pPr>
              <a:defRPr lang="sk-SK"/>
            </a:pPr>
            <a:endParaRPr lang="sk-SK"/>
          </a:p>
        </c:txPr>
        <c:crossAx val="150959616"/>
        <c:crosses val="autoZero"/>
        <c:auto val="1"/>
        <c:lblAlgn val="ctr"/>
        <c:lblOffset val="100"/>
      </c:catAx>
      <c:valAx>
        <c:axId val="150959616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txPr>
          <a:bodyPr/>
          <a:lstStyle/>
          <a:p>
            <a:pPr>
              <a:defRPr lang="sk-SK"/>
            </a:pPr>
            <a:endParaRPr lang="sk-SK"/>
          </a:p>
        </c:txPr>
        <c:crossAx val="150958080"/>
        <c:crosses val="autoZero"/>
        <c:crossBetween val="between"/>
      </c:valAx>
    </c:plotArea>
    <c:plotVisOnly val="1"/>
    <c:dispBlanksAs val="zero"/>
  </c:chart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lang="sk-SK"/>
            </a:pPr>
            <a:r>
              <a:rPr lang="sk-SK"/>
              <a:t>Vývoj</a:t>
            </a:r>
            <a:r>
              <a:rPr lang="sk-SK" baseline="0"/>
              <a:t> ukazovateľov aktivity v dňoch</a:t>
            </a:r>
            <a:endParaRPr lang="sk-SK"/>
          </a:p>
        </c:rich>
      </c:tx>
    </c:title>
    <c:plotArea>
      <c:layout/>
      <c:lineChart>
        <c:grouping val="standard"/>
        <c:ser>
          <c:idx val="0"/>
          <c:order val="0"/>
          <c:tx>
            <c:strRef>
              <c:f>Hárok2!$B$9</c:f>
              <c:strCache>
                <c:ptCount val="1"/>
                <c:pt idx="0">
                  <c:v>Doba inkasa pohľadávok</c:v>
                </c:pt>
              </c:strCache>
            </c:strRef>
          </c:tx>
          <c:cat>
            <c:numRef>
              <c:f>Hárok2!$C$3:$I$3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Hárok2!$C$9:$I$9</c:f>
              <c:numCache>
                <c:formatCode>#,##0.00</c:formatCode>
                <c:ptCount val="7"/>
                <c:pt idx="0">
                  <c:v>3.8699999999999997</c:v>
                </c:pt>
                <c:pt idx="1">
                  <c:v>2.3899999999999997</c:v>
                </c:pt>
                <c:pt idx="2">
                  <c:v>1.9000000000000001</c:v>
                </c:pt>
                <c:pt idx="3">
                  <c:v>4.4094359644110694</c:v>
                </c:pt>
                <c:pt idx="4">
                  <c:v>3.6003563203406772</c:v>
                </c:pt>
                <c:pt idx="5">
                  <c:v>3.9730804327988527</c:v>
                </c:pt>
                <c:pt idx="6">
                  <c:v>4.5424241077381211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A0AA-41E6-8C78-9F3DC83B8A46}"/>
            </c:ext>
          </c:extLst>
        </c:ser>
        <c:ser>
          <c:idx val="1"/>
          <c:order val="1"/>
          <c:tx>
            <c:strRef>
              <c:f>Hárok2!$B$10</c:f>
              <c:strCache>
                <c:ptCount val="1"/>
                <c:pt idx="0">
                  <c:v>Doba úhrady záväzkov</c:v>
                </c:pt>
              </c:strCache>
            </c:strRef>
          </c:tx>
          <c:cat>
            <c:numRef>
              <c:f>Hárok2!$C$3:$I$3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Hárok2!$C$10:$I$10</c:f>
              <c:numCache>
                <c:formatCode>#,##0.00</c:formatCode>
                <c:ptCount val="7"/>
                <c:pt idx="0">
                  <c:v>8.19</c:v>
                </c:pt>
                <c:pt idx="1">
                  <c:v>7.64</c:v>
                </c:pt>
                <c:pt idx="2">
                  <c:v>6.41</c:v>
                </c:pt>
                <c:pt idx="3">
                  <c:v>7.8847271218095054</c:v>
                </c:pt>
                <c:pt idx="4">
                  <c:v>8.0649401438286237</c:v>
                </c:pt>
                <c:pt idx="5">
                  <c:v>7.1053946596562856</c:v>
                </c:pt>
                <c:pt idx="6">
                  <c:v>9.7239256987957159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A0AA-41E6-8C78-9F3DC83B8A46}"/>
            </c:ext>
          </c:extLst>
        </c:ser>
        <c:ser>
          <c:idx val="2"/>
          <c:order val="2"/>
          <c:tx>
            <c:strRef>
              <c:f>Hárok2!$B$11</c:f>
              <c:strCache>
                <c:ptCount val="1"/>
                <c:pt idx="0">
                  <c:v>Doba obratu zásob</c:v>
                </c:pt>
              </c:strCache>
            </c:strRef>
          </c:tx>
          <c:cat>
            <c:numRef>
              <c:f>Hárok2!$C$3:$I$3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Hárok2!$C$11:$I$11</c:f>
              <c:numCache>
                <c:formatCode>#,##0.00</c:formatCode>
                <c:ptCount val="7"/>
                <c:pt idx="0">
                  <c:v>17.959999999999994</c:v>
                </c:pt>
                <c:pt idx="1">
                  <c:v>19.93</c:v>
                </c:pt>
                <c:pt idx="2">
                  <c:v>21.5</c:v>
                </c:pt>
                <c:pt idx="3">
                  <c:v>21.123581748428705</c:v>
                </c:pt>
                <c:pt idx="4">
                  <c:v>22.687739776344781</c:v>
                </c:pt>
                <c:pt idx="5">
                  <c:v>23.149538813158109</c:v>
                </c:pt>
                <c:pt idx="6">
                  <c:v>23.521957391233371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A0AA-41E6-8C78-9F3DC83B8A46}"/>
            </c:ext>
          </c:extLst>
        </c:ser>
        <c:marker val="1"/>
        <c:axId val="150991616"/>
        <c:axId val="150993152"/>
      </c:lineChart>
      <c:catAx>
        <c:axId val="150991616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/>
          <a:lstStyle/>
          <a:p>
            <a:pPr>
              <a:defRPr lang="sk-SK"/>
            </a:pPr>
            <a:endParaRPr lang="sk-SK"/>
          </a:p>
        </c:txPr>
        <c:crossAx val="150993152"/>
        <c:crosses val="autoZero"/>
        <c:auto val="1"/>
        <c:lblAlgn val="ctr"/>
        <c:lblOffset val="100"/>
      </c:catAx>
      <c:valAx>
        <c:axId val="150993152"/>
        <c:scaling>
          <c:orientation val="minMax"/>
        </c:scaling>
        <c:axPos val="l"/>
        <c:majorGridlines/>
        <c:numFmt formatCode="#,##0.00" sourceLinked="1"/>
        <c:majorTickMark val="none"/>
        <c:tickLblPos val="nextTo"/>
        <c:spPr>
          <a:ln w="9525">
            <a:noFill/>
          </a:ln>
        </c:spPr>
        <c:txPr>
          <a:bodyPr/>
          <a:lstStyle/>
          <a:p>
            <a:pPr>
              <a:defRPr lang="sk-SK"/>
            </a:pPr>
            <a:endParaRPr lang="sk-SK"/>
          </a:p>
        </c:txPr>
        <c:crossAx val="150991616"/>
        <c:crosses val="autoZero"/>
        <c:crossBetween val="between"/>
      </c:valAx>
    </c:plotArea>
    <c:legend>
      <c:legendPos val="b"/>
      <c:txPr>
        <a:bodyPr/>
        <a:lstStyle/>
        <a:p>
          <a:pPr>
            <a:defRPr lang="sk-SK"/>
          </a:pPr>
          <a:endParaRPr lang="sk-SK"/>
        </a:p>
      </c:txPr>
    </c:legend>
    <c:plotVisOnly val="1"/>
    <c:dispBlanksAs val="gap"/>
  </c:chart>
  <c:externalData r:id="rId1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view3D>
      <c:depthPercent val="100"/>
      <c:rAngAx val="1"/>
    </c:view3D>
    <c:floor>
      <c:spPr>
        <a:noFill/>
        <a:ln>
          <a:noFill/>
        </a:ln>
        <a:effectLst/>
        <a:sp3d/>
      </c:spPr>
    </c:floor>
    <c:sideWall>
      <c:spPr>
        <a:noFill/>
        <a:ln>
          <a:noFill/>
        </a:ln>
        <a:effectLst/>
        <a:sp3d/>
      </c:spPr>
    </c:sideWall>
    <c:backWall>
      <c:spPr>
        <a:noFill/>
        <a:ln>
          <a:noFill/>
        </a:ln>
        <a:effectLst/>
        <a:sp3d/>
      </c:spPr>
    </c:backWall>
    <c:plotArea>
      <c:layout/>
      <c:bar3DChart>
        <c:barDir val="col"/>
        <c:grouping val="stacked"/>
        <c:ser>
          <c:idx val="0"/>
          <c:order val="0"/>
          <c:tx>
            <c:strRef>
              <c:f>Hárok3!$B$6</c:f>
              <c:strCache>
                <c:ptCount val="1"/>
                <c:pt idx="0">
                  <c:v>Priemerný evidenčný počet pracovníkov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cat>
            <c:numRef>
              <c:f>Hárok3!$C$5:$I$5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Hárok3!$C$6:$I$6</c:f>
              <c:numCache>
                <c:formatCode>General</c:formatCode>
                <c:ptCount val="7"/>
                <c:pt idx="0">
                  <c:v>73</c:v>
                </c:pt>
                <c:pt idx="1">
                  <c:v>59</c:v>
                </c:pt>
                <c:pt idx="2">
                  <c:v>49</c:v>
                </c:pt>
                <c:pt idx="3">
                  <c:v>40</c:v>
                </c:pt>
                <c:pt idx="4">
                  <c:v>38</c:v>
                </c:pt>
                <c:pt idx="5">
                  <c:v>35</c:v>
                </c:pt>
                <c:pt idx="6">
                  <c:v>34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56A7-4052-91ED-EF2B1EA7C2BB}"/>
            </c:ext>
          </c:extLst>
        </c:ser>
        <c:shape val="box"/>
        <c:axId val="151100416"/>
        <c:axId val="151114496"/>
        <c:axId val="0"/>
      </c:bar3DChart>
      <c:catAx>
        <c:axId val="151100416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51114496"/>
        <c:crosses val="autoZero"/>
        <c:auto val="1"/>
        <c:lblAlgn val="ctr"/>
        <c:lblOffset val="100"/>
      </c:catAx>
      <c:valAx>
        <c:axId val="151114496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5110041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plotArea>
      <c:layout/>
      <c:barChart>
        <c:barDir val="col"/>
        <c:grouping val="clustered"/>
        <c:ser>
          <c:idx val="0"/>
          <c:order val="0"/>
          <c:tx>
            <c:strRef>
              <c:f>Hárok3!$B$8</c:f>
              <c:strCache>
                <c:ptCount val="1"/>
                <c:pt idx="0">
                  <c:v>Základné (tarifné) mzdy za prácu spolu v tis.  €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cat>
            <c:numRef>
              <c:f>Hárok3!$C$5:$I$5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Hárok3!$C$8:$I$8</c:f>
              <c:numCache>
                <c:formatCode>General</c:formatCode>
                <c:ptCount val="7"/>
                <c:pt idx="0">
                  <c:v>498</c:v>
                </c:pt>
                <c:pt idx="1">
                  <c:v>399</c:v>
                </c:pt>
                <c:pt idx="2">
                  <c:v>320</c:v>
                </c:pt>
                <c:pt idx="3">
                  <c:v>340</c:v>
                </c:pt>
                <c:pt idx="4">
                  <c:v>340</c:v>
                </c:pt>
                <c:pt idx="5">
                  <c:v>237</c:v>
                </c:pt>
                <c:pt idx="6">
                  <c:v>288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774B-4AD1-991E-C7D9704F411E}"/>
            </c:ext>
          </c:extLst>
        </c:ser>
        <c:gapWidth val="219"/>
        <c:overlap val="-27"/>
        <c:axId val="151196416"/>
        <c:axId val="151197952"/>
      </c:barChart>
      <c:catAx>
        <c:axId val="151196416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51197952"/>
        <c:crosses val="autoZero"/>
        <c:auto val="1"/>
        <c:lblAlgn val="ctr"/>
        <c:lblOffset val="100"/>
      </c:catAx>
      <c:valAx>
        <c:axId val="151197952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5119641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plotArea>
      <c:layout/>
      <c:barChart>
        <c:barDir val="col"/>
        <c:grouping val="clustered"/>
        <c:ser>
          <c:idx val="0"/>
          <c:order val="0"/>
          <c:tx>
            <c:strRef>
              <c:f>Hárok3!$B$11</c:f>
              <c:strCache>
                <c:ptCount val="1"/>
                <c:pt idx="0">
                  <c:v>Priemerné povinné odvody na zamestnanca a mesiac v €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cat>
            <c:numRef>
              <c:f>Hárok3!$C$5:$I$5</c:f>
              <c:numCache>
                <c:formatCode>General</c:formatCode>
                <c:ptCount val="7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</c:numCache>
            </c:numRef>
          </c:cat>
          <c:val>
            <c:numRef>
              <c:f>Hárok3!$C$11:$I$11</c:f>
              <c:numCache>
                <c:formatCode>General</c:formatCode>
                <c:ptCount val="7"/>
                <c:pt idx="0">
                  <c:v>182.93</c:v>
                </c:pt>
                <c:pt idx="1">
                  <c:v>223.1</c:v>
                </c:pt>
                <c:pt idx="2">
                  <c:v>223.15</c:v>
                </c:pt>
                <c:pt idx="3">
                  <c:v>224.18</c:v>
                </c:pt>
                <c:pt idx="4">
                  <c:v>278.5</c:v>
                </c:pt>
                <c:pt idx="5">
                  <c:v>246.39000000000001</c:v>
                </c:pt>
                <c:pt idx="6">
                  <c:v>252.84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FE39-4294-B521-25411AA1EB39}"/>
            </c:ext>
          </c:extLst>
        </c:ser>
        <c:gapWidth val="219"/>
        <c:overlap val="-27"/>
        <c:axId val="151230720"/>
        <c:axId val="151236608"/>
      </c:barChart>
      <c:catAx>
        <c:axId val="151230720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51236608"/>
        <c:crosses val="autoZero"/>
        <c:auto val="1"/>
        <c:lblAlgn val="ctr"/>
        <c:lblOffset val="100"/>
      </c:catAx>
      <c:valAx>
        <c:axId val="151236608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5123072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76DB65-8D52-4531-AFBA-403EA3842B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1088</Words>
  <Characters>6202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</vt:lpstr>
    </vt:vector>
  </TitlesOfParts>
  <Company>topos</Company>
  <LinksUpToDate>false</LinksUpToDate>
  <CharactersWithSpaces>7276</CharactersWithSpaces>
  <SharedDoc>false</SharedDoc>
  <HLinks>
    <vt:vector size="36" baseType="variant">
      <vt:variant>
        <vt:i4>6750412</vt:i4>
      </vt:variant>
      <vt:variant>
        <vt:i4>15</vt:i4>
      </vt:variant>
      <vt:variant>
        <vt:i4>0</vt:i4>
      </vt:variant>
      <vt:variant>
        <vt:i4>5</vt:i4>
      </vt:variant>
      <vt:variant>
        <vt:lpwstr>http://www.orsk.sk/hladaj_osoba.asp?PR=Michalcová&amp;MENO=Zuzana&amp;SID=0&amp;T=f0&amp;R=0</vt:lpwstr>
      </vt:variant>
      <vt:variant>
        <vt:lpwstr/>
      </vt:variant>
      <vt:variant>
        <vt:i4>15269979</vt:i4>
      </vt:variant>
      <vt:variant>
        <vt:i4>12</vt:i4>
      </vt:variant>
      <vt:variant>
        <vt:i4>0</vt:i4>
      </vt:variant>
      <vt:variant>
        <vt:i4>5</vt:i4>
      </vt:variant>
      <vt:variant>
        <vt:lpwstr>http://www.orsr.sk/hladaj_osoba.asp?PR=Mošať&amp;MENO=Ján&amp;SID=0&amp;T=f0&amp;R=0</vt:lpwstr>
      </vt:variant>
      <vt:variant>
        <vt:lpwstr/>
      </vt:variant>
      <vt:variant>
        <vt:i4>8323516</vt:i4>
      </vt:variant>
      <vt:variant>
        <vt:i4>9</vt:i4>
      </vt:variant>
      <vt:variant>
        <vt:i4>0</vt:i4>
      </vt:variant>
      <vt:variant>
        <vt:i4>5</vt:i4>
      </vt:variant>
      <vt:variant>
        <vt:lpwstr>http://www.orsr.sk/hladaj_osoba.asp?PR=Štanglovič&amp;MENO=Ľudovít&amp;SID=0&amp;T=f0&amp;R=0</vt:lpwstr>
      </vt:variant>
      <vt:variant>
        <vt:lpwstr/>
      </vt:variant>
      <vt:variant>
        <vt:i4>3342431</vt:i4>
      </vt:variant>
      <vt:variant>
        <vt:i4>6</vt:i4>
      </vt:variant>
      <vt:variant>
        <vt:i4>0</vt:i4>
      </vt:variant>
      <vt:variant>
        <vt:i4>5</vt:i4>
      </vt:variant>
      <vt:variant>
        <vt:lpwstr>http://www.orsk.sk/hladaj_osoba.asp?PR=Závodský&amp;MENO=Peter&amp;SID=0&amp;T=f0&amp;R=0</vt:lpwstr>
      </vt:variant>
      <vt:variant>
        <vt:lpwstr/>
      </vt:variant>
      <vt:variant>
        <vt:i4>8323516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http://www.orsr.sk/hladaj_osoba.asp?PR=Štanglovič&amp;MENO=Ľudovít&amp;SID=0&amp;T=f0&amp;R=0</vt:lpwstr>
      </vt:variant>
      <vt:variant>
        <vt:lpwstr/>
      </vt:variant>
      <vt:variant>
        <vt:i4>2031724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http://www.orsr.sk/hladaj_osoba.asp?PR=Belej&amp;MENO=Ľuboš&amp;SID=0&amp;T=f0&amp;R=0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topos</dc:creator>
  <cp:lastModifiedBy>fpc3</cp:lastModifiedBy>
  <cp:revision>2</cp:revision>
  <cp:lastPrinted>2016-04-24T17:05:00Z</cp:lastPrinted>
  <dcterms:created xsi:type="dcterms:W3CDTF">2017-10-03T11:37:00Z</dcterms:created>
  <dcterms:modified xsi:type="dcterms:W3CDTF">2017-10-03T11:37:00Z</dcterms:modified>
</cp:coreProperties>
</file>