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77AE" w:rsidRDefault="001F77AE" w:rsidP="00BE61B2">
      <w:pPr>
        <w:rPr>
          <w:b/>
        </w:rPr>
      </w:pPr>
    </w:p>
    <w:p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rsidR="00A23465" w:rsidRPr="00A23465" w:rsidRDefault="00A23465" w:rsidP="00BE61B2">
      <w:pPr>
        <w:rPr>
          <w:rFonts w:ascii="Book Antiqua" w:hAnsi="Book Antiqua"/>
          <w:b/>
          <w:sz w:val="28"/>
          <w:szCs w:val="28"/>
        </w:rPr>
      </w:pPr>
    </w:p>
    <w:p w:rsidR="00E751B7" w:rsidRDefault="00BE61B2" w:rsidP="00954F38">
      <w:pPr>
        <w:pStyle w:val="Odsekzoznamu"/>
        <w:numPr>
          <w:ilvl w:val="0"/>
          <w:numId w:val="5"/>
        </w:numPr>
        <w:rPr>
          <w:rFonts w:ascii="Book Antiqua" w:hAnsi="Book Antiqua"/>
          <w:b/>
        </w:rPr>
      </w:pPr>
      <w:r w:rsidRPr="00A23465">
        <w:rPr>
          <w:rFonts w:ascii="Book Antiqua" w:hAnsi="Book Antiqua"/>
          <w:b/>
        </w:rPr>
        <w:t xml:space="preserve"> Názov spoločnosti  a jej sídlo :  </w:t>
      </w:r>
    </w:p>
    <w:p w:rsidR="00954F38" w:rsidRPr="00954F38" w:rsidRDefault="00954F38" w:rsidP="00954F38">
      <w:pPr>
        <w:ind w:left="360"/>
        <w:rPr>
          <w:rFonts w:ascii="Book Antiqua" w:hAnsi="Book Antiqua"/>
          <w:b/>
        </w:rPr>
      </w:pPr>
      <w:r>
        <w:rPr>
          <w:rFonts w:ascii="Book Antiqua" w:hAnsi="Book Antiqua"/>
          <w:b/>
        </w:rPr>
        <w:t>MERC Design, s.r.o.</w:t>
      </w:r>
    </w:p>
    <w:p w:rsidR="00E751B7" w:rsidRPr="009B2293" w:rsidRDefault="00954F38" w:rsidP="009B2293">
      <w:pPr>
        <w:spacing w:after="0" w:line="360" w:lineRule="auto"/>
        <w:rPr>
          <w:rFonts w:ascii="Book Antiqua" w:hAnsi="Book Antiqua"/>
          <w:sz w:val="24"/>
          <w:szCs w:val="24"/>
        </w:rPr>
      </w:pPr>
      <w:r>
        <w:rPr>
          <w:rFonts w:ascii="Book Antiqua" w:hAnsi="Book Antiqua"/>
          <w:sz w:val="24"/>
          <w:szCs w:val="24"/>
        </w:rPr>
        <w:t>Internátna 18, 974 04  Banská Bystrica</w:t>
      </w:r>
      <w:r w:rsidR="00F859DD">
        <w:rPr>
          <w:rFonts w:ascii="Book Antiqua" w:hAnsi="Book Antiqua"/>
          <w:sz w:val="24"/>
          <w:szCs w:val="24"/>
        </w:rPr>
        <w:t xml:space="preserve"> </w:t>
      </w:r>
    </w:p>
    <w:p w:rsidR="00FF3845" w:rsidRDefault="00FF384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rsidR="00A23465" w:rsidRPr="00A23465" w:rsidRDefault="00A23465" w:rsidP="00A23465">
      <w:pPr>
        <w:pStyle w:val="Zkladntext"/>
        <w:ind w:left="0"/>
        <w:rPr>
          <w:rFonts w:ascii="Book Antiqua" w:hAnsi="Book Antiqua"/>
          <w:sz w:val="22"/>
          <w:szCs w:val="22"/>
        </w:rPr>
      </w:pPr>
      <w:r w:rsidRPr="00A23465">
        <w:rPr>
          <w:rFonts w:ascii="Book Antiqua" w:hAnsi="Book Antiqua"/>
          <w:sz w:val="22"/>
          <w:szCs w:val="22"/>
        </w:rPr>
        <w:t xml:space="preserve">Spoločnosť </w:t>
      </w:r>
      <w:r w:rsidR="00954F38">
        <w:rPr>
          <w:rFonts w:ascii="Book Antiqua" w:hAnsi="Book Antiqua"/>
          <w:sz w:val="22"/>
          <w:szCs w:val="22"/>
        </w:rPr>
        <w:t>MERC Design,</w:t>
      </w:r>
      <w:r w:rsidR="00F859DD">
        <w:rPr>
          <w:rFonts w:ascii="Book Antiqua" w:hAnsi="Book Antiqua"/>
          <w:sz w:val="22"/>
          <w:szCs w:val="22"/>
        </w:rPr>
        <w:t xml:space="preserve"> s.r.o. </w:t>
      </w:r>
      <w:r w:rsidRPr="00A23465">
        <w:rPr>
          <w:rFonts w:ascii="Book Antiqua" w:hAnsi="Book Antiqua"/>
          <w:sz w:val="22"/>
          <w:szCs w:val="22"/>
        </w:rPr>
        <w:t xml:space="preserve">(ďalej len Spoločnosť), bola založená </w:t>
      </w:r>
      <w:r w:rsidR="00954F38">
        <w:rPr>
          <w:rFonts w:ascii="Book Antiqua" w:hAnsi="Book Antiqua"/>
          <w:sz w:val="22"/>
          <w:szCs w:val="22"/>
        </w:rPr>
        <w:t>30.11.2013</w:t>
      </w:r>
      <w:r w:rsidRPr="00A23465">
        <w:rPr>
          <w:rFonts w:ascii="Book Antiqua" w:hAnsi="Book Antiqua"/>
          <w:sz w:val="22"/>
          <w:szCs w:val="22"/>
        </w:rPr>
        <w:t xml:space="preserve"> a do obchodného registra bola zapísaná </w:t>
      </w:r>
      <w:r w:rsidR="00954F38">
        <w:rPr>
          <w:rFonts w:ascii="Book Antiqua" w:hAnsi="Book Antiqua"/>
          <w:sz w:val="22"/>
          <w:szCs w:val="22"/>
        </w:rPr>
        <w:t>30.11.2013</w:t>
      </w:r>
      <w:r w:rsidRPr="00A23465">
        <w:rPr>
          <w:rFonts w:ascii="Book Antiqua" w:hAnsi="Book Antiqua"/>
          <w:sz w:val="22"/>
          <w:szCs w:val="22"/>
        </w:rPr>
        <w:t xml:space="preserve"> (Obchodný register Okresného súdu </w:t>
      </w:r>
      <w:r w:rsidR="00F859DD">
        <w:rPr>
          <w:rFonts w:ascii="Book Antiqua" w:hAnsi="Book Antiqua"/>
          <w:sz w:val="22"/>
          <w:szCs w:val="22"/>
        </w:rPr>
        <w:t>Žilina</w:t>
      </w:r>
      <w:r w:rsidRPr="00A23465">
        <w:rPr>
          <w:rFonts w:ascii="Book Antiqua" w:hAnsi="Book Antiqua"/>
          <w:sz w:val="22"/>
          <w:szCs w:val="22"/>
        </w:rPr>
        <w:t xml:space="preserve">, oddiel s.r.o., vložka </w:t>
      </w:r>
      <w:r w:rsidR="00F859DD">
        <w:rPr>
          <w:rStyle w:val="apple-converted-space"/>
        </w:rPr>
        <w:t> </w:t>
      </w:r>
      <w:r w:rsidR="00954F38">
        <w:rPr>
          <w:rStyle w:val="ra"/>
          <w:rFonts w:ascii="Arial CE" w:hAnsi="Arial CE" w:cs="Arial CE"/>
          <w:bCs/>
          <w:color w:val="000000"/>
          <w:sz w:val="20"/>
        </w:rPr>
        <w:t>25771</w:t>
      </w:r>
      <w:r w:rsidR="00F859DD" w:rsidRPr="00F859DD">
        <w:rPr>
          <w:rStyle w:val="ra"/>
          <w:rFonts w:ascii="Arial CE" w:hAnsi="Arial CE" w:cs="Arial CE"/>
          <w:bCs/>
          <w:color w:val="000000"/>
          <w:sz w:val="20"/>
        </w:rPr>
        <w:t>/</w:t>
      </w:r>
      <w:r w:rsidR="00954F38">
        <w:rPr>
          <w:rStyle w:val="ra"/>
          <w:rFonts w:ascii="Arial CE" w:hAnsi="Arial CE" w:cs="Arial CE"/>
          <w:bCs/>
          <w:color w:val="000000"/>
          <w:sz w:val="20"/>
        </w:rPr>
        <w:t>S</w:t>
      </w:r>
      <w:r w:rsidRPr="00A23465">
        <w:rPr>
          <w:rFonts w:ascii="Book Antiqua" w:hAnsi="Book Antiqua"/>
          <w:sz w:val="22"/>
          <w:szCs w:val="22"/>
        </w:rPr>
        <w:t xml:space="preserve">). </w:t>
      </w:r>
    </w:p>
    <w:p w:rsidR="00A23465" w:rsidRDefault="00A2346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p>
    <w:p w:rsidR="00A23465" w:rsidRPr="00A23465" w:rsidRDefault="00A23465" w:rsidP="00A23465">
      <w:pPr>
        <w:pStyle w:val="Nadpis2"/>
        <w:spacing w:before="0" w:after="0" w:line="240" w:lineRule="auto"/>
        <w:jc w:val="left"/>
        <w:rPr>
          <w:rFonts w:ascii="Book Antiqua" w:hAnsi="Book Antiqua"/>
          <w:i w:val="0"/>
          <w:sz w:val="22"/>
          <w:szCs w:val="22"/>
        </w:rPr>
      </w:pPr>
    </w:p>
    <w:p w:rsidR="00A23465" w:rsidRDefault="00A23465" w:rsidP="005D1C9C">
      <w:pPr>
        <w:rPr>
          <w:rFonts w:ascii="Book Antiqua" w:hAnsi="Book Antiqua"/>
          <w:sz w:val="16"/>
          <w:szCs w:val="16"/>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201</w:t>
      </w:r>
      <w:r w:rsidR="008D4529">
        <w:rPr>
          <w:rFonts w:ascii="Book Antiqua" w:hAnsi="Book Antiqua"/>
          <w:b w:val="0"/>
          <w:i w:val="0"/>
          <w:sz w:val="22"/>
          <w:szCs w:val="22"/>
        </w:rPr>
        <w:t>6</w:t>
      </w:r>
      <w:r w:rsidR="009B2293">
        <w:rPr>
          <w:rFonts w:ascii="Book Antiqua" w:hAnsi="Book Antiqua"/>
          <w:b w:val="0"/>
          <w:i w:val="0"/>
          <w:sz w:val="22"/>
          <w:szCs w:val="22"/>
        </w:rPr>
        <w:t xml:space="preserve"> je </w:t>
      </w:r>
      <w:r w:rsidR="00954F38">
        <w:rPr>
          <w:rFonts w:ascii="Book Antiqua" w:hAnsi="Book Antiqua"/>
          <w:b w:val="0"/>
          <w:i w:val="0"/>
          <w:sz w:val="22"/>
          <w:szCs w:val="22"/>
        </w:rPr>
        <w:t>0</w:t>
      </w:r>
      <w:r w:rsidR="009B2293">
        <w:rPr>
          <w:rFonts w:ascii="Book Antiqua" w:hAnsi="Book Antiqua"/>
          <w:b w:val="0"/>
          <w:i w:val="0"/>
          <w:sz w:val="22"/>
          <w:szCs w:val="22"/>
        </w:rPr>
        <w:t xml:space="preserve">. </w:t>
      </w:r>
    </w:p>
    <w:p w:rsidR="00A23465" w:rsidRDefault="00A23465" w:rsidP="00F859DD">
      <w:pPr>
        <w:pStyle w:val="Nadpis2"/>
        <w:spacing w:before="0" w:after="0" w:line="240" w:lineRule="auto"/>
        <w:jc w:val="left"/>
        <w:rPr>
          <w:rFonts w:ascii="Book Antiqua" w:hAnsi="Book Antiqua"/>
          <w:sz w:val="16"/>
          <w:szCs w:val="16"/>
        </w:rPr>
      </w:pPr>
      <w:r w:rsidRPr="00A23465">
        <w:rPr>
          <w:rFonts w:ascii="Book Antiqua" w:hAnsi="Book Antiqua"/>
          <w:b w:val="0"/>
          <w:i w:val="0"/>
          <w:sz w:val="22"/>
          <w:szCs w:val="22"/>
        </w:rPr>
        <w:t xml:space="preserve">Účtovná jednotka </w:t>
      </w:r>
      <w:r w:rsidR="00954F38">
        <w:rPr>
          <w:rFonts w:ascii="Book Antiqua" w:hAnsi="Book Antiqua"/>
          <w:b w:val="0"/>
          <w:i w:val="0"/>
          <w:sz w:val="22"/>
          <w:szCs w:val="22"/>
        </w:rPr>
        <w:t>ne</w:t>
      </w:r>
      <w:r w:rsidRPr="00A23465">
        <w:rPr>
          <w:rFonts w:ascii="Book Antiqua" w:hAnsi="Book Antiqua"/>
          <w:b w:val="0"/>
          <w:i w:val="0"/>
          <w:sz w:val="22"/>
          <w:szCs w:val="22"/>
        </w:rPr>
        <w:t xml:space="preserve">má uzatvorené pracovnoprávne vzťahy so zamestnancami na základe pracovnej </w:t>
      </w:r>
      <w:r w:rsidR="009B2293">
        <w:rPr>
          <w:rFonts w:ascii="Book Antiqua" w:hAnsi="Book Antiqua"/>
          <w:b w:val="0"/>
          <w:i w:val="0"/>
          <w:sz w:val="22"/>
          <w:szCs w:val="22"/>
        </w:rPr>
        <w:t>zmluvy</w:t>
      </w:r>
      <w:r w:rsidR="00F859DD">
        <w:rPr>
          <w:rFonts w:ascii="Book Antiqua" w:hAnsi="Book Antiqua"/>
          <w:b w:val="0"/>
          <w:i w:val="0"/>
          <w:sz w:val="22"/>
          <w:szCs w:val="22"/>
        </w:rPr>
        <w:t xml:space="preserve">. </w:t>
      </w:r>
    </w:p>
    <w:p w:rsidR="00BE61B2" w:rsidRPr="00A23465" w:rsidRDefault="00BE61B2">
      <w:pPr>
        <w:rPr>
          <w:rFonts w:ascii="Book Antiqua" w:hAnsi="Book Antiqua"/>
        </w:rPr>
      </w:pPr>
    </w:p>
    <w:p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rsidR="00E751B7" w:rsidRPr="002E5D8A" w:rsidRDefault="00E751B7" w:rsidP="00E751B7">
      <w:pPr>
        <w:pStyle w:val="Zkladntext"/>
        <w:ind w:left="450"/>
        <w:rPr>
          <w:rFonts w:ascii="Book Antiqua" w:hAnsi="Book Antiqua"/>
          <w:sz w:val="22"/>
          <w:szCs w:val="22"/>
        </w:rPr>
      </w:pP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poistenia majetku určeného na prevádzkovú činnosť a iného poistného súvisiaceho s prevádzkovou činnosťou. Takéto poistenie sa od 1. januára 2011 účtuje na účet 548 – Ostatné náklady na hospodársku činnosť;</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rsidR="00E751B7" w:rsidRPr="00A23465" w:rsidRDefault="00E751B7" w:rsidP="00E751B7">
      <w:pPr>
        <w:pStyle w:val="Zkladntext"/>
        <w:ind w:left="709"/>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Uvedené zmeny nemajú vplyv na výsledok hospodárenia vykázaný v predchádzajúcich účtovných obdobiach, keďže sa aplikujú prospektívne na účtovné prípady, ktoré vznikli po 1. januári 2011.</w:t>
      </w:r>
    </w:p>
    <w:p w:rsidR="00E751B7" w:rsidRPr="00A23465" w:rsidRDefault="00E751B7" w:rsidP="00E751B7">
      <w:pPr>
        <w:pStyle w:val="Zkladntext"/>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 xml:space="preserve">V súvislosti so zmenou účtovania zákazkovej výroby, zákazkovej výstavby nehnuteľnosti a obstarania nehnuteľnosti na účel ďalšieho predaja boli do súvahy a výkazu ziskov a strát doplnené nové účty. </w:t>
      </w:r>
    </w:p>
    <w:p w:rsidR="00E751B7" w:rsidRPr="00A23465" w:rsidRDefault="00E751B7" w:rsidP="00E751B7">
      <w:pPr>
        <w:pStyle w:val="Zkladntext"/>
        <w:ind w:left="0"/>
        <w:rPr>
          <w:rFonts w:ascii="Book Antiqua" w:hAnsi="Book Antiqua"/>
        </w:rPr>
      </w:pPr>
    </w:p>
    <w:p w:rsidR="002E5D8A" w:rsidRDefault="002E5D8A" w:rsidP="002E5D8A">
      <w:pPr>
        <w:pStyle w:val="Zkladntext"/>
      </w:pPr>
    </w:p>
    <w:p w:rsidR="002E5D8A" w:rsidRDefault="002E5D8A" w:rsidP="002E5D8A">
      <w:pPr>
        <w:pStyle w:val="Zkladntext"/>
        <w:ind w:left="0"/>
      </w:pPr>
    </w:p>
    <w:p w:rsidR="00A54AAB" w:rsidRDefault="00A54AAB" w:rsidP="002E5D8A">
      <w:pPr>
        <w:pStyle w:val="Zkladntext"/>
        <w:ind w:left="0"/>
      </w:pPr>
    </w:p>
    <w:p w:rsidR="00F859DD" w:rsidRPr="00A54AAB" w:rsidRDefault="00F859DD" w:rsidP="002E5D8A">
      <w:pPr>
        <w:pStyle w:val="Zkladntext"/>
        <w:ind w:left="0"/>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Dlhodobý nehmotný majetok a dlhodobý hmotný majetok</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nehmotného majetku nie sú od 1. júla 2010 úroky z cudzích zdrojov, ktoré vznikli do momentu zaradenia dlhodobého nehmotného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E5D8A" w:rsidRDefault="002E5D8A" w:rsidP="002E5D8A">
      <w:pPr>
        <w:pStyle w:val="Zkladntext"/>
      </w:pPr>
    </w:p>
    <w:p w:rsidR="002E5D8A" w:rsidRDefault="002E5D8A" w:rsidP="002E5D8A">
      <w:pPr>
        <w:pStyle w:val="Zkladntext"/>
      </w:pPr>
    </w:p>
    <w:tbl>
      <w:tblPr>
        <w:tblW w:w="0" w:type="auto"/>
        <w:tblInd w:w="456" w:type="dxa"/>
        <w:tblCellMar>
          <w:left w:w="30" w:type="dxa"/>
          <w:right w:w="30" w:type="dxa"/>
        </w:tblCellMar>
        <w:tblLook w:val="0000"/>
      </w:tblPr>
      <w:tblGrid>
        <w:gridCol w:w="2901"/>
        <w:gridCol w:w="417"/>
        <w:gridCol w:w="1551"/>
        <w:gridCol w:w="222"/>
        <w:gridCol w:w="1817"/>
        <w:gridCol w:w="222"/>
        <w:gridCol w:w="1695"/>
      </w:tblGrid>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br w:type="page"/>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01"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417"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544"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817"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69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Softvér</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E5D8A" w:rsidRDefault="002E5D8A" w:rsidP="002E5D8A">
      <w:pPr>
        <w:pStyle w:val="Zkladntext"/>
        <w:rPr>
          <w:rFonts w:ascii="Book Antiqua" w:hAnsi="Book Antiqua"/>
          <w:sz w:val="22"/>
          <w:szCs w:val="22"/>
        </w:rPr>
      </w:pPr>
    </w:p>
    <w:p w:rsidR="00F859DD" w:rsidRDefault="00F859DD" w:rsidP="002E5D8A">
      <w:pPr>
        <w:pStyle w:val="Zkladntext"/>
        <w:rPr>
          <w:rFonts w:ascii="Book Antiqua" w:hAnsi="Book Antiqua"/>
          <w:sz w:val="22"/>
          <w:szCs w:val="22"/>
        </w:rPr>
      </w:pPr>
    </w:p>
    <w:p w:rsidR="00F859DD" w:rsidRDefault="00F859DD" w:rsidP="002E5D8A">
      <w:pPr>
        <w:pStyle w:val="Zkladntext"/>
        <w:rPr>
          <w:rFonts w:ascii="Book Antiqua" w:hAnsi="Book Antiqua"/>
          <w:sz w:val="22"/>
          <w:szCs w:val="22"/>
        </w:rPr>
      </w:pPr>
    </w:p>
    <w:p w:rsidR="00F859DD" w:rsidRDefault="00F859DD" w:rsidP="002E5D8A">
      <w:pPr>
        <w:pStyle w:val="Zkladntext"/>
        <w:rPr>
          <w:rFonts w:ascii="Book Antiqua" w:hAnsi="Book Antiqua"/>
          <w:sz w:val="22"/>
          <w:szCs w:val="22"/>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76"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42"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98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118" w:type="dxa"/>
            <w:gridSpan w:val="2"/>
            <w:tcBorders>
              <w:top w:val="single" w:sz="4" w:space="0" w:color="auto"/>
            </w:tcBorders>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Default="002E5D8A" w:rsidP="002E5D8A">
      <w:pPr>
        <w:pStyle w:val="Pismenka"/>
        <w:numPr>
          <w:ilvl w:val="0"/>
          <w:numId w:val="0"/>
        </w:num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výroba sa vykazuje použitím metódy stupňa dokončenia zákazky (angl. percentage-of-completion-method).</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rsidR="002E5D8A" w:rsidRDefault="002E5D8A"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Náklady budúcich období a príjmy budúcich období</w:t>
      </w:r>
    </w:p>
    <w:p w:rsidR="002E5D8A" w:rsidRDefault="002E5D8A" w:rsidP="002E5D8A">
      <w:pPr>
        <w:pStyle w:val="Zkladntext"/>
        <w:rPr>
          <w:rFonts w:ascii="Book Antiqua" w:hAnsi="Book Antiqua"/>
          <w:sz w:val="22"/>
          <w:szCs w:val="22"/>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rsidR="00F859DD" w:rsidRDefault="00F859DD" w:rsidP="002E5D8A">
      <w:pPr>
        <w:pStyle w:val="Zkladntext"/>
        <w:rPr>
          <w:rFonts w:ascii="Book Antiqua" w:hAnsi="Book Antiqua"/>
          <w:sz w:val="22"/>
          <w:szCs w:val="22"/>
        </w:rPr>
      </w:pPr>
    </w:p>
    <w:p w:rsidR="00F859DD" w:rsidRPr="00F859DD" w:rsidRDefault="00F859DD"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Rezervy</w:t>
      </w:r>
    </w:p>
    <w:p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rsidR="002E5D8A" w:rsidRPr="00A7208C" w:rsidRDefault="002E5D8A" w:rsidP="002E5D8A">
      <w:pPr>
        <w:pStyle w:val="Pismenka"/>
        <w:numPr>
          <w:ilvl w:val="0"/>
          <w:numId w:val="0"/>
        </w:numPr>
        <w:ind w:left="360"/>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E5D8A" w:rsidRPr="00A7208C" w:rsidRDefault="002E5D8A" w:rsidP="002E5D8A">
      <w:pPr>
        <w:pStyle w:val="Pismenka"/>
        <w:numPr>
          <w:ilvl w:val="0"/>
          <w:numId w:val="0"/>
        </w:numPr>
        <w:ind w:left="360"/>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 xml:space="preserve">(12) </w:t>
      </w:r>
      <w:r w:rsidR="002E5D8A" w:rsidRPr="00A7208C">
        <w:rPr>
          <w:rFonts w:ascii="Book Antiqua" w:hAnsi="Book Antiqua"/>
          <w:sz w:val="22"/>
          <w:szCs w:val="22"/>
        </w:rPr>
        <w:t>Výdavky budúcich období a výnosy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2E5D8A" w:rsidRDefault="002E5D8A" w:rsidP="00A7208C">
      <w:pPr>
        <w:pStyle w:val="Zkladntext"/>
        <w:rPr>
          <w:rFonts w:ascii="Book Antiqua" w:hAnsi="Book Antiqua"/>
          <w:sz w:val="22"/>
          <w:szCs w:val="22"/>
        </w:rPr>
      </w:pPr>
      <w:r w:rsidRPr="00A7208C">
        <w:rPr>
          <w:rFonts w:ascii="Book Antiqua" w:hAnsi="Book Antiqua"/>
          <w:sz w:val="22"/>
          <w:szCs w:val="22"/>
        </w:rPr>
        <w:t xml:space="preserve">Dotácie na obstaranie dlhodobého hmotného majetku a dlhodobého nehmotného majetku sa najskôr vykazujú ako výnosy budúcich období a do výkazu ziskov a strát sa rozpúšťajú v časovej a vecnej súvislostiso zaúčtovaním odpisov z tohto dlhodobého majetku. </w:t>
      </w:r>
    </w:p>
    <w:p w:rsidR="00A7208C" w:rsidRPr="00A7208C" w:rsidRDefault="00A7208C" w:rsidP="00A7208C">
      <w:pPr>
        <w:pStyle w:val="Zkladntext"/>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(1</w:t>
      </w:r>
      <w:r>
        <w:rPr>
          <w:rFonts w:ascii="Book Antiqua" w:hAnsi="Book Antiqua"/>
          <w:sz w:val="22"/>
          <w:szCs w:val="22"/>
        </w:rPr>
        <w:t>4</w:t>
      </w:r>
      <w:r w:rsidRPr="00A7208C">
        <w:rPr>
          <w:rFonts w:ascii="Book Antiqua" w:hAnsi="Book Antiqua"/>
          <w:sz w:val="22"/>
          <w:szCs w:val="22"/>
        </w:rPr>
        <w:t xml:space="preserve">) </w:t>
      </w:r>
      <w:r w:rsidR="002E5D8A" w:rsidRPr="00A7208C">
        <w:rPr>
          <w:rFonts w:ascii="Book Antiqua" w:hAnsi="Book Antiqua"/>
          <w:sz w:val="22"/>
          <w:szCs w:val="22"/>
        </w:rPr>
        <w:t>Prenájom (lízing)</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2E5D8A" w:rsidRPr="00A7208C" w:rsidRDefault="002E5D8A"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sa ku dňu, ku ktorému sa zostavuje účtovná závierka, na menu euro už neprepočítavajú. </w:t>
      </w:r>
    </w:p>
    <w:p w:rsidR="00A54AAB" w:rsidRPr="00A54AAB" w:rsidRDefault="00A54AAB"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Výnosy</w:t>
      </w:r>
    </w:p>
    <w:p w:rsidR="009B2293" w:rsidRDefault="002E5D8A" w:rsidP="002E5D8A">
      <w:pPr>
        <w:pStyle w:val="Zkladntext"/>
        <w:rPr>
          <w:rFonts w:ascii="Book Antiqua" w:hAnsi="Book Antiqua"/>
          <w:sz w:val="22"/>
          <w:szCs w:val="22"/>
        </w:rPr>
      </w:pPr>
      <w:r w:rsidRPr="00A7208C">
        <w:rPr>
          <w:rFonts w:ascii="Book Antiqua" w:hAnsi="Book Antiqua"/>
          <w:sz w:val="22"/>
          <w:szCs w:val="22"/>
        </w:rP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2E5D8A" w:rsidRPr="00A23465" w:rsidRDefault="009B2293">
      <w:pPr>
        <w:rPr>
          <w:rFonts w:ascii="Book Antiqua" w:hAnsi="Book Antiqua"/>
        </w:rPr>
      </w:pPr>
      <w:r>
        <w:rPr>
          <w:rFonts w:ascii="Book Antiqua" w:hAnsi="Book Antiqua"/>
        </w:rPr>
        <w:br w:type="page"/>
      </w:r>
    </w:p>
    <w:p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lastRenderedPageBreak/>
        <w:t xml:space="preserve">Čl. III Informácie, ktoré vysvetľujú a dopĺňajú súvahu a výkaz ziskov a strát </w:t>
      </w:r>
    </w:p>
    <w:p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p w:rsidR="00EC1CF9" w:rsidRDefault="008D4529" w:rsidP="00EC1CF9">
      <w:pPr>
        <w:pStyle w:val="Zkladntext"/>
      </w:pPr>
      <w:r>
        <w:object w:dxaOrig="9592" w:dyaOrig="59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98.15pt;height:321.5pt" o:ole="" o:preferrelative="f">
            <v:imagedata r:id="rId8" o:title=""/>
            <o:lock v:ext="edit" aspectratio="f"/>
          </v:shape>
          <o:OLEObject Type="Embed" ProgID="Excel.Sheet.8" ShapeID="_x0000_i1027" DrawAspect="Content" ObjectID="_1570700229" r:id="rId9"/>
        </w:object>
      </w:r>
    </w:p>
    <w:p w:rsidR="00EC1CF9" w:rsidRDefault="00EC1CF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lastRenderedPageBreak/>
        <w:t xml:space="preserve">Informácia o </w:t>
      </w:r>
      <w:r>
        <w:rPr>
          <w:rFonts w:ascii="Book Antiqua" w:hAnsi="Book Antiqua"/>
          <w:b/>
        </w:rPr>
        <w:t>náklado</w:t>
      </w:r>
      <w:r w:rsidRPr="00EC1CF9">
        <w:rPr>
          <w:rFonts w:ascii="Book Antiqua" w:hAnsi="Book Antiqua"/>
          <w:b/>
        </w:rPr>
        <w:t>ch</w:t>
      </w:r>
    </w:p>
    <w:p w:rsidR="00085DCC" w:rsidRDefault="00954F38" w:rsidP="00085DCC">
      <w:pPr>
        <w:pStyle w:val="Zkladntext"/>
      </w:pPr>
      <w:r>
        <w:object w:dxaOrig="9931" w:dyaOrig="5995">
          <v:shape id="_x0000_i1025" type="#_x0000_t75" style="width:534.15pt;height:335.7pt" o:ole="" o:preferrelative="f">
            <v:imagedata r:id="rId10" o:title=""/>
            <o:lock v:ext="edit" aspectratio="f"/>
          </v:shape>
          <o:OLEObject Type="Embed" ProgID="Excel.Sheet.8" ShapeID="_x0000_i1025" DrawAspect="Content" ObjectID="_1570700230" r:id="rId11"/>
        </w:object>
      </w: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p>
    <w:p w:rsidR="00085DCC" w:rsidRDefault="00085DCC" w:rsidP="00085DCC">
      <w:pPr>
        <w:pStyle w:val="Zkladntext"/>
      </w:pPr>
    </w:p>
    <w:p w:rsidR="00085DCC" w:rsidRPr="00F14DD7" w:rsidRDefault="00085DCC" w:rsidP="00085DCC">
      <w:pPr>
        <w:pStyle w:val="Zkladntext"/>
        <w:rPr>
          <w:rFonts w:ascii="Book Antiqua" w:hAnsi="Book Antiqua"/>
          <w:sz w:val="22"/>
          <w:szCs w:val="22"/>
        </w:rPr>
      </w:pPr>
      <w:r w:rsidRPr="00F14DD7">
        <w:rPr>
          <w:rFonts w:ascii="Book Antiqua" w:hAnsi="Book Antiqua"/>
          <w:sz w:val="22"/>
          <w:szCs w:val="22"/>
        </w:rPr>
        <w:t>Štruktúra záväzkov (okrem bankových úverov) podľa zostatkovej doby splatnosti je uvedená v nasledujúcom prehľade:</w:t>
      </w:r>
    </w:p>
    <w:p w:rsidR="00F14DD7" w:rsidRDefault="008D4529" w:rsidP="00085DCC">
      <w:pPr>
        <w:spacing w:after="0"/>
        <w:ind w:left="426"/>
        <w:jc w:val="both"/>
      </w:pPr>
      <w:r>
        <w:object w:dxaOrig="9770" w:dyaOrig="2614">
          <v:shape id="_x0000_i1028" type="#_x0000_t75" style="width:510.7pt;height:143.15pt" o:ole="" o:preferrelative="f">
            <v:imagedata r:id="rId12" o:title=""/>
            <o:lock v:ext="edit" aspectratio="f"/>
          </v:shape>
          <o:OLEObject Type="Embed" ProgID="Excel.Sheet.8" ShapeID="_x0000_i1028" DrawAspect="Content" ObjectID="_1570700231" r:id="rId13"/>
        </w:object>
      </w:r>
    </w:p>
    <w:p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rsidR="00F14DD7" w:rsidRDefault="00F14DD7" w:rsidP="00085DCC">
      <w:pPr>
        <w:spacing w:after="0"/>
        <w:ind w:left="426"/>
        <w:jc w:val="both"/>
      </w:pPr>
    </w:p>
    <w:p w:rsidR="00F14DD7" w:rsidRPr="00F14DD7" w:rsidRDefault="00F14DD7" w:rsidP="00F14DD7">
      <w:pPr>
        <w:pStyle w:val="Zkladntext"/>
        <w:rPr>
          <w:rFonts w:ascii="Book Antiqua" w:hAnsi="Book Antiqua"/>
          <w:b/>
          <w:sz w:val="22"/>
          <w:szCs w:val="22"/>
        </w:rPr>
      </w:pPr>
      <w:r w:rsidRPr="00F14DD7">
        <w:rPr>
          <w:rFonts w:ascii="Book Antiqua" w:hAnsi="Book Antiqua"/>
          <w:b/>
          <w:sz w:val="22"/>
          <w:szCs w:val="22"/>
        </w:rPr>
        <w:t>Bankové úvery spoločnosti:</w:t>
      </w:r>
    </w:p>
    <w:p w:rsidR="00F14DD7" w:rsidRPr="00F14DD7" w:rsidRDefault="00C027AC" w:rsidP="00F14DD7">
      <w:pPr>
        <w:pStyle w:val="Zkladntext"/>
        <w:rPr>
          <w:rFonts w:ascii="Book Antiqua" w:hAnsi="Book Antiqua"/>
          <w:sz w:val="22"/>
          <w:szCs w:val="22"/>
        </w:rPr>
      </w:pPr>
      <w:r>
        <w:rPr>
          <w:rFonts w:ascii="Book Antiqua" w:hAnsi="Book Antiqua"/>
          <w:sz w:val="22"/>
          <w:szCs w:val="22"/>
        </w:rPr>
        <w:t xml:space="preserve">Spoločnosť </w:t>
      </w:r>
      <w:r w:rsidR="0071412E">
        <w:rPr>
          <w:rFonts w:ascii="Book Antiqua" w:hAnsi="Book Antiqua"/>
          <w:sz w:val="22"/>
          <w:szCs w:val="22"/>
        </w:rPr>
        <w:t>ne</w:t>
      </w:r>
      <w:r>
        <w:rPr>
          <w:rFonts w:ascii="Book Antiqua" w:hAnsi="Book Antiqua"/>
          <w:sz w:val="22"/>
          <w:szCs w:val="22"/>
        </w:rPr>
        <w:t>čerpá</w:t>
      </w:r>
      <w:r w:rsidR="0071412E">
        <w:rPr>
          <w:rFonts w:ascii="Book Antiqua" w:hAnsi="Book Antiqua"/>
          <w:sz w:val="22"/>
          <w:szCs w:val="22"/>
        </w:rPr>
        <w:t xml:space="preserve"> žiadny</w:t>
      </w:r>
      <w:r>
        <w:rPr>
          <w:rFonts w:ascii="Book Antiqua" w:hAnsi="Book Antiqua"/>
          <w:sz w:val="22"/>
          <w:szCs w:val="22"/>
        </w:rPr>
        <w:t xml:space="preserve"> bankový úver</w:t>
      </w:r>
      <w:bookmarkStart w:id="0" w:name="_GoBack"/>
      <w:bookmarkEnd w:id="0"/>
    </w:p>
    <w:p w:rsidR="00F14DD7" w:rsidRPr="00F14DD7" w:rsidRDefault="00F14DD7" w:rsidP="00BE61B2">
      <w:pPr>
        <w:jc w:val="both"/>
        <w:rPr>
          <w:rFonts w:ascii="Book Antiqua" w:hAnsi="Book Antiqua"/>
          <w:b/>
        </w:rPr>
      </w:pPr>
    </w:p>
    <w:p w:rsidR="00EC1CF9" w:rsidRDefault="00EC1CF9" w:rsidP="00BE61B2">
      <w:pPr>
        <w:jc w:val="both"/>
        <w:rPr>
          <w:rFonts w:ascii="Book Antiqua" w:hAnsi="Book Antiqua"/>
          <w:b/>
        </w:rPr>
      </w:pP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lastRenderedPageBreak/>
        <w:t>Informácia o vlastných akciách</w:t>
      </w:r>
    </w:p>
    <w:p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rPr>
        <w:t>Vlastné akcie spoločnosť nemá.</w:t>
      </w: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rsidR="00001E1F" w:rsidRDefault="00001E1F" w:rsidP="00B6656B">
      <w:pPr>
        <w:spacing w:after="0"/>
        <w:ind w:left="360"/>
        <w:jc w:val="both"/>
        <w:rPr>
          <w:rFonts w:ascii="Book Antiqua" w:hAnsi="Book Antiqua"/>
        </w:rPr>
      </w:pPr>
      <w:r>
        <w:rPr>
          <w:rFonts w:ascii="Book Antiqua" w:hAnsi="Book Antiqua"/>
        </w:rPr>
        <w:t>Žiadne nemá.</w:t>
      </w:r>
    </w:p>
    <w:p w:rsidR="00D52B8D" w:rsidRDefault="00D52B8D" w:rsidP="00B6656B">
      <w:pPr>
        <w:spacing w:after="0"/>
        <w:ind w:left="360"/>
        <w:jc w:val="both"/>
        <w:rPr>
          <w:rFonts w:ascii="Book Antiqua" w:hAnsi="Book Antiqua"/>
        </w:rPr>
      </w:pPr>
    </w:p>
    <w:p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rsidR="00001E1F" w:rsidRDefault="00001E1F" w:rsidP="00B6656B">
      <w:pPr>
        <w:spacing w:after="0"/>
        <w:ind w:left="360"/>
        <w:jc w:val="both"/>
        <w:rPr>
          <w:rFonts w:ascii="Book Antiqua" w:hAnsi="Book Antiqua"/>
        </w:rPr>
      </w:pPr>
    </w:p>
    <w:p w:rsidR="00001E1F" w:rsidRDefault="00001E1F" w:rsidP="00001E1F">
      <w:pPr>
        <w:pStyle w:val="Zkladntext"/>
        <w:ind w:left="425"/>
      </w:pPr>
      <w:r>
        <w:object w:dxaOrig="10917" w:dyaOrig="2476">
          <v:shape id="_x0000_i1026" type="#_x0000_t75" style="width:539.15pt;height:136.45pt" o:ole="" o:preferrelative="f">
            <v:imagedata r:id="rId14" o:title=""/>
            <o:lock v:ext="edit" aspectratio="f"/>
          </v:shape>
          <o:OLEObject Type="Embed" ProgID="Excel.Sheet.8" ShapeID="_x0000_i1026" DrawAspect="Content" ObjectID="_1570700232" r:id="rId15"/>
        </w:object>
      </w:r>
    </w:p>
    <w:p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rsidR="00D52B8D" w:rsidRDefault="00D52B8D" w:rsidP="00B6656B">
      <w:pPr>
        <w:spacing w:after="0"/>
        <w:ind w:left="360"/>
        <w:jc w:val="both"/>
        <w:rPr>
          <w:rFonts w:ascii="Book Antiqua" w:hAnsi="Book Antiqua"/>
        </w:rPr>
      </w:pPr>
    </w:p>
    <w:p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rsidR="00D52B8D" w:rsidRPr="00B6656B" w:rsidRDefault="00D52B8D" w:rsidP="00B6656B">
      <w:pPr>
        <w:spacing w:after="0"/>
        <w:ind w:left="360"/>
        <w:jc w:val="both"/>
        <w:rPr>
          <w:rFonts w:ascii="Book Antiqua" w:hAnsi="Book Antiqua"/>
        </w:rPr>
      </w:pPr>
    </w:p>
    <w:p w:rsidR="00F14DD7" w:rsidRDefault="00F14DD7" w:rsidP="00BE61B2">
      <w:pPr>
        <w:jc w:val="both"/>
        <w:rPr>
          <w:rFonts w:ascii="Book Antiqua" w:hAnsi="Book Antiqua"/>
          <w:b/>
        </w:rPr>
      </w:pPr>
    </w:p>
    <w:p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p>
    <w:p w:rsidR="00FF3845" w:rsidRDefault="00FF3845" w:rsidP="00FF3845">
      <w:pPr>
        <w:spacing w:after="0"/>
        <w:ind w:left="360"/>
        <w:jc w:val="both"/>
        <w:rPr>
          <w:rFonts w:ascii="Book Antiqua" w:hAnsi="Book Antiqua"/>
        </w:rPr>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rsidR="00FF3845" w:rsidRDefault="00FF3845" w:rsidP="00FF3845">
      <w:pPr>
        <w:spacing w:after="0"/>
        <w:ind w:left="360"/>
        <w:jc w:val="both"/>
        <w:rPr>
          <w:rFonts w:ascii="Book Antiqua" w:hAnsi="Book Antiqua"/>
        </w:rPr>
      </w:pPr>
      <w:r>
        <w:rPr>
          <w:rFonts w:ascii="Book Antiqua" w:hAnsi="Book Antiqua"/>
        </w:rPr>
        <w:t>Spoločnosť nemá podmienený majetok</w:t>
      </w:r>
    </w:p>
    <w:p w:rsidR="00FF3845" w:rsidRDefault="00FF3845" w:rsidP="00FF3845">
      <w:pPr>
        <w:pStyle w:val="Zkladntext"/>
        <w:ind w:left="0"/>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rsidR="00FF3845" w:rsidRDefault="00FF3845" w:rsidP="00FF3845">
      <w:pPr>
        <w:spacing w:after="0"/>
        <w:ind w:left="360"/>
        <w:jc w:val="both"/>
        <w:rPr>
          <w:rFonts w:ascii="Book Antiqua" w:hAnsi="Book Antiqua"/>
        </w:rPr>
      </w:pPr>
      <w:r>
        <w:rPr>
          <w:rFonts w:ascii="Book Antiqua" w:hAnsi="Book Antiqua"/>
        </w:rPr>
        <w:t>Spoločnosť nemá podmienené záväzky</w:t>
      </w:r>
    </w:p>
    <w:p w:rsidR="00FF3845" w:rsidRDefault="00FF3845" w:rsidP="00FF3845">
      <w:pPr>
        <w:spacing w:after="0"/>
        <w:ind w:left="360"/>
        <w:jc w:val="both"/>
        <w:rPr>
          <w:rFonts w:ascii="Book Antiqua" w:hAnsi="Book Antiqua"/>
        </w:rPr>
      </w:pPr>
    </w:p>
    <w:p w:rsidR="00FF3845" w:rsidRPr="00FF3845" w:rsidRDefault="00FF3845" w:rsidP="00FF3845">
      <w:pPr>
        <w:pStyle w:val="Zkladntext"/>
        <w:ind w:left="0"/>
      </w:pPr>
    </w:p>
    <w:p w:rsidR="00FF3845" w:rsidRPr="00A23465" w:rsidRDefault="00FF3845" w:rsidP="00BE61B2">
      <w:pPr>
        <w:jc w:val="both"/>
        <w:rPr>
          <w:rFonts w:ascii="Book Antiqua" w:hAnsi="Book Antiqua"/>
          <w:b/>
        </w:rPr>
      </w:pPr>
    </w:p>
    <w:p w:rsidR="005D1C9C" w:rsidRPr="00A23465" w:rsidRDefault="005D1C9C" w:rsidP="00BE61B2">
      <w:pPr>
        <w:jc w:val="both"/>
        <w:rPr>
          <w:rFonts w:ascii="Book Antiqua" w:hAnsi="Book Antiqua"/>
          <w:b/>
        </w:rPr>
      </w:pPr>
    </w:p>
    <w:sectPr w:rsidR="005D1C9C" w:rsidRPr="00A23465" w:rsidSect="005D1C9C">
      <w:headerReference w:type="default" r:id="rId16"/>
      <w:footerReference w:type="default" r:id="rId17"/>
      <w:pgSz w:w="11906" w:h="16838"/>
      <w:pgMar w:top="567" w:right="424" w:bottom="426" w:left="993" w:header="708" w:footer="56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4053" w:rsidRDefault="00194053" w:rsidP="00BE61B2">
      <w:pPr>
        <w:spacing w:after="0" w:line="240" w:lineRule="auto"/>
      </w:pPr>
      <w:r>
        <w:separator/>
      </w:r>
    </w:p>
  </w:endnote>
  <w:endnote w:type="continuationSeparator" w:id="1">
    <w:p w:rsidR="00194053" w:rsidRDefault="00194053" w:rsidP="00BE61B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D1C9C" w:rsidRDefault="005D1C9C">
    <w:pPr>
      <w:pStyle w:val="Pta"/>
    </w:pPr>
    <w:r>
      <w:t xml:space="preserve">Strana | </w:t>
    </w:r>
    <w:r w:rsidR="008516B2">
      <w:fldChar w:fldCharType="begin"/>
    </w:r>
    <w:r>
      <w:instrText>PAGE   \* MERGEFORMAT</w:instrText>
    </w:r>
    <w:r w:rsidR="008516B2">
      <w:fldChar w:fldCharType="separate"/>
    </w:r>
    <w:r w:rsidR="008D4529">
      <w:rPr>
        <w:noProof/>
      </w:rPr>
      <w:t>1</w:t>
    </w:r>
    <w:r w:rsidR="008516B2">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4053" w:rsidRDefault="00194053" w:rsidP="00BE61B2">
      <w:pPr>
        <w:spacing w:after="0" w:line="240" w:lineRule="auto"/>
      </w:pPr>
      <w:r>
        <w:separator/>
      </w:r>
    </w:p>
  </w:footnote>
  <w:footnote w:type="continuationSeparator" w:id="1">
    <w:p w:rsidR="00194053" w:rsidRDefault="00194053" w:rsidP="00BE61B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W w:w="0" w:type="auto"/>
      <w:tblLook w:val="04A0"/>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051A53" w:rsidRPr="00051A53" w:rsidTr="00E91949">
      <w:trPr>
        <w:trHeight w:val="340"/>
      </w:trPr>
      <w:tc>
        <w:tcPr>
          <w:tcW w:w="2802" w:type="dxa"/>
          <w:vAlign w:val="center"/>
        </w:tcPr>
        <w:p w:rsidR="00051A53" w:rsidRPr="00E91949" w:rsidRDefault="00051A53" w:rsidP="005D1C9C">
          <w:pPr>
            <w:pStyle w:val="Zkladntext"/>
            <w:ind w:left="0" w:right="-143"/>
            <w:contextualSpacing/>
            <w:rPr>
              <w:b/>
              <w:color w:val="000000" w:themeColor="text1"/>
              <w:sz w:val="24"/>
              <w:szCs w:val="24"/>
            </w:rPr>
          </w:pPr>
          <w:r w:rsidRPr="00E91949">
            <w:rPr>
              <w:b/>
              <w:color w:val="000000" w:themeColor="text1"/>
              <w:sz w:val="24"/>
              <w:szCs w:val="24"/>
            </w:rPr>
            <w:t xml:space="preserve">Poznámky Úč MÚJ 3 – 01 </w:t>
          </w:r>
        </w:p>
      </w:tc>
      <w:tc>
        <w:tcPr>
          <w:tcW w:w="680" w:type="dxa"/>
          <w:tcBorders>
            <w:top w:val="nil"/>
            <w:bottom w:val="nil"/>
          </w:tcBorders>
          <w:vAlign w:val="center"/>
        </w:tcPr>
        <w:p w:rsidR="00051A53" w:rsidRPr="00F859DD" w:rsidRDefault="00051A53" w:rsidP="005D1C9C">
          <w:pPr>
            <w:pStyle w:val="Zkladntext"/>
            <w:ind w:left="0" w:right="-143"/>
            <w:contextualSpacing/>
            <w:rPr>
              <w:b/>
              <w:color w:val="000000" w:themeColor="text1"/>
              <w:sz w:val="24"/>
            </w:rPr>
          </w:pPr>
          <w:r w:rsidRPr="00F859DD">
            <w:rPr>
              <w:b/>
              <w:color w:val="000000" w:themeColor="text1"/>
              <w:sz w:val="24"/>
            </w:rPr>
            <w:t>IČO</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7</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1</w:t>
          </w:r>
        </w:p>
      </w:tc>
      <w:tc>
        <w:tcPr>
          <w:tcW w:w="680" w:type="dxa"/>
          <w:tcBorders>
            <w:top w:val="nil"/>
            <w:bottom w:val="nil"/>
          </w:tcBorders>
          <w:vAlign w:val="center"/>
        </w:tcPr>
        <w:p w:rsidR="00051A53" w:rsidRPr="00F859DD" w:rsidRDefault="00051A53" w:rsidP="005D1C9C">
          <w:pPr>
            <w:pStyle w:val="Zkladntext"/>
            <w:ind w:left="0" w:right="-143"/>
            <w:contextualSpacing/>
            <w:rPr>
              <w:b/>
              <w:color w:val="000000" w:themeColor="text1"/>
              <w:sz w:val="24"/>
            </w:rPr>
          </w:pPr>
          <w:r w:rsidRPr="00F859DD">
            <w:rPr>
              <w:b/>
              <w:color w:val="000000" w:themeColor="text1"/>
              <w:sz w:val="24"/>
            </w:rPr>
            <w:t>DIČ</w:t>
          </w:r>
        </w:p>
      </w:tc>
      <w:tc>
        <w:tcPr>
          <w:tcW w:w="340" w:type="dxa"/>
          <w:vAlign w:val="center"/>
        </w:tcPr>
        <w:p w:rsidR="00051A53" w:rsidRPr="00F859DD" w:rsidRDefault="00F859DD"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F859DD" w:rsidRDefault="00F859DD"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F859DD" w:rsidRDefault="00954F38" w:rsidP="005D1C9C">
          <w:pPr>
            <w:pStyle w:val="Zkladntext"/>
            <w:ind w:left="0" w:right="-143"/>
            <w:contextualSpacing/>
            <w:rPr>
              <w:color w:val="000000" w:themeColor="text1"/>
              <w:sz w:val="24"/>
            </w:rPr>
          </w:pPr>
          <w:r>
            <w:rPr>
              <w:color w:val="000000" w:themeColor="text1"/>
              <w:sz w:val="24"/>
            </w:rPr>
            <w:t>4</w:t>
          </w:r>
        </w:p>
      </w:tc>
    </w:tr>
  </w:tbl>
  <w:p w:rsidR="00BE61B2" w:rsidRPr="00051A53" w:rsidRDefault="00BE61B2" w:rsidP="00051A53">
    <w:pPr>
      <w:pStyle w:val="Zkladntext"/>
      <w:ind w:left="0" w:right="-143"/>
      <w:contextualSpacing/>
      <w:rPr>
        <w:color w:val="808080" w:themeColor="background1" w:themeShade="80"/>
        <w:sz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7"/>
  </w:num>
  <w:num w:numId="2">
    <w:abstractNumId w:val="1"/>
  </w:num>
  <w:num w:numId="3">
    <w:abstractNumId w:val="0"/>
  </w:num>
  <w:num w:numId="4">
    <w:abstractNumId w:val="6"/>
  </w:num>
  <w:num w:numId="5">
    <w:abstractNumId w:val="4"/>
  </w:num>
  <w:num w:numId="6">
    <w:abstractNumId w:val="15"/>
  </w:num>
  <w:num w:numId="7">
    <w:abstractNumId w:val="3"/>
  </w:num>
  <w:num w:numId="8">
    <w:abstractNumId w:val="9"/>
  </w:num>
  <w:num w:numId="9">
    <w:abstractNumId w:val="12"/>
  </w:num>
  <w:num w:numId="10">
    <w:abstractNumId w:val="16"/>
  </w:num>
  <w:num w:numId="11">
    <w:abstractNumId w:val="13"/>
  </w:num>
  <w:num w:numId="12">
    <w:abstractNumId w:val="15"/>
  </w:num>
  <w:num w:numId="13">
    <w:abstractNumId w:val="14"/>
  </w:num>
  <w:num w:numId="14">
    <w:abstractNumId w:val="2"/>
  </w:num>
  <w:num w:numId="15">
    <w:abstractNumId w:val="11"/>
  </w:num>
  <w:num w:numId="16">
    <w:abstractNumId w:val="5"/>
  </w:num>
  <w:num w:numId="17">
    <w:abstractNumId w:val="10"/>
  </w:num>
  <w:num w:numId="1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hdrShapeDefaults>
    <o:shapedefaults v:ext="edit" spidmax="8194"/>
  </w:hdrShapeDefaults>
  <w:footnotePr>
    <w:footnote w:id="0"/>
    <w:footnote w:id="1"/>
  </w:footnotePr>
  <w:endnotePr>
    <w:endnote w:id="0"/>
    <w:endnote w:id="1"/>
  </w:endnotePr>
  <w:compat/>
  <w:rsids>
    <w:rsidRoot w:val="00BE61B2"/>
    <w:rsid w:val="00001E1F"/>
    <w:rsid w:val="00051A53"/>
    <w:rsid w:val="00085DCC"/>
    <w:rsid w:val="001910C9"/>
    <w:rsid w:val="00194053"/>
    <w:rsid w:val="001F77AE"/>
    <w:rsid w:val="00250F80"/>
    <w:rsid w:val="002E5D8A"/>
    <w:rsid w:val="00402678"/>
    <w:rsid w:val="004F187D"/>
    <w:rsid w:val="005D1C9C"/>
    <w:rsid w:val="0071412E"/>
    <w:rsid w:val="008516B2"/>
    <w:rsid w:val="008D4529"/>
    <w:rsid w:val="00954F38"/>
    <w:rsid w:val="00956FFD"/>
    <w:rsid w:val="009B2293"/>
    <w:rsid w:val="00A05148"/>
    <w:rsid w:val="00A150BE"/>
    <w:rsid w:val="00A23465"/>
    <w:rsid w:val="00A35CAA"/>
    <w:rsid w:val="00A475FD"/>
    <w:rsid w:val="00A54AAB"/>
    <w:rsid w:val="00A7208C"/>
    <w:rsid w:val="00AA7E94"/>
    <w:rsid w:val="00AF6A6C"/>
    <w:rsid w:val="00B06118"/>
    <w:rsid w:val="00B6656B"/>
    <w:rsid w:val="00BE61B2"/>
    <w:rsid w:val="00C027AC"/>
    <w:rsid w:val="00D52B8D"/>
    <w:rsid w:val="00D563D7"/>
    <w:rsid w:val="00E751B7"/>
    <w:rsid w:val="00E91949"/>
    <w:rsid w:val="00EC1CF9"/>
    <w:rsid w:val="00ED3BF8"/>
    <w:rsid w:val="00F14DD7"/>
    <w:rsid w:val="00F859DD"/>
    <w:rsid w:val="00FF384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06118"/>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 w:type="character" w:customStyle="1" w:styleId="apple-converted-space">
    <w:name w:val="apple-converted-space"/>
    <w:basedOn w:val="Predvolenpsmoodseku"/>
    <w:rsid w:val="00F859DD"/>
  </w:style>
  <w:style w:type="character" w:customStyle="1" w:styleId="ra">
    <w:name w:val="ra"/>
    <w:basedOn w:val="Predvolenpsmoodseku"/>
    <w:rsid w:val="00F859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lang w:val="x-none"/>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lang w:val="x-none"/>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lang w:val="x-none"/>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lang w:val="x-none"/>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lang w:val="x-none"/>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 w:type="character" w:customStyle="1" w:styleId="apple-converted-space">
    <w:name w:val="apple-converted-space"/>
    <w:basedOn w:val="Predvolenpsmoodseku"/>
    <w:rsid w:val="00F859DD"/>
  </w:style>
  <w:style w:type="character" w:customStyle="1" w:styleId="ra">
    <w:name w:val="ra"/>
    <w:basedOn w:val="Predvolenpsmoodseku"/>
    <w:rsid w:val="00F859D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Pracovn__h_rok_programu_Microsoft_Office_Excel_97-20033.xls"/><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Pracovn__h_rok_programu_Microsoft_Office_Excel_97-20032.xls"/><Relationship Id="rId5" Type="http://schemas.openxmlformats.org/officeDocument/2006/relationships/webSettings" Target="webSettings.xml"/><Relationship Id="rId15" Type="http://schemas.openxmlformats.org/officeDocument/2006/relationships/oleObject" Target="embeddings/Pracovn__h_rok_programu_Microsoft_Office_Excel_97-20034.xls"/><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Pracovn__h_rok_programu_Microsoft_Office_Excel_97-20031.xls"/><Relationship Id="rId14" Type="http://schemas.openxmlformats.org/officeDocument/2006/relationships/image" Target="media/image4.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A1948-FC66-4FC4-B8BB-8BEF4340E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1839</Words>
  <Characters>10486</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Barca</cp:lastModifiedBy>
  <cp:revision>2</cp:revision>
  <cp:lastPrinted>2015-03-13T10:12:00Z</cp:lastPrinted>
  <dcterms:created xsi:type="dcterms:W3CDTF">2017-10-28T10:51:00Z</dcterms:created>
  <dcterms:modified xsi:type="dcterms:W3CDTF">2017-10-28T10:51:00Z</dcterms:modified>
</cp:coreProperties>
</file>