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7AC8" w:rsidRDefault="00DA7AC8" w:rsidP="00DA7AC8">
      <w:pPr>
        <w:pStyle w:val="Vchodzie"/>
        <w:pBdr>
          <w:top w:val="single" w:sz="4" w:space="0" w:color="00000A"/>
          <w:left w:val="single" w:sz="4" w:space="0" w:color="00000A"/>
          <w:bottom w:val="single" w:sz="4" w:space="0" w:color="00000A"/>
          <w:right w:val="single" w:sz="4" w:space="0" w:color="00000A"/>
        </w:pBdr>
        <w:tabs>
          <w:tab w:val="center" w:pos="3897"/>
          <w:tab w:val="left" w:pos="5811"/>
          <w:tab w:val="right" w:pos="7937"/>
        </w:tabs>
        <w:spacing w:after="120"/>
        <w:ind w:left="-142" w:right="142"/>
        <w:jc w:val="center"/>
      </w:pPr>
    </w:p>
    <w:p w:rsidR="00DA7AC8" w:rsidRDefault="00DA7AC8" w:rsidP="00DA7AC8">
      <w:pPr>
        <w:pStyle w:val="Vchodzie"/>
        <w:pBdr>
          <w:top w:val="single" w:sz="4" w:space="0" w:color="00000A"/>
          <w:left w:val="single" w:sz="4" w:space="0" w:color="00000A"/>
          <w:bottom w:val="single" w:sz="4" w:space="0" w:color="00000A"/>
          <w:right w:val="single" w:sz="4" w:space="0" w:color="00000A"/>
        </w:pBdr>
        <w:tabs>
          <w:tab w:val="center" w:pos="3897"/>
          <w:tab w:val="left" w:pos="5811"/>
          <w:tab w:val="right" w:pos="7937"/>
        </w:tabs>
        <w:spacing w:after="120"/>
        <w:ind w:left="-142" w:right="142"/>
        <w:jc w:val="center"/>
      </w:pPr>
      <w:r>
        <w:rPr>
          <w:b/>
        </w:rPr>
        <w:t>POZNÁMKY K ÚČTOVNEJ ZÁV</w:t>
      </w:r>
      <w:r w:rsidR="002426E1">
        <w:rPr>
          <w:b/>
        </w:rPr>
        <w:t>IERKE  ZOSTAVENEJ K 31. júlu</w:t>
      </w:r>
      <w:r>
        <w:rPr>
          <w:b/>
        </w:rPr>
        <w:t xml:space="preserve"> 201</w:t>
      </w:r>
      <w:r w:rsidR="002426E1">
        <w:rPr>
          <w:b/>
        </w:rPr>
        <w:t>7</w:t>
      </w:r>
    </w:p>
    <w:p w:rsidR="009F61B1" w:rsidRPr="00A87CD4" w:rsidRDefault="009F61B1" w:rsidP="009F61B1">
      <w:pPr>
        <w:tabs>
          <w:tab w:val="left" w:pos="3375"/>
        </w:tabs>
        <w:jc w:val="both"/>
        <w:rPr>
          <w:rFonts w:asciiTheme="minorHAnsi" w:hAnsiTheme="minorHAnsi"/>
          <w:sz w:val="20"/>
        </w:rPr>
      </w:pPr>
      <w:r w:rsidRPr="00A87CD4">
        <w:rPr>
          <w:rFonts w:asciiTheme="minorHAnsi" w:hAnsiTheme="minorHAnsi"/>
          <w:sz w:val="20"/>
        </w:rPr>
        <w:tab/>
      </w:r>
    </w:p>
    <w:p w:rsidR="009F61B1" w:rsidRPr="00E57406" w:rsidRDefault="009F61B1" w:rsidP="009F61B1">
      <w:pPr>
        <w:pStyle w:val="Default"/>
        <w:jc w:val="center"/>
        <w:rPr>
          <w:rFonts w:asciiTheme="minorHAnsi" w:hAnsiTheme="minorHAnsi"/>
          <w:b/>
          <w:bCs/>
          <w:color w:val="auto"/>
          <w:sz w:val="22"/>
          <w:szCs w:val="22"/>
        </w:rPr>
      </w:pPr>
      <w:r w:rsidRPr="00E57406">
        <w:rPr>
          <w:rFonts w:asciiTheme="minorHAnsi" w:hAnsiTheme="minorHAnsi"/>
          <w:b/>
          <w:bCs/>
          <w:color w:val="auto"/>
          <w:sz w:val="22"/>
          <w:szCs w:val="22"/>
        </w:rPr>
        <w:t>I</w:t>
      </w:r>
      <w:r w:rsidR="00DA7AC8">
        <w:rPr>
          <w:rFonts w:asciiTheme="minorHAnsi" w:hAnsiTheme="minorHAnsi"/>
          <w:b/>
          <w:bCs/>
          <w:color w:val="auto"/>
          <w:sz w:val="22"/>
          <w:szCs w:val="22"/>
        </w:rPr>
        <w:t xml:space="preserve">. </w:t>
      </w:r>
      <w:r>
        <w:rPr>
          <w:rFonts w:asciiTheme="minorHAnsi" w:hAnsiTheme="minorHAnsi"/>
          <w:b/>
          <w:bCs/>
          <w:color w:val="auto"/>
          <w:sz w:val="22"/>
          <w:szCs w:val="22"/>
        </w:rPr>
        <w:t>VŠEOBECNÉ INFORMÁCIE</w:t>
      </w:r>
    </w:p>
    <w:p w:rsidR="00C839EE" w:rsidRDefault="00C839EE" w:rsidP="00C839EE">
      <w:pPr>
        <w:pStyle w:val="Default"/>
      </w:pPr>
    </w:p>
    <w:p w:rsidR="009F61B1" w:rsidRPr="007C1F18" w:rsidRDefault="009F61B1" w:rsidP="009F61B1">
      <w:pPr>
        <w:pStyle w:val="Default"/>
        <w:rPr>
          <w:rFonts w:asciiTheme="minorHAnsi" w:hAnsiTheme="minorHAnsi"/>
          <w:b/>
          <w:color w:val="auto"/>
          <w:sz w:val="22"/>
          <w:szCs w:val="22"/>
        </w:rPr>
      </w:pPr>
      <w:r w:rsidRPr="007C1F18">
        <w:rPr>
          <w:rFonts w:asciiTheme="minorHAnsi" w:hAnsiTheme="minorHAnsi"/>
          <w:b/>
          <w:color w:val="auto"/>
          <w:sz w:val="22"/>
          <w:szCs w:val="22"/>
        </w:rPr>
        <w:t>(1.)  Informácie o účtovnej jednotke</w:t>
      </w:r>
    </w:p>
    <w:p w:rsidR="009F61B1" w:rsidRPr="00976B58" w:rsidRDefault="009F61B1" w:rsidP="009F61B1">
      <w:pPr>
        <w:pStyle w:val="Default"/>
        <w:rPr>
          <w:rFonts w:asciiTheme="minorHAnsi" w:hAnsiTheme="minorHAnsi"/>
          <w:color w:val="990099"/>
          <w:sz w:val="20"/>
          <w:szCs w:val="20"/>
        </w:rPr>
      </w:pPr>
    </w:p>
    <w:p w:rsidR="009F61B1" w:rsidRPr="00976B58" w:rsidRDefault="009F61B1" w:rsidP="009F61B1">
      <w:pPr>
        <w:pStyle w:val="Odsekzoznamu"/>
        <w:ind w:left="0"/>
        <w:rPr>
          <w:rFonts w:asciiTheme="minorHAnsi" w:hAnsiTheme="minorHAnsi" w:cs="Arial"/>
          <w:sz w:val="20"/>
          <w:szCs w:val="20"/>
        </w:rPr>
      </w:pPr>
      <w:r w:rsidRPr="00976B58">
        <w:rPr>
          <w:rFonts w:asciiTheme="minorHAnsi" w:hAnsiTheme="minorHAnsi" w:cs="Calibri"/>
          <w:bCs/>
          <w:sz w:val="20"/>
          <w:szCs w:val="20"/>
        </w:rPr>
        <w:t>a) Základné informácie o účtovnej jednotke:</w:t>
      </w:r>
    </w:p>
    <w:tbl>
      <w:tblPr>
        <w:tblW w:w="9272" w:type="dxa"/>
        <w:tblInd w:w="60" w:type="dxa"/>
        <w:tblCellMar>
          <w:left w:w="70" w:type="dxa"/>
          <w:right w:w="70" w:type="dxa"/>
        </w:tblCellMar>
        <w:tblLook w:val="04A0"/>
      </w:tblPr>
      <w:tblGrid>
        <w:gridCol w:w="2772"/>
        <w:gridCol w:w="6500"/>
      </w:tblGrid>
      <w:tr w:rsidR="009F61B1" w:rsidRPr="00976B58"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976B58" w:rsidRDefault="00EC4941" w:rsidP="006B0E20">
            <w:pPr>
              <w:rPr>
                <w:rFonts w:asciiTheme="minorHAnsi" w:hAnsiTheme="minorHAnsi"/>
                <w:color w:val="000000"/>
                <w:sz w:val="20"/>
                <w:szCs w:val="20"/>
              </w:rPr>
            </w:pPr>
            <w:r>
              <w:rPr>
                <w:rFonts w:asciiTheme="minorHAnsi" w:hAnsiTheme="minorHAnsi"/>
                <w:color w:val="000000"/>
                <w:sz w:val="20"/>
                <w:szCs w:val="20"/>
              </w:rPr>
              <w:t>HG-LOGISTIC SK s.r.o.</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EC4941" w:rsidP="006B0E20">
            <w:pPr>
              <w:rPr>
                <w:rFonts w:asciiTheme="minorHAnsi" w:hAnsiTheme="minorHAnsi"/>
                <w:color w:val="000000"/>
                <w:sz w:val="20"/>
                <w:szCs w:val="20"/>
              </w:rPr>
            </w:pPr>
            <w:r>
              <w:rPr>
                <w:rFonts w:asciiTheme="minorHAnsi" w:hAnsiTheme="minorHAnsi"/>
                <w:color w:val="000000"/>
                <w:sz w:val="20"/>
                <w:szCs w:val="20"/>
              </w:rPr>
              <w:t>PRI SKLADOCH 1, 940 01 NOVÉ ZÁMKY</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sz w:val="20"/>
                <w:szCs w:val="20"/>
              </w:rPr>
            </w:pPr>
            <w:r w:rsidRPr="00976B58">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F73D6F" w:rsidP="006B0E20">
            <w:pPr>
              <w:rPr>
                <w:rFonts w:asciiTheme="minorHAnsi" w:hAnsiTheme="minorHAnsi"/>
                <w:sz w:val="20"/>
                <w:szCs w:val="20"/>
              </w:rPr>
            </w:pPr>
            <w:r>
              <w:rPr>
                <w:rFonts w:asciiTheme="minorHAnsi" w:hAnsiTheme="minorHAnsi"/>
                <w:sz w:val="20"/>
                <w:szCs w:val="20"/>
              </w:rPr>
              <w:t>14.11.2006</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Dátum vzniku:</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6347F4" w:rsidP="006B0E20">
            <w:pPr>
              <w:rPr>
                <w:rFonts w:asciiTheme="minorHAnsi" w:hAnsiTheme="minorHAnsi"/>
                <w:color w:val="000000"/>
                <w:sz w:val="20"/>
                <w:szCs w:val="20"/>
              </w:rPr>
            </w:pPr>
            <w:r>
              <w:rPr>
                <w:rFonts w:asciiTheme="minorHAnsi" w:hAnsiTheme="minorHAnsi"/>
                <w:color w:val="000000"/>
                <w:sz w:val="20"/>
                <w:szCs w:val="20"/>
              </w:rPr>
              <w:t>08.12</w:t>
            </w:r>
            <w:r w:rsidR="00F73D6F">
              <w:rPr>
                <w:rFonts w:asciiTheme="minorHAnsi" w:hAnsiTheme="minorHAnsi"/>
                <w:color w:val="000000"/>
                <w:sz w:val="20"/>
                <w:szCs w:val="20"/>
              </w:rPr>
              <w:t>.2006</w:t>
            </w:r>
          </w:p>
        </w:tc>
      </w:tr>
    </w:tbl>
    <w:p w:rsidR="009F61B1" w:rsidRPr="00976B58" w:rsidRDefault="009F61B1" w:rsidP="009F61B1">
      <w:pPr>
        <w:pStyle w:val="Odsekzoznamu"/>
        <w:rPr>
          <w:rFonts w:asciiTheme="minorHAnsi" w:hAnsiTheme="minorHAnsi" w:cs="Arial"/>
          <w:sz w:val="20"/>
          <w:szCs w:val="20"/>
        </w:rPr>
      </w:pPr>
    </w:p>
    <w:p w:rsidR="009F61B1" w:rsidRDefault="009F61B1" w:rsidP="00F27502">
      <w:pPr>
        <w:pStyle w:val="Odsekzoznamu"/>
        <w:spacing w:after="0" w:line="240" w:lineRule="auto"/>
        <w:ind w:left="0"/>
        <w:jc w:val="both"/>
        <w:rPr>
          <w:rFonts w:asciiTheme="minorHAnsi" w:hAnsiTheme="minorHAnsi" w:cs="ArialNarrow"/>
          <w:sz w:val="20"/>
          <w:szCs w:val="20"/>
        </w:rPr>
      </w:pPr>
      <w:r w:rsidRPr="00F27502">
        <w:rPr>
          <w:rFonts w:asciiTheme="minorHAnsi" w:hAnsiTheme="minorHAnsi" w:cs="Arial"/>
          <w:sz w:val="20"/>
          <w:szCs w:val="20"/>
        </w:rPr>
        <w:t xml:space="preserve">b) </w:t>
      </w:r>
      <w:r w:rsidRPr="00F27502">
        <w:rPr>
          <w:rFonts w:asciiTheme="minorHAnsi" w:hAnsiTheme="minorHAnsi" w:cs="ArialNarrow"/>
          <w:sz w:val="20"/>
          <w:szCs w:val="20"/>
        </w:rPr>
        <w:t>Opis hospodár</w:t>
      </w:r>
      <w:r w:rsidR="00F73D6F">
        <w:rPr>
          <w:rFonts w:asciiTheme="minorHAnsi" w:hAnsiTheme="minorHAnsi" w:cs="ArialNarrow"/>
          <w:sz w:val="20"/>
          <w:szCs w:val="20"/>
        </w:rPr>
        <w:t>skej činnosti účtovnej jednotky:</w:t>
      </w:r>
    </w:p>
    <w:p w:rsidR="00F73D6F" w:rsidRDefault="00F73D6F" w:rsidP="00F27502">
      <w:pPr>
        <w:pStyle w:val="Odsekzoznamu"/>
        <w:spacing w:after="0" w:line="240" w:lineRule="auto"/>
        <w:ind w:left="0"/>
        <w:jc w:val="both"/>
        <w:rPr>
          <w:rFonts w:asciiTheme="minorHAnsi" w:hAnsiTheme="minorHAnsi" w:cs="ArialNarrow"/>
          <w:sz w:val="20"/>
          <w:szCs w:val="20"/>
        </w:rPr>
      </w:pP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kúpa tovaru na účely jeho predaja konečnému spotrebiteľovi-maloobchod</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kúpa tovaru na účely jeho predaja iným prevádzkovateľom-veľkoobchod</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sprostredkovanie v oblasti dopravy</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vybavovanie colných deklarácií</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skladovanie, okrem prevádzkovania verejných skladov</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sprostredkovateľská činnosť</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automatizované spracovanie dát</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činnosť organizačných ekonomických poradcov</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vedenie účtovníctva</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marketing a management</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podnikateľské poradenstvo</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prieskum trhu a verejnej mienky</w:t>
      </w:r>
    </w:p>
    <w:p w:rsidR="00F73D6F"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vnútroštátna nákladná cestná doprava</w:t>
      </w:r>
    </w:p>
    <w:p w:rsidR="00F73D6F" w:rsidRPr="00F27502" w:rsidRDefault="00F73D6F" w:rsidP="00F27502">
      <w:pPr>
        <w:pStyle w:val="Odsekzoznamu"/>
        <w:spacing w:after="0" w:line="240" w:lineRule="auto"/>
        <w:ind w:left="0"/>
        <w:jc w:val="both"/>
        <w:rPr>
          <w:rFonts w:asciiTheme="minorHAnsi" w:hAnsiTheme="minorHAnsi" w:cs="ArialNarrow"/>
          <w:sz w:val="20"/>
          <w:szCs w:val="20"/>
        </w:rPr>
      </w:pPr>
      <w:r>
        <w:rPr>
          <w:rFonts w:asciiTheme="minorHAnsi" w:hAnsiTheme="minorHAnsi" w:cs="ArialNarrow"/>
          <w:sz w:val="20"/>
          <w:szCs w:val="20"/>
        </w:rPr>
        <w:t>-</w:t>
      </w:r>
      <w:r>
        <w:rPr>
          <w:rFonts w:asciiTheme="minorHAnsi" w:hAnsiTheme="minorHAnsi" w:cs="ArialNarrow"/>
          <w:sz w:val="20"/>
          <w:szCs w:val="20"/>
        </w:rPr>
        <w:tab/>
        <w:t>medzinárodná cestná nákladná doprava</w:t>
      </w:r>
    </w:p>
    <w:p w:rsidR="009F61B1" w:rsidRDefault="009F61B1" w:rsidP="009F61B1">
      <w:pPr>
        <w:widowControl w:val="0"/>
        <w:rPr>
          <w:rFonts w:asciiTheme="minorHAnsi" w:hAnsiTheme="minorHAnsi"/>
          <w:color w:val="00B0F0"/>
          <w:szCs w:val="22"/>
        </w:rPr>
      </w:pPr>
    </w:p>
    <w:p w:rsidR="009F61B1" w:rsidRPr="007C1F18" w:rsidRDefault="009F61B1" w:rsidP="00F27502">
      <w:pPr>
        <w:widowControl w:val="0"/>
        <w:jc w:val="both"/>
        <w:rPr>
          <w:rFonts w:asciiTheme="minorHAnsi" w:eastAsiaTheme="minorHAnsi" w:hAnsiTheme="minorHAnsi" w:cs="Arial"/>
          <w:b/>
          <w:szCs w:val="22"/>
        </w:rPr>
      </w:pPr>
      <w:r w:rsidRPr="007C1F18">
        <w:rPr>
          <w:rFonts w:asciiTheme="minorHAnsi" w:hAnsiTheme="minorHAnsi"/>
          <w:b/>
          <w:szCs w:val="22"/>
        </w:rPr>
        <w:t xml:space="preserve">(2) </w:t>
      </w:r>
      <w:r w:rsidRPr="007C1F18">
        <w:rPr>
          <w:rFonts w:asciiTheme="minorHAnsi" w:eastAsiaTheme="minorHAnsi" w:hAnsiTheme="minorHAnsi" w:cs="Arial"/>
          <w:b/>
          <w:szCs w:val="22"/>
        </w:rPr>
        <w:t>Schválenie účtovnej závierky za predchádzajúce obdobie</w:t>
      </w:r>
    </w:p>
    <w:p w:rsidR="00AD0868" w:rsidRPr="00F27502" w:rsidRDefault="00AD0868" w:rsidP="00F27502">
      <w:pPr>
        <w:widowControl w:val="0"/>
        <w:jc w:val="both"/>
        <w:rPr>
          <w:rFonts w:asciiTheme="minorHAnsi" w:hAnsiTheme="minorHAnsi" w:cs="Calibri"/>
          <w:snapToGrid w:val="0"/>
          <w:color w:val="00B0F0"/>
          <w:szCs w:val="22"/>
        </w:rPr>
      </w:pPr>
    </w:p>
    <w:p w:rsidR="009F61B1" w:rsidRPr="00976B58" w:rsidRDefault="002426E1" w:rsidP="00F27502">
      <w:pPr>
        <w:widowControl w:val="0"/>
        <w:jc w:val="both"/>
        <w:rPr>
          <w:rFonts w:asciiTheme="minorHAnsi" w:hAnsiTheme="minorHAnsi" w:cs="Calibri"/>
          <w:snapToGrid w:val="0"/>
          <w:sz w:val="20"/>
          <w:szCs w:val="20"/>
        </w:rPr>
      </w:pPr>
      <w:r>
        <w:rPr>
          <w:rFonts w:asciiTheme="minorHAnsi" w:hAnsiTheme="minorHAnsi" w:cs="Calibri"/>
          <w:snapToGrid w:val="0"/>
          <w:sz w:val="20"/>
          <w:szCs w:val="20"/>
        </w:rPr>
        <w:t>Účtovná závierka za rok 2016</w:t>
      </w:r>
      <w:r w:rsidR="00822D02">
        <w:rPr>
          <w:rFonts w:asciiTheme="minorHAnsi" w:hAnsiTheme="minorHAnsi" w:cs="Calibri"/>
          <w:snapToGrid w:val="0"/>
          <w:sz w:val="20"/>
          <w:szCs w:val="20"/>
        </w:rPr>
        <w:t xml:space="preserve"> </w:t>
      </w:r>
      <w:r>
        <w:rPr>
          <w:rFonts w:asciiTheme="minorHAnsi" w:hAnsiTheme="minorHAnsi" w:cs="Calibri"/>
          <w:snapToGrid w:val="0"/>
          <w:sz w:val="20"/>
          <w:szCs w:val="20"/>
        </w:rPr>
        <w:t>ne</w:t>
      </w:r>
      <w:r w:rsidR="009F61B1" w:rsidRPr="00822D02">
        <w:rPr>
          <w:rFonts w:asciiTheme="minorHAnsi" w:hAnsiTheme="minorHAnsi" w:cs="Calibri"/>
          <w:snapToGrid w:val="0"/>
          <w:sz w:val="20"/>
          <w:szCs w:val="20"/>
        </w:rPr>
        <w:t>bola</w:t>
      </w:r>
      <w:r>
        <w:rPr>
          <w:rFonts w:asciiTheme="minorHAnsi" w:hAnsiTheme="minorHAnsi" w:cs="Calibri"/>
          <w:snapToGrid w:val="0"/>
          <w:sz w:val="20"/>
          <w:szCs w:val="20"/>
        </w:rPr>
        <w:t xml:space="preserve"> zatiaľ</w:t>
      </w:r>
      <w:r w:rsidR="009F61B1" w:rsidRPr="00822D02">
        <w:rPr>
          <w:rFonts w:asciiTheme="minorHAnsi" w:hAnsiTheme="minorHAnsi" w:cs="Calibri"/>
          <w:snapToGrid w:val="0"/>
          <w:sz w:val="20"/>
          <w:szCs w:val="20"/>
        </w:rPr>
        <w:t xml:space="preserve"> schválená na r</w:t>
      </w:r>
      <w:r w:rsidR="00F73D6F" w:rsidRPr="00822D02">
        <w:rPr>
          <w:rFonts w:asciiTheme="minorHAnsi" w:hAnsiTheme="minorHAnsi" w:cs="Calibri"/>
          <w:snapToGrid w:val="0"/>
          <w:sz w:val="20"/>
          <w:szCs w:val="20"/>
        </w:rPr>
        <w:t>iadnom v</w:t>
      </w:r>
      <w:r w:rsidR="00822D02">
        <w:rPr>
          <w:rFonts w:asciiTheme="minorHAnsi" w:hAnsiTheme="minorHAnsi" w:cs="Calibri"/>
          <w:snapToGrid w:val="0"/>
          <w:sz w:val="20"/>
          <w:szCs w:val="20"/>
        </w:rPr>
        <w:t>a</w:t>
      </w:r>
      <w:r>
        <w:rPr>
          <w:rFonts w:asciiTheme="minorHAnsi" w:hAnsiTheme="minorHAnsi" w:cs="Calibri"/>
          <w:snapToGrid w:val="0"/>
          <w:sz w:val="20"/>
          <w:szCs w:val="20"/>
        </w:rPr>
        <w:t>lnom zhromaždení.</w:t>
      </w:r>
    </w:p>
    <w:p w:rsidR="00301869" w:rsidRDefault="00301869" w:rsidP="00F27502">
      <w:pPr>
        <w:pStyle w:val="Default"/>
        <w:jc w:val="both"/>
        <w:rPr>
          <w:rFonts w:asciiTheme="minorHAnsi" w:hAnsiTheme="minorHAnsi"/>
          <w:color w:val="00B0F0"/>
          <w:sz w:val="22"/>
          <w:szCs w:val="22"/>
        </w:rPr>
      </w:pPr>
    </w:p>
    <w:p w:rsidR="00441AF2" w:rsidRPr="007C1F18" w:rsidRDefault="00441AF2" w:rsidP="00F27502">
      <w:pPr>
        <w:pStyle w:val="Default"/>
        <w:jc w:val="both"/>
        <w:rPr>
          <w:rFonts w:asciiTheme="minorHAnsi" w:hAnsiTheme="minorHAnsi"/>
          <w:b/>
          <w:color w:val="auto"/>
          <w:sz w:val="22"/>
          <w:szCs w:val="22"/>
        </w:rPr>
      </w:pPr>
      <w:r w:rsidRPr="007C1F18">
        <w:rPr>
          <w:rFonts w:asciiTheme="minorHAnsi" w:hAnsiTheme="minorHAnsi"/>
          <w:b/>
          <w:color w:val="auto"/>
          <w:sz w:val="22"/>
          <w:szCs w:val="22"/>
        </w:rPr>
        <w:t>(3) Právny dôvod n</w:t>
      </w:r>
      <w:r w:rsidR="00AD0868" w:rsidRPr="007C1F18">
        <w:rPr>
          <w:rFonts w:asciiTheme="minorHAnsi" w:hAnsiTheme="minorHAnsi"/>
          <w:b/>
          <w:color w:val="auto"/>
          <w:sz w:val="22"/>
          <w:szCs w:val="22"/>
        </w:rPr>
        <w:t>a zostavenie účtovnej závierky</w:t>
      </w:r>
    </w:p>
    <w:p w:rsidR="00AD0868" w:rsidRPr="00212BA4" w:rsidRDefault="00AD0868" w:rsidP="00F27502">
      <w:pPr>
        <w:pStyle w:val="Default"/>
        <w:jc w:val="both"/>
        <w:rPr>
          <w:rFonts w:asciiTheme="minorHAnsi" w:hAnsiTheme="minorHAnsi"/>
          <w:color w:val="00B0F0"/>
          <w:sz w:val="22"/>
          <w:szCs w:val="22"/>
        </w:rPr>
      </w:pPr>
    </w:p>
    <w:p w:rsidR="009F61B1" w:rsidRPr="00976B58" w:rsidRDefault="002426E1" w:rsidP="00F27502">
      <w:pPr>
        <w:widowControl w:val="0"/>
        <w:jc w:val="both"/>
        <w:rPr>
          <w:rFonts w:asciiTheme="minorHAnsi" w:hAnsiTheme="minorHAnsi" w:cs="Calibri"/>
          <w:snapToGrid w:val="0"/>
          <w:sz w:val="20"/>
          <w:szCs w:val="20"/>
        </w:rPr>
      </w:pPr>
      <w:r>
        <w:rPr>
          <w:rFonts w:asciiTheme="minorHAnsi" w:hAnsiTheme="minorHAnsi" w:cs="Calibri"/>
          <w:snapToGrid w:val="0"/>
          <w:sz w:val="20"/>
          <w:szCs w:val="20"/>
        </w:rPr>
        <w:t>Účtovná závierka k 31.07.2017</w:t>
      </w:r>
      <w:r w:rsidR="009F61B1" w:rsidRPr="00976B58">
        <w:rPr>
          <w:rFonts w:asciiTheme="minorHAnsi" w:hAnsiTheme="minorHAnsi" w:cs="Calibri"/>
          <w:snapToGrid w:val="0"/>
          <w:sz w:val="20"/>
          <w:szCs w:val="20"/>
        </w:rPr>
        <w:t xml:space="preserve"> je zostavená ako </w:t>
      </w:r>
      <w:r>
        <w:rPr>
          <w:rFonts w:asciiTheme="minorHAnsi" w:hAnsiTheme="minorHAnsi" w:cs="Calibri"/>
          <w:snapToGrid w:val="0"/>
          <w:sz w:val="20"/>
          <w:szCs w:val="20"/>
        </w:rPr>
        <w:t>mimo</w:t>
      </w:r>
      <w:r w:rsidR="009F61B1" w:rsidRPr="00976B58">
        <w:rPr>
          <w:rFonts w:asciiTheme="minorHAnsi" w:hAnsiTheme="minorHAnsi" w:cs="Calibri"/>
          <w:snapToGrid w:val="0"/>
          <w:sz w:val="20"/>
          <w:szCs w:val="20"/>
        </w:rPr>
        <w:t>riadna účtovná zá</w:t>
      </w:r>
      <w:r w:rsidR="00AD0868">
        <w:rPr>
          <w:rFonts w:asciiTheme="minorHAnsi" w:hAnsiTheme="minorHAnsi" w:cs="Calibri"/>
          <w:snapToGrid w:val="0"/>
          <w:sz w:val="20"/>
          <w:szCs w:val="20"/>
        </w:rPr>
        <w:t xml:space="preserve">vierka podľa § 17 ods. 6 </w:t>
      </w:r>
      <w:r w:rsidR="009F61B1" w:rsidRPr="00976B58">
        <w:rPr>
          <w:rFonts w:asciiTheme="minorHAnsi" w:hAnsiTheme="minorHAnsi" w:cs="Calibri"/>
          <w:snapToGrid w:val="0"/>
          <w:sz w:val="20"/>
          <w:szCs w:val="20"/>
        </w:rPr>
        <w:t>zákona NR SR č. 431/2002 Z. z. o účtovníctve, za ú</w:t>
      </w:r>
      <w:r>
        <w:rPr>
          <w:rFonts w:asciiTheme="minorHAnsi" w:hAnsiTheme="minorHAnsi" w:cs="Calibri"/>
          <w:snapToGrid w:val="0"/>
          <w:sz w:val="20"/>
          <w:szCs w:val="20"/>
        </w:rPr>
        <w:t>čtovné obdobie od 1.januára 2017 do 31. júla 2017</w:t>
      </w:r>
      <w:r w:rsidR="009F61B1" w:rsidRPr="00976B58">
        <w:rPr>
          <w:rFonts w:asciiTheme="minorHAnsi" w:hAnsiTheme="minorHAnsi" w:cs="Calibri"/>
          <w:snapToGrid w:val="0"/>
          <w:sz w:val="20"/>
          <w:szCs w:val="20"/>
        </w:rPr>
        <w:t>,  k posle</w:t>
      </w:r>
      <w:r>
        <w:rPr>
          <w:rFonts w:asciiTheme="minorHAnsi" w:hAnsiTheme="minorHAnsi" w:cs="Calibri"/>
          <w:snapToGrid w:val="0"/>
          <w:sz w:val="20"/>
          <w:szCs w:val="20"/>
        </w:rPr>
        <w:t>dnému dňu mesiaca júl 2017</w:t>
      </w:r>
      <w:r w:rsidR="009F61B1" w:rsidRPr="00976B58">
        <w:rPr>
          <w:rFonts w:asciiTheme="minorHAnsi" w:hAnsiTheme="minorHAnsi" w:cs="Calibri"/>
          <w:snapToGrid w:val="0"/>
          <w:sz w:val="20"/>
          <w:szCs w:val="20"/>
        </w:rPr>
        <w:t xml:space="preserve">. </w:t>
      </w:r>
    </w:p>
    <w:p w:rsidR="009F61B1" w:rsidRDefault="009F61B1" w:rsidP="00F27502">
      <w:pPr>
        <w:pStyle w:val="Default"/>
        <w:jc w:val="both"/>
        <w:rPr>
          <w:rFonts w:asciiTheme="minorHAnsi" w:hAnsiTheme="minorHAnsi"/>
          <w:color w:val="00B0F0"/>
          <w:sz w:val="22"/>
          <w:szCs w:val="22"/>
        </w:rPr>
      </w:pPr>
    </w:p>
    <w:p w:rsidR="00441AF2" w:rsidRPr="007C1F18" w:rsidRDefault="00441AF2" w:rsidP="00F27502">
      <w:pPr>
        <w:pStyle w:val="Default"/>
        <w:jc w:val="both"/>
        <w:rPr>
          <w:rFonts w:asciiTheme="minorHAnsi" w:hAnsiTheme="minorHAnsi"/>
          <w:b/>
          <w:color w:val="auto"/>
          <w:sz w:val="22"/>
          <w:szCs w:val="22"/>
        </w:rPr>
      </w:pPr>
      <w:r w:rsidRPr="007C1F18">
        <w:rPr>
          <w:rFonts w:asciiTheme="minorHAnsi" w:hAnsiTheme="minorHAnsi"/>
          <w:b/>
          <w:color w:val="auto"/>
          <w:sz w:val="22"/>
          <w:szCs w:val="22"/>
        </w:rPr>
        <w:t xml:space="preserve">(4) Údaje o skupine účtovných jednotiek, a to: </w:t>
      </w:r>
    </w:p>
    <w:p w:rsidR="00441AF2" w:rsidRPr="00212BA4" w:rsidRDefault="00441AF2" w:rsidP="00F27502">
      <w:pPr>
        <w:pStyle w:val="Default"/>
        <w:jc w:val="both"/>
        <w:rPr>
          <w:rFonts w:asciiTheme="minorHAnsi" w:hAnsiTheme="minorHAnsi"/>
          <w:color w:val="00B0F0"/>
          <w:sz w:val="22"/>
          <w:szCs w:val="22"/>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UJ je dcérskou UJ v rámci skupiny, v rámci ktorej je zahrnutá do </w:t>
      </w:r>
      <w:r>
        <w:rPr>
          <w:rFonts w:asciiTheme="minorHAnsi" w:hAnsiTheme="minorHAnsi"/>
          <w:sz w:val="20"/>
          <w:szCs w:val="20"/>
        </w:rPr>
        <w:t>konsolidovanej účtovnej závierky</w:t>
      </w:r>
      <w:r w:rsidRPr="00976B58">
        <w:rPr>
          <w:rFonts w:asciiTheme="minorHAnsi" w:hAnsiTheme="minorHAnsi"/>
          <w:sz w:val="20"/>
          <w:szCs w:val="20"/>
        </w:rPr>
        <w:t>, pričom:</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a)  KUZ za najväčšiu skupinu, ktorej súčasťou je UJ zostavuje</w:t>
      </w:r>
      <w:r w:rsidR="00AD0868">
        <w:rPr>
          <w:rFonts w:asciiTheme="minorHAnsi" w:hAnsiTheme="minorHAnsi"/>
          <w:sz w:val="20"/>
          <w:szCs w:val="20"/>
        </w:rPr>
        <w:t>: RH-BesitzGmbHCo&amp;KG.</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b)  KUZ za najmenšiu skupinu, ktore</w:t>
      </w:r>
      <w:r w:rsidR="00AD0868">
        <w:rPr>
          <w:rFonts w:asciiTheme="minorHAnsi" w:hAnsiTheme="minorHAnsi"/>
          <w:sz w:val="20"/>
          <w:szCs w:val="20"/>
        </w:rPr>
        <w:t>j súčasťou je UJ zostavuje RH BesitzGmbHCo&amp;KG.</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c)  Kópiu KUZ zostavených podľa bodov (a) a (b) je možné poža</w:t>
      </w:r>
      <w:r w:rsidR="00AD0868">
        <w:rPr>
          <w:rFonts w:asciiTheme="minorHAnsi" w:hAnsiTheme="minorHAnsi"/>
          <w:sz w:val="20"/>
          <w:szCs w:val="20"/>
        </w:rPr>
        <w:t>dovať na adrese Achsenschmiede 1-3, 331 04 Paderborn, Spolková republika Nemecko.</w:t>
      </w:r>
    </w:p>
    <w:p w:rsidR="00301869" w:rsidRPr="00976B58" w:rsidRDefault="00AD0868" w:rsidP="00F27502">
      <w:pPr>
        <w:jc w:val="both"/>
        <w:rPr>
          <w:rFonts w:asciiTheme="minorHAnsi" w:hAnsiTheme="minorHAnsi"/>
          <w:sz w:val="20"/>
          <w:szCs w:val="20"/>
        </w:rPr>
      </w:pPr>
      <w:r>
        <w:rPr>
          <w:rFonts w:asciiTheme="minorHAnsi" w:hAnsiTheme="minorHAnsi"/>
          <w:sz w:val="20"/>
          <w:szCs w:val="20"/>
        </w:rPr>
        <w:t xml:space="preserve">d)  UJ </w:t>
      </w:r>
      <w:r w:rsidR="00301869" w:rsidRPr="00976B58">
        <w:rPr>
          <w:rFonts w:asciiTheme="minorHAnsi" w:hAnsiTheme="minorHAnsi"/>
          <w:sz w:val="20"/>
          <w:szCs w:val="20"/>
        </w:rPr>
        <w:t xml:space="preserve">nie je materskou </w:t>
      </w:r>
      <w:r w:rsidR="00301869">
        <w:rPr>
          <w:rFonts w:asciiTheme="minorHAnsi" w:hAnsiTheme="minorHAnsi"/>
          <w:sz w:val="20"/>
          <w:szCs w:val="20"/>
        </w:rPr>
        <w:t>spoločnosťou</w:t>
      </w:r>
      <w:r>
        <w:rPr>
          <w:rFonts w:asciiTheme="minorHAnsi" w:hAnsiTheme="minorHAnsi"/>
          <w:sz w:val="20"/>
          <w:szCs w:val="20"/>
        </w:rPr>
        <w:t xml:space="preserve"> a </w:t>
      </w:r>
      <w:r w:rsidR="00301869" w:rsidRPr="00976B58">
        <w:rPr>
          <w:rFonts w:asciiTheme="minorHAnsi" w:hAnsiTheme="minorHAnsi"/>
          <w:sz w:val="20"/>
          <w:szCs w:val="20"/>
        </w:rPr>
        <w:t>nezostavuje KUZ.</w:t>
      </w:r>
    </w:p>
    <w:p w:rsidR="00301869" w:rsidRPr="00976B58" w:rsidRDefault="00301869" w:rsidP="00F27502">
      <w:pPr>
        <w:jc w:val="both"/>
        <w:rPr>
          <w:rFonts w:asciiTheme="minorHAnsi" w:hAnsiTheme="minorHAnsi"/>
          <w:sz w:val="20"/>
          <w:szCs w:val="20"/>
        </w:rPr>
      </w:pPr>
    </w:p>
    <w:p w:rsidR="00301869" w:rsidRDefault="00301869" w:rsidP="00F27502">
      <w:pPr>
        <w:jc w:val="both"/>
        <w:rPr>
          <w:rFonts w:asciiTheme="minorHAnsi" w:hAnsiTheme="minorHAnsi"/>
          <w:sz w:val="20"/>
          <w:szCs w:val="20"/>
        </w:rPr>
      </w:pPr>
    </w:p>
    <w:p w:rsidR="00DA7AC8" w:rsidRPr="00976B58" w:rsidRDefault="00DA7AC8" w:rsidP="00F27502">
      <w:pPr>
        <w:jc w:val="both"/>
        <w:rPr>
          <w:rFonts w:asciiTheme="minorHAnsi" w:hAnsiTheme="minorHAnsi"/>
          <w:sz w:val="20"/>
          <w:szCs w:val="20"/>
        </w:rPr>
      </w:pPr>
    </w:p>
    <w:p w:rsidR="00C839EE" w:rsidRDefault="00C839EE" w:rsidP="00301869">
      <w:pPr>
        <w:pStyle w:val="Default"/>
        <w:rPr>
          <w:rFonts w:asciiTheme="minorHAnsi" w:hAnsiTheme="minorHAnsi"/>
          <w:strike/>
          <w:color w:val="00B0F0"/>
          <w:sz w:val="20"/>
          <w:szCs w:val="20"/>
        </w:rPr>
      </w:pPr>
    </w:p>
    <w:p w:rsidR="00C839EE" w:rsidRPr="00976B58" w:rsidRDefault="00C839EE" w:rsidP="00301869">
      <w:pPr>
        <w:pStyle w:val="Default"/>
        <w:rPr>
          <w:rFonts w:asciiTheme="minorHAnsi" w:hAnsiTheme="minorHAnsi"/>
          <w:strike/>
          <w:color w:val="00B0F0"/>
          <w:sz w:val="20"/>
          <w:szCs w:val="20"/>
        </w:rPr>
      </w:pPr>
    </w:p>
    <w:p w:rsidR="00441AF2" w:rsidRPr="00212BA4" w:rsidRDefault="00441AF2" w:rsidP="00441AF2">
      <w:pPr>
        <w:pStyle w:val="Default"/>
        <w:rPr>
          <w:rFonts w:asciiTheme="minorHAnsi" w:hAnsiTheme="minorHAnsi"/>
          <w:i/>
          <w:color w:val="00B0F0"/>
          <w:sz w:val="18"/>
          <w:szCs w:val="22"/>
        </w:rPr>
      </w:pPr>
    </w:p>
    <w:p w:rsidR="00301869" w:rsidRPr="007C1F18" w:rsidRDefault="00441AF2" w:rsidP="00301869">
      <w:pPr>
        <w:pStyle w:val="Default"/>
        <w:rPr>
          <w:rFonts w:asciiTheme="minorHAnsi" w:hAnsiTheme="minorHAnsi"/>
          <w:b/>
          <w:color w:val="auto"/>
          <w:sz w:val="22"/>
          <w:szCs w:val="22"/>
        </w:rPr>
      </w:pPr>
      <w:r w:rsidRPr="007C1F18">
        <w:rPr>
          <w:rFonts w:asciiTheme="minorHAnsi" w:hAnsiTheme="minorHAnsi"/>
          <w:b/>
          <w:color w:val="auto"/>
          <w:sz w:val="22"/>
          <w:szCs w:val="22"/>
        </w:rPr>
        <w:lastRenderedPageBreak/>
        <w:t xml:space="preserve">(5) </w:t>
      </w:r>
      <w:r w:rsidR="00301869" w:rsidRPr="007C1F18">
        <w:rPr>
          <w:rFonts w:asciiTheme="minorHAnsi" w:hAnsiTheme="minorHAnsi"/>
          <w:b/>
          <w:color w:val="auto"/>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956"/>
        <w:gridCol w:w="2954"/>
        <w:gridCol w:w="2725"/>
      </w:tblGrid>
      <w:tr w:rsidR="00301869" w:rsidRPr="00976B58" w:rsidTr="006B0E20">
        <w:trPr>
          <w:jc w:val="center"/>
        </w:trPr>
        <w:tc>
          <w:tcPr>
            <w:tcW w:w="3814"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Názov položky</w:t>
            </w:r>
          </w:p>
        </w:tc>
        <w:tc>
          <w:tcPr>
            <w:tcW w:w="2849"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Bežné účtovné obdobie</w:t>
            </w:r>
          </w:p>
        </w:tc>
        <w:tc>
          <w:tcPr>
            <w:tcW w:w="2628"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Bezprostredne predchádzajúce účtovné obdobie</w:t>
            </w:r>
          </w:p>
        </w:tc>
      </w:tr>
      <w:tr w:rsidR="00301869" w:rsidRPr="00976B58" w:rsidTr="006B0E20">
        <w:trPr>
          <w:jc w:val="center"/>
        </w:trPr>
        <w:tc>
          <w:tcPr>
            <w:tcW w:w="3814" w:type="dxa"/>
          </w:tcPr>
          <w:p w:rsidR="00301869" w:rsidRPr="00822D02" w:rsidRDefault="00301869" w:rsidP="006B0E20">
            <w:pPr>
              <w:rPr>
                <w:rFonts w:asciiTheme="minorHAnsi" w:hAnsiTheme="minorHAnsi" w:cs="Calibri"/>
                <w:sz w:val="20"/>
                <w:szCs w:val="20"/>
              </w:rPr>
            </w:pPr>
            <w:r w:rsidRPr="00822D02">
              <w:rPr>
                <w:rFonts w:asciiTheme="minorHAnsi" w:hAnsiTheme="minorHAnsi" w:cs="Calibri"/>
                <w:sz w:val="20"/>
                <w:szCs w:val="20"/>
              </w:rPr>
              <w:t>Priemerný prepočítaný počet zamestnancov</w:t>
            </w:r>
          </w:p>
        </w:tc>
        <w:tc>
          <w:tcPr>
            <w:tcW w:w="2849" w:type="dxa"/>
          </w:tcPr>
          <w:p w:rsidR="00301869" w:rsidRPr="00822D02" w:rsidRDefault="00187C83" w:rsidP="006B0E20">
            <w:pPr>
              <w:spacing w:line="360" w:lineRule="auto"/>
              <w:jc w:val="center"/>
              <w:rPr>
                <w:rFonts w:asciiTheme="minorHAnsi" w:hAnsiTheme="minorHAnsi" w:cs="Calibri"/>
                <w:sz w:val="20"/>
                <w:szCs w:val="20"/>
              </w:rPr>
            </w:pPr>
            <w:r w:rsidRPr="00822D02">
              <w:rPr>
                <w:rFonts w:asciiTheme="minorHAnsi" w:hAnsiTheme="minorHAnsi" w:cs="Calibri"/>
                <w:sz w:val="20"/>
                <w:szCs w:val="20"/>
              </w:rPr>
              <w:t>26</w:t>
            </w:r>
          </w:p>
        </w:tc>
        <w:tc>
          <w:tcPr>
            <w:tcW w:w="2628" w:type="dxa"/>
          </w:tcPr>
          <w:p w:rsidR="00301869" w:rsidRPr="00976B58" w:rsidRDefault="00822D02" w:rsidP="006B0E20">
            <w:pPr>
              <w:spacing w:line="360" w:lineRule="auto"/>
              <w:jc w:val="center"/>
              <w:rPr>
                <w:rFonts w:asciiTheme="minorHAnsi" w:hAnsiTheme="minorHAnsi" w:cs="Calibri"/>
                <w:sz w:val="20"/>
                <w:szCs w:val="20"/>
              </w:rPr>
            </w:pPr>
            <w:r>
              <w:rPr>
                <w:rFonts w:asciiTheme="minorHAnsi" w:hAnsiTheme="minorHAnsi" w:cs="Calibri"/>
                <w:sz w:val="20"/>
                <w:szCs w:val="20"/>
              </w:rPr>
              <w:t>26</w:t>
            </w:r>
          </w:p>
        </w:tc>
      </w:tr>
    </w:tbl>
    <w:p w:rsidR="00441AF2" w:rsidRPr="00212BA4" w:rsidRDefault="00441AF2" w:rsidP="00441AF2">
      <w:pPr>
        <w:pStyle w:val="Default"/>
        <w:rPr>
          <w:rFonts w:asciiTheme="minorHAnsi" w:hAnsiTheme="minorHAnsi"/>
          <w:color w:val="00B0F0"/>
          <w:sz w:val="22"/>
          <w:szCs w:val="22"/>
        </w:rPr>
      </w:pP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II</w:t>
      </w:r>
      <w:r w:rsidR="00DA7AC8">
        <w:rPr>
          <w:rFonts w:asciiTheme="minorHAnsi" w:hAnsiTheme="minorHAnsi"/>
          <w:b/>
          <w:bCs/>
          <w:color w:val="auto"/>
          <w:sz w:val="22"/>
          <w:szCs w:val="22"/>
        </w:rPr>
        <w:t xml:space="preserve">. </w:t>
      </w:r>
      <w:r w:rsidRPr="00F27502">
        <w:rPr>
          <w:rFonts w:asciiTheme="minorHAnsi" w:hAnsiTheme="minorHAnsi"/>
          <w:b/>
          <w:bCs/>
          <w:color w:val="auto"/>
          <w:sz w:val="22"/>
          <w:szCs w:val="22"/>
        </w:rPr>
        <w:t>Informácie o orgánoch spoločnosti</w:t>
      </w:r>
    </w:p>
    <w:p w:rsidR="00441AF2" w:rsidRPr="00F27502" w:rsidRDefault="00441AF2" w:rsidP="00441AF2">
      <w:pPr>
        <w:pStyle w:val="Default"/>
        <w:jc w:val="center"/>
        <w:rPr>
          <w:rFonts w:asciiTheme="minorHAnsi" w:hAnsiTheme="minorHAnsi"/>
          <w:color w:val="auto"/>
          <w:sz w:val="22"/>
          <w:szCs w:val="22"/>
        </w:rPr>
      </w:pPr>
    </w:p>
    <w:p w:rsidR="00612041" w:rsidRDefault="00441AF2" w:rsidP="00612041">
      <w:pPr>
        <w:pStyle w:val="Default"/>
        <w:rPr>
          <w:rFonts w:asciiTheme="minorHAnsi" w:hAnsiTheme="minorHAnsi"/>
          <w:b/>
          <w:color w:val="auto"/>
          <w:sz w:val="22"/>
          <w:szCs w:val="22"/>
        </w:rPr>
      </w:pPr>
      <w:r w:rsidRPr="007C1F18">
        <w:rPr>
          <w:rFonts w:asciiTheme="minorHAnsi" w:hAnsiTheme="minorHAnsi"/>
          <w:b/>
          <w:color w:val="auto"/>
          <w:sz w:val="22"/>
          <w:szCs w:val="22"/>
        </w:rPr>
        <w:t>Informác</w:t>
      </w:r>
      <w:r w:rsidR="00612041" w:rsidRPr="007C1F18">
        <w:rPr>
          <w:rFonts w:asciiTheme="minorHAnsi" w:hAnsiTheme="minorHAnsi"/>
          <w:b/>
          <w:color w:val="auto"/>
          <w:sz w:val="22"/>
          <w:szCs w:val="22"/>
        </w:rPr>
        <w:t>ie o orgánoch účtovnej jednotky</w:t>
      </w:r>
    </w:p>
    <w:p w:rsidR="00DA7AC8" w:rsidRDefault="00DA7AC8" w:rsidP="00612041">
      <w:pPr>
        <w:pStyle w:val="Default"/>
        <w:rPr>
          <w:rFonts w:asciiTheme="minorHAnsi" w:hAnsiTheme="minorHAnsi"/>
          <w:b/>
          <w:bCs/>
          <w:color w:val="auto"/>
          <w:sz w:val="22"/>
          <w:szCs w:val="22"/>
        </w:rPr>
      </w:pPr>
    </w:p>
    <w:p w:rsidR="00654D7C" w:rsidRDefault="00654D7C" w:rsidP="00654D7C">
      <w:pPr>
        <w:pStyle w:val="Default"/>
        <w:jc w:val="both"/>
        <w:rPr>
          <w:rFonts w:asciiTheme="minorHAnsi" w:hAnsiTheme="minorHAnsi"/>
          <w:bCs/>
          <w:color w:val="auto"/>
          <w:sz w:val="20"/>
          <w:szCs w:val="20"/>
        </w:rPr>
      </w:pPr>
      <w:r>
        <w:rPr>
          <w:rFonts w:asciiTheme="minorHAnsi" w:hAnsiTheme="minorHAnsi"/>
          <w:bCs/>
          <w:color w:val="auto"/>
          <w:sz w:val="20"/>
          <w:szCs w:val="20"/>
        </w:rPr>
        <w:t>Základné imanie spoločnosti zostalo v nezmenenej výške.</w:t>
      </w:r>
    </w:p>
    <w:p w:rsidR="00654D7C" w:rsidRPr="007C1F18" w:rsidRDefault="00654D7C" w:rsidP="00612041">
      <w:pPr>
        <w:pStyle w:val="Default"/>
        <w:rPr>
          <w:rFonts w:asciiTheme="minorHAnsi" w:hAnsiTheme="minorHAnsi"/>
          <w:b/>
          <w:bCs/>
          <w:color w:val="auto"/>
          <w:sz w:val="22"/>
          <w:szCs w:val="22"/>
        </w:rPr>
      </w:pPr>
    </w:p>
    <w:p w:rsidR="00612041" w:rsidRDefault="00DA7AC8" w:rsidP="00DA7AC8">
      <w:pPr>
        <w:pStyle w:val="Default"/>
        <w:jc w:val="both"/>
        <w:rPr>
          <w:rFonts w:asciiTheme="minorHAnsi" w:hAnsiTheme="minorHAnsi"/>
          <w:bCs/>
          <w:color w:val="auto"/>
          <w:sz w:val="20"/>
          <w:szCs w:val="20"/>
        </w:rPr>
      </w:pPr>
      <w:r w:rsidRPr="009617B6">
        <w:rPr>
          <w:rFonts w:asciiTheme="minorHAnsi" w:hAnsiTheme="minorHAnsi"/>
          <w:bCs/>
          <w:color w:val="auto"/>
          <w:sz w:val="20"/>
          <w:szCs w:val="20"/>
        </w:rPr>
        <w:t>Členovia štatutárneho orgánu spoločnosti nepoberali žiadne príjmy za výkon svojej funkcie člena tohto orgánu ani im neboli poskytnuté žiadne pôžičky alebo záruky.</w:t>
      </w:r>
    </w:p>
    <w:p w:rsidR="00DA7AC8" w:rsidRPr="00F27502" w:rsidRDefault="00DA7AC8" w:rsidP="00612041">
      <w:pPr>
        <w:pStyle w:val="Default"/>
        <w:jc w:val="center"/>
        <w:rPr>
          <w:rFonts w:asciiTheme="minorHAnsi" w:hAnsiTheme="minorHAnsi"/>
          <w:b/>
          <w:bCs/>
          <w:color w:val="auto"/>
          <w:sz w:val="22"/>
          <w:szCs w:val="22"/>
        </w:rPr>
      </w:pP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III</w:t>
      </w:r>
      <w:r w:rsidR="00DA7AC8">
        <w:rPr>
          <w:rFonts w:asciiTheme="minorHAnsi" w:hAnsiTheme="minorHAnsi"/>
          <w:b/>
          <w:bCs/>
          <w:color w:val="auto"/>
          <w:sz w:val="22"/>
          <w:szCs w:val="22"/>
        </w:rPr>
        <w:t xml:space="preserve">. </w:t>
      </w:r>
      <w:r w:rsidRPr="00F27502">
        <w:rPr>
          <w:rFonts w:asciiTheme="minorHAnsi" w:hAnsiTheme="minorHAnsi"/>
          <w:b/>
          <w:bCs/>
          <w:color w:val="auto"/>
          <w:sz w:val="22"/>
          <w:szCs w:val="22"/>
        </w:rPr>
        <w:t>Informácie o prijatých postupoch</w:t>
      </w:r>
    </w:p>
    <w:p w:rsidR="00441AF2" w:rsidRPr="00F27502" w:rsidRDefault="00441AF2" w:rsidP="00441AF2">
      <w:pPr>
        <w:pStyle w:val="Default"/>
        <w:jc w:val="center"/>
        <w:rPr>
          <w:rFonts w:asciiTheme="minorHAnsi" w:hAnsiTheme="minorHAnsi"/>
          <w:color w:val="auto"/>
          <w:sz w:val="22"/>
          <w:szCs w:val="22"/>
        </w:rPr>
      </w:pPr>
    </w:p>
    <w:p w:rsidR="00DA7AC8" w:rsidRDefault="00DA7AC8" w:rsidP="00DA7AC8">
      <w:pPr>
        <w:pStyle w:val="Vchodzie"/>
        <w:jc w:val="both"/>
      </w:pPr>
      <w:r>
        <w:rPr>
          <w:rFonts w:ascii="Calibri" w:hAnsi="Calibri"/>
          <w:sz w:val="20"/>
          <w:szCs w:val="20"/>
        </w:rPr>
        <w:t>(1) Účtovná závierka spoločnosti bola zostavená za predpokladu nepretržitého trvania jej činnosti v súlade so zákonom o účtovníctve platným v Slovenskej republike a nadväzujúcimi postupmi účtovania.</w:t>
      </w:r>
    </w:p>
    <w:p w:rsidR="00DA7AC8" w:rsidRDefault="00DA7AC8" w:rsidP="00DA7AC8">
      <w:pPr>
        <w:pStyle w:val="Vchodzie"/>
        <w:jc w:val="both"/>
      </w:pPr>
    </w:p>
    <w:p w:rsidR="00DA7AC8" w:rsidRDefault="00DA7AC8" w:rsidP="00DA7AC8">
      <w:pPr>
        <w:pStyle w:val="Vchodzie"/>
        <w:jc w:val="both"/>
      </w:pPr>
      <w:r>
        <w:rPr>
          <w:rFonts w:ascii="Calibri" w:hAnsi="Calibri" w:cs="Calibri"/>
          <w:bCs/>
          <w:sz w:val="20"/>
          <w:szCs w:val="20"/>
          <w:lang w:eastAsia="cs-CZ"/>
        </w:rPr>
        <w:t>Účtovníctvo spoločnosť vedie na základe dodržania časovej a vecnej súvislosti nákladov a výnosov. Za základ sa berú všetky náklady a výnosy, ktoré sa vzťahujú na účtovné obdobie bez ohľadu na dátum ich platenia.</w:t>
      </w:r>
    </w:p>
    <w:p w:rsidR="00DA7AC8" w:rsidRDefault="00DA7AC8" w:rsidP="00DA7AC8">
      <w:pPr>
        <w:pStyle w:val="Vchodzie"/>
        <w:jc w:val="both"/>
      </w:pPr>
    </w:p>
    <w:p w:rsidR="00DA7AC8" w:rsidRDefault="00DA7AC8" w:rsidP="00DA7AC8">
      <w:pPr>
        <w:pStyle w:val="Vchodzie"/>
        <w:jc w:val="both"/>
      </w:pPr>
      <w:r>
        <w:rPr>
          <w:rFonts w:ascii="Calibri" w:hAnsi="Calibri" w:cs="Calibri"/>
          <w:bCs/>
          <w:sz w:val="20"/>
          <w:szCs w:val="20"/>
          <w:lang w:eastAsia="cs-CZ"/>
        </w:rPr>
        <w:t>Peňažné údaje v účtovnej závierke sú uvedené v celých EUR.</w:t>
      </w:r>
    </w:p>
    <w:p w:rsidR="00301869" w:rsidRPr="00976B58" w:rsidRDefault="00301869" w:rsidP="00F27502">
      <w:pPr>
        <w:pStyle w:val="Default"/>
        <w:jc w:val="both"/>
        <w:rPr>
          <w:rFonts w:asciiTheme="minorHAnsi" w:hAnsiTheme="minorHAnsi"/>
          <w:color w:val="00B0F0"/>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 (2) Zmena metód účtovania a zásad účtovania</w:t>
      </w:r>
    </w:p>
    <w:p w:rsidR="00301869" w:rsidRPr="00976B58" w:rsidRDefault="00301869" w:rsidP="00F27502">
      <w:pPr>
        <w:pStyle w:val="Default"/>
        <w:jc w:val="both"/>
        <w:rPr>
          <w:rFonts w:asciiTheme="minorHAnsi" w:hAnsiTheme="minorHAnsi"/>
          <w:color w:val="990099"/>
          <w:sz w:val="20"/>
          <w:szCs w:val="20"/>
        </w:rPr>
      </w:pPr>
    </w:p>
    <w:p w:rsidR="00DA7AC8" w:rsidRDefault="00DA7AC8" w:rsidP="00DA7AC8">
      <w:pPr>
        <w:pStyle w:val="Vchodzie"/>
        <w:jc w:val="both"/>
      </w:pPr>
      <w:r>
        <w:rPr>
          <w:rFonts w:ascii="Calibri" w:eastAsia="Times New Roman" w:hAnsi="Calibri" w:cs="Calibri"/>
          <w:bCs/>
          <w:color w:val="00000A"/>
          <w:sz w:val="20"/>
          <w:szCs w:val="20"/>
          <w:lang w:eastAsia="cs-CZ"/>
        </w:rPr>
        <w:t>Účtovné metódy a všeobecné účtovné zásady spoločnosť aplikovala konzistentne s predchádzajúcim účtovným obdobím.</w:t>
      </w:r>
    </w:p>
    <w:p w:rsidR="00301869" w:rsidRPr="00976B58" w:rsidRDefault="00301869" w:rsidP="00F27502">
      <w:pPr>
        <w:pStyle w:val="Default"/>
        <w:jc w:val="both"/>
        <w:rPr>
          <w:rFonts w:asciiTheme="minorHAnsi" w:hAnsiTheme="minorHAnsi"/>
          <w:color w:val="990099"/>
          <w:sz w:val="20"/>
          <w:szCs w:val="20"/>
        </w:rPr>
      </w:pPr>
    </w:p>
    <w:p w:rsidR="00441AF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(3) Informácia o transakciách, ktoré sa neuvádzajú v</w:t>
      </w:r>
      <w:r w:rsidR="00D26823">
        <w:rPr>
          <w:rFonts w:asciiTheme="minorHAnsi" w:hAnsiTheme="minorHAnsi"/>
          <w:color w:val="auto"/>
          <w:sz w:val="20"/>
          <w:szCs w:val="20"/>
        </w:rPr>
        <w:t> </w:t>
      </w:r>
      <w:r w:rsidRPr="00F27502">
        <w:rPr>
          <w:rFonts w:asciiTheme="minorHAnsi" w:hAnsiTheme="minorHAnsi"/>
          <w:color w:val="auto"/>
          <w:sz w:val="20"/>
          <w:szCs w:val="20"/>
        </w:rPr>
        <w:t>súvah</w:t>
      </w:r>
      <w:r w:rsidR="00D26823">
        <w:rPr>
          <w:rFonts w:asciiTheme="minorHAnsi" w:hAnsiTheme="minorHAnsi"/>
          <w:color w:val="auto"/>
          <w:sz w:val="20"/>
          <w:szCs w:val="20"/>
        </w:rPr>
        <w:t>e</w:t>
      </w:r>
    </w:p>
    <w:p w:rsidR="00D26823" w:rsidRDefault="00D26823" w:rsidP="00F27502">
      <w:pPr>
        <w:pStyle w:val="Default"/>
        <w:jc w:val="both"/>
        <w:rPr>
          <w:rFonts w:asciiTheme="minorHAnsi" w:hAnsiTheme="minorHAnsi"/>
          <w:color w:val="auto"/>
          <w:sz w:val="20"/>
          <w:szCs w:val="20"/>
        </w:rPr>
      </w:pPr>
    </w:p>
    <w:p w:rsidR="00D26823" w:rsidRPr="00D26823" w:rsidRDefault="00D26823" w:rsidP="00F27502">
      <w:pPr>
        <w:pStyle w:val="Default"/>
        <w:jc w:val="both"/>
        <w:rPr>
          <w:rFonts w:asciiTheme="minorHAnsi" w:hAnsiTheme="minorHAnsi"/>
          <w:color w:val="auto"/>
          <w:sz w:val="20"/>
          <w:szCs w:val="20"/>
        </w:rPr>
      </w:pPr>
      <w:r>
        <w:rPr>
          <w:rFonts w:asciiTheme="minorHAnsi" w:hAnsiTheme="minorHAnsi"/>
          <w:color w:val="auto"/>
          <w:sz w:val="20"/>
          <w:szCs w:val="20"/>
        </w:rPr>
        <w:t>V súvahe sa neuvádzajú informácie o operatívnom leasingu a majetku obst</w:t>
      </w:r>
      <w:r w:rsidR="009618B7">
        <w:rPr>
          <w:rFonts w:asciiTheme="minorHAnsi" w:hAnsiTheme="minorHAnsi"/>
          <w:color w:val="auto"/>
          <w:sz w:val="20"/>
          <w:szCs w:val="20"/>
        </w:rPr>
        <w:t>arávaného na operatívny leasing, nakoľko sa účtujú v priebehu roka len mesačné splátky nájomného, ktoré sú vždy ku koncu roka všetky uhradené.</w:t>
      </w:r>
    </w:p>
    <w:p w:rsidR="00D26823" w:rsidRPr="00212BA4" w:rsidRDefault="00D26823" w:rsidP="00F27502">
      <w:pPr>
        <w:pStyle w:val="Default"/>
        <w:jc w:val="both"/>
        <w:rPr>
          <w:rFonts w:asciiTheme="minorHAnsi" w:hAnsiTheme="minorHAnsi"/>
          <w:color w:val="00B0F0"/>
          <w:sz w:val="22"/>
          <w:szCs w:val="22"/>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(4) Informácia o ocenení majetku a záväzkov </w:t>
      </w:r>
    </w:p>
    <w:p w:rsidR="00301869" w:rsidRDefault="00301869" w:rsidP="00F27502">
      <w:pPr>
        <w:pStyle w:val="Default"/>
        <w:jc w:val="both"/>
        <w:rPr>
          <w:rFonts w:asciiTheme="minorHAnsi" w:hAnsiTheme="minorHAnsi"/>
          <w:color w:val="990099"/>
          <w:sz w:val="20"/>
          <w:szCs w:val="20"/>
        </w:rPr>
      </w:pPr>
    </w:p>
    <w:p w:rsidR="00DA7AC8" w:rsidRDefault="00DA7AC8" w:rsidP="00DA7AC8">
      <w:pPr>
        <w:pStyle w:val="Vchodzie"/>
        <w:spacing w:after="120"/>
        <w:jc w:val="both"/>
      </w:pPr>
      <w:r>
        <w:rPr>
          <w:rFonts w:ascii="Calibri" w:hAnsi="Calibri" w:cs="Calibri"/>
          <w:b/>
          <w:sz w:val="22"/>
          <w:szCs w:val="22"/>
        </w:rPr>
        <w:t>1. Dlhodobý hmotný majetok</w:t>
      </w:r>
    </w:p>
    <w:p w:rsidR="00DA7AC8" w:rsidRDefault="00DA7AC8" w:rsidP="00DA7AC8">
      <w:pPr>
        <w:pStyle w:val="Vchodzie"/>
        <w:spacing w:after="120"/>
        <w:jc w:val="both"/>
      </w:pPr>
      <w:r>
        <w:rPr>
          <w:rFonts w:ascii="Calibri" w:hAnsi="Calibri" w:cs="Calibri"/>
          <w:sz w:val="20"/>
          <w:szCs w:val="20"/>
        </w:rPr>
        <w:t xml:space="preserve">Dlhodobý </w:t>
      </w:r>
      <w:r w:rsidR="00DB33E0">
        <w:rPr>
          <w:rFonts w:ascii="Calibri" w:hAnsi="Calibri" w:cs="Calibri"/>
          <w:sz w:val="20"/>
          <w:szCs w:val="20"/>
        </w:rPr>
        <w:t xml:space="preserve">hmotný </w:t>
      </w:r>
      <w:r>
        <w:rPr>
          <w:rFonts w:ascii="Calibri" w:hAnsi="Calibri" w:cs="Calibri"/>
          <w:sz w:val="20"/>
          <w:szCs w:val="20"/>
        </w:rPr>
        <w:t xml:space="preserve">majetok nakupovaný sa oceňuje obstarávacou cenou, ktorá zahrňuje cenu, za ktorú sa majetok obstaral a náklady súvisiace s obstaraním (clo, prepravu, montáž, poistné a pod.). </w:t>
      </w:r>
    </w:p>
    <w:p w:rsidR="00DA7AC8" w:rsidRDefault="00DA7AC8" w:rsidP="00DA7AC8">
      <w:pPr>
        <w:pStyle w:val="Vchodzie"/>
        <w:spacing w:after="120"/>
        <w:jc w:val="both"/>
      </w:pPr>
      <w:r>
        <w:rPr>
          <w:rFonts w:ascii="Calibri" w:hAnsi="Calibri" w:cs="Calibri"/>
          <w:sz w:val="20"/>
          <w:szCs w:val="20"/>
        </w:rPr>
        <w:t xml:space="preserve">Dlhodobý hmotný majetok sa odpisuje podľa odpisového plánu, ktorý bol zostavený na základe predpokladanej doby jeho používania zodpovedajúcej spotrebe budúcich ekonomických úžitkov z majetku. Odpisovať sa začína v mesiaci uvedenia  majetku do používania. </w:t>
      </w:r>
      <w:r w:rsidR="00DB33E0" w:rsidRPr="00DB33E0">
        <w:rPr>
          <w:rFonts w:ascii="Calibri" w:hAnsi="Calibri" w:cs="Calibri"/>
          <w:sz w:val="20"/>
          <w:szCs w:val="20"/>
        </w:rPr>
        <w:t>Drobný dlhodobý hmotný majetok, ktorého obstarávacia cena (resp. vlastné náklady) je 1 700 EUR a nižšia, sa odpisuje jednorazovo pri uvedení do používania - účtuje sa na účet 501.</w:t>
      </w:r>
    </w:p>
    <w:p w:rsidR="00DA7AC8" w:rsidRDefault="00DA7AC8" w:rsidP="00DA7AC8">
      <w:pPr>
        <w:pStyle w:val="Vchodzie"/>
        <w:spacing w:after="120"/>
        <w:jc w:val="both"/>
      </w:pPr>
      <w:r>
        <w:rPr>
          <w:rFonts w:ascii="Calibri" w:hAnsi="Calibri" w:cs="Calibri"/>
          <w:sz w:val="20"/>
          <w:szCs w:val="20"/>
        </w:rPr>
        <w:t>Predpokladaná doba používania, metóda odpisovania a odpisová sadzba sú uvedené v nasledujúcej tabuľke:</w:t>
      </w:r>
    </w:p>
    <w:tbl>
      <w:tblPr>
        <w:tblW w:w="0" w:type="auto"/>
        <w:tblInd w:w="-10"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4212"/>
        <w:gridCol w:w="1010"/>
        <w:gridCol w:w="2103"/>
        <w:gridCol w:w="2276"/>
      </w:tblGrid>
      <w:tr w:rsidR="00DA7AC8" w:rsidTr="00493ADC">
        <w:tc>
          <w:tcPr>
            <w:tcW w:w="42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A7AC8" w:rsidP="00493ADC">
            <w:pPr>
              <w:pStyle w:val="Vchodzie"/>
              <w:jc w:val="center"/>
            </w:pPr>
            <w:r>
              <w:rPr>
                <w:rFonts w:ascii="Calibri" w:hAnsi="Calibri" w:cs="Calibri"/>
                <w:b/>
                <w:sz w:val="20"/>
                <w:szCs w:val="20"/>
              </w:rPr>
              <w:t>Dlhodobý hmotný a nehmotný</w:t>
            </w:r>
          </w:p>
          <w:p w:rsidR="00DA7AC8" w:rsidRDefault="00DA7AC8" w:rsidP="00493ADC">
            <w:pPr>
              <w:pStyle w:val="Vchodzie"/>
              <w:jc w:val="center"/>
            </w:pPr>
            <w:r>
              <w:rPr>
                <w:rFonts w:ascii="Calibri" w:hAnsi="Calibri" w:cs="Calibri"/>
                <w:b/>
                <w:sz w:val="20"/>
                <w:szCs w:val="20"/>
              </w:rPr>
              <w:t>odpisovaný majetok</w:t>
            </w:r>
          </w:p>
        </w:tc>
        <w:tc>
          <w:tcPr>
            <w:tcW w:w="1010"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A7AC8" w:rsidP="00493ADC">
            <w:pPr>
              <w:pStyle w:val="Vchodzie"/>
              <w:jc w:val="center"/>
            </w:pPr>
            <w:r>
              <w:rPr>
                <w:rFonts w:ascii="Calibri" w:hAnsi="Calibri" w:cs="Calibri"/>
                <w:b/>
                <w:sz w:val="20"/>
                <w:szCs w:val="20"/>
              </w:rPr>
              <w:t>číslo</w:t>
            </w:r>
          </w:p>
          <w:p w:rsidR="00DA7AC8" w:rsidRDefault="00DA7AC8" w:rsidP="00493ADC">
            <w:pPr>
              <w:pStyle w:val="Vchodzie"/>
              <w:jc w:val="center"/>
            </w:pPr>
            <w:r>
              <w:rPr>
                <w:rFonts w:ascii="Calibri" w:hAnsi="Calibri" w:cs="Calibri"/>
                <w:b/>
                <w:sz w:val="20"/>
                <w:szCs w:val="20"/>
              </w:rPr>
              <w:t>účtu</w:t>
            </w:r>
          </w:p>
        </w:tc>
        <w:tc>
          <w:tcPr>
            <w:tcW w:w="210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A7AC8" w:rsidP="00493ADC">
            <w:pPr>
              <w:pStyle w:val="Vchodzie"/>
              <w:jc w:val="center"/>
            </w:pPr>
            <w:r>
              <w:rPr>
                <w:rFonts w:ascii="Calibri" w:hAnsi="Calibri" w:cs="Calibri"/>
                <w:b/>
                <w:sz w:val="20"/>
                <w:szCs w:val="20"/>
              </w:rPr>
              <w:t>doba odpisovania</w:t>
            </w:r>
          </w:p>
          <w:p w:rsidR="00DA7AC8" w:rsidRDefault="00DA7AC8" w:rsidP="00493ADC">
            <w:pPr>
              <w:pStyle w:val="Vchodzie"/>
              <w:jc w:val="center"/>
            </w:pPr>
            <w:r>
              <w:rPr>
                <w:rFonts w:ascii="Calibri" w:hAnsi="Calibri" w:cs="Calibri"/>
                <w:b/>
                <w:sz w:val="20"/>
                <w:szCs w:val="20"/>
              </w:rPr>
              <w:t>(počet rokov)</w:t>
            </w:r>
          </w:p>
        </w:tc>
        <w:tc>
          <w:tcPr>
            <w:tcW w:w="22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A7AC8" w:rsidP="00493ADC">
            <w:pPr>
              <w:pStyle w:val="Vchodzie"/>
              <w:jc w:val="center"/>
            </w:pPr>
            <w:r>
              <w:rPr>
                <w:rFonts w:ascii="Calibri" w:hAnsi="Calibri" w:cs="Calibri"/>
                <w:b/>
                <w:sz w:val="20"/>
                <w:szCs w:val="20"/>
              </w:rPr>
              <w:t xml:space="preserve">odpisová skupina </w:t>
            </w:r>
          </w:p>
          <w:p w:rsidR="00DA7AC8" w:rsidRDefault="00DA7AC8" w:rsidP="00493ADC">
            <w:pPr>
              <w:pStyle w:val="Vchodzie"/>
              <w:jc w:val="center"/>
            </w:pPr>
            <w:r>
              <w:rPr>
                <w:rFonts w:ascii="Calibri" w:hAnsi="Calibri" w:cs="Calibri"/>
                <w:b/>
                <w:sz w:val="20"/>
                <w:szCs w:val="20"/>
              </w:rPr>
              <w:t>-sadzba v %</w:t>
            </w:r>
          </w:p>
        </w:tc>
      </w:tr>
      <w:tr w:rsidR="00DA7AC8" w:rsidTr="00493ADC">
        <w:tc>
          <w:tcPr>
            <w:tcW w:w="42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B33E0" w:rsidP="00493ADC">
            <w:pPr>
              <w:pStyle w:val="Vchodzie"/>
              <w:jc w:val="both"/>
            </w:pPr>
            <w:r>
              <w:rPr>
                <w:rFonts w:ascii="Calibri" w:hAnsi="Calibri" w:cs="Calibri"/>
                <w:sz w:val="20"/>
                <w:szCs w:val="20"/>
              </w:rPr>
              <w:t>Ťahač</w:t>
            </w:r>
          </w:p>
        </w:tc>
        <w:tc>
          <w:tcPr>
            <w:tcW w:w="1010"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A7AC8" w:rsidP="00493ADC">
            <w:pPr>
              <w:pStyle w:val="Vchodzie"/>
              <w:jc w:val="center"/>
            </w:pPr>
            <w:r>
              <w:rPr>
                <w:rFonts w:ascii="Calibri" w:hAnsi="Calibri" w:cs="Calibri"/>
                <w:sz w:val="20"/>
                <w:szCs w:val="20"/>
              </w:rPr>
              <w:t>022</w:t>
            </w:r>
            <w:r w:rsidR="00DB33E0">
              <w:rPr>
                <w:rFonts w:ascii="Calibri" w:hAnsi="Calibri" w:cs="Calibri"/>
                <w:sz w:val="20"/>
                <w:szCs w:val="20"/>
              </w:rPr>
              <w:t xml:space="preserve"> A</w:t>
            </w:r>
          </w:p>
        </w:tc>
        <w:tc>
          <w:tcPr>
            <w:tcW w:w="210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B33E0" w:rsidP="00493ADC">
            <w:pPr>
              <w:pStyle w:val="Vchodzie"/>
              <w:jc w:val="center"/>
            </w:pPr>
            <w:r>
              <w:rPr>
                <w:rFonts w:ascii="Calibri" w:hAnsi="Calibri" w:cs="Calibri"/>
                <w:sz w:val="20"/>
                <w:szCs w:val="20"/>
              </w:rPr>
              <w:t>6</w:t>
            </w:r>
          </w:p>
        </w:tc>
        <w:tc>
          <w:tcPr>
            <w:tcW w:w="22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B33E0" w:rsidP="00493ADC">
            <w:pPr>
              <w:pStyle w:val="Vchodzie"/>
              <w:jc w:val="center"/>
            </w:pPr>
            <w:r>
              <w:rPr>
                <w:rFonts w:ascii="Calibri" w:hAnsi="Calibri" w:cs="Calibri"/>
                <w:sz w:val="20"/>
                <w:szCs w:val="20"/>
              </w:rPr>
              <w:t>16,67%</w:t>
            </w:r>
          </w:p>
        </w:tc>
      </w:tr>
      <w:tr w:rsidR="00DA7AC8" w:rsidTr="00493ADC">
        <w:tc>
          <w:tcPr>
            <w:tcW w:w="42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B33E0" w:rsidP="00493ADC">
            <w:pPr>
              <w:pStyle w:val="Vchodzie"/>
              <w:jc w:val="both"/>
            </w:pPr>
            <w:r>
              <w:rPr>
                <w:rFonts w:ascii="Calibri" w:hAnsi="Calibri" w:cs="Calibri"/>
                <w:sz w:val="20"/>
                <w:szCs w:val="20"/>
              </w:rPr>
              <w:t>Náves</w:t>
            </w:r>
          </w:p>
        </w:tc>
        <w:tc>
          <w:tcPr>
            <w:tcW w:w="1010"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A7AC8" w:rsidP="00493ADC">
            <w:pPr>
              <w:pStyle w:val="Vchodzie"/>
              <w:jc w:val="center"/>
            </w:pPr>
            <w:r>
              <w:rPr>
                <w:rFonts w:ascii="Calibri" w:hAnsi="Calibri" w:cs="Calibri"/>
                <w:sz w:val="20"/>
                <w:szCs w:val="20"/>
              </w:rPr>
              <w:t>022.A</w:t>
            </w:r>
          </w:p>
        </w:tc>
        <w:tc>
          <w:tcPr>
            <w:tcW w:w="210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B33E0" w:rsidP="00493ADC">
            <w:pPr>
              <w:pStyle w:val="Vchodzie"/>
              <w:jc w:val="center"/>
            </w:pPr>
            <w:r>
              <w:rPr>
                <w:rFonts w:ascii="Calibri" w:hAnsi="Calibri" w:cs="Calibri"/>
                <w:sz w:val="20"/>
                <w:szCs w:val="20"/>
              </w:rPr>
              <w:t>6</w:t>
            </w:r>
          </w:p>
        </w:tc>
        <w:tc>
          <w:tcPr>
            <w:tcW w:w="227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DA7AC8" w:rsidRDefault="00DB33E0" w:rsidP="00493ADC">
            <w:pPr>
              <w:pStyle w:val="Vchodzie"/>
              <w:jc w:val="center"/>
            </w:pPr>
            <w:r>
              <w:rPr>
                <w:rFonts w:ascii="Calibri" w:hAnsi="Calibri" w:cs="Calibri"/>
                <w:sz w:val="20"/>
                <w:szCs w:val="20"/>
              </w:rPr>
              <w:t>16,67 %</w:t>
            </w:r>
          </w:p>
        </w:tc>
      </w:tr>
    </w:tbl>
    <w:p w:rsidR="00DA7AC8" w:rsidRDefault="00DA7AC8" w:rsidP="00DA7AC8">
      <w:pPr>
        <w:pStyle w:val="Telotextu"/>
      </w:pPr>
    </w:p>
    <w:p w:rsidR="00DA7AC8" w:rsidRDefault="00DA7AC8" w:rsidP="00DA7AC8">
      <w:pPr>
        <w:pStyle w:val="Vchodzie"/>
        <w:spacing w:after="120"/>
        <w:jc w:val="both"/>
        <w:rPr>
          <w:rFonts w:ascii="Calibri" w:hAnsi="Calibri" w:cs="Calibri"/>
          <w:sz w:val="20"/>
          <w:szCs w:val="20"/>
        </w:rPr>
      </w:pPr>
      <w:r>
        <w:rPr>
          <w:rFonts w:ascii="Calibri" w:hAnsi="Calibri" w:cs="Calibri"/>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426E1" w:rsidRDefault="002426E1" w:rsidP="00DA7AC8">
      <w:pPr>
        <w:pStyle w:val="Vchodzie"/>
        <w:spacing w:after="120"/>
        <w:jc w:val="both"/>
        <w:rPr>
          <w:rFonts w:ascii="Calibri" w:hAnsi="Calibri" w:cs="Calibri"/>
          <w:b/>
          <w:sz w:val="22"/>
          <w:szCs w:val="22"/>
        </w:rPr>
      </w:pPr>
    </w:p>
    <w:p w:rsidR="00DA7AC8" w:rsidRDefault="00DA7AC8" w:rsidP="00DA7AC8">
      <w:pPr>
        <w:pStyle w:val="Vchodzie"/>
        <w:spacing w:after="120"/>
        <w:jc w:val="both"/>
      </w:pPr>
      <w:r>
        <w:rPr>
          <w:rFonts w:ascii="Calibri" w:hAnsi="Calibri" w:cs="Calibri"/>
          <w:b/>
          <w:sz w:val="22"/>
          <w:szCs w:val="22"/>
        </w:rPr>
        <w:lastRenderedPageBreak/>
        <w:t>2. Zásoby</w:t>
      </w:r>
    </w:p>
    <w:p w:rsidR="00DB33E0" w:rsidRPr="00737A98" w:rsidRDefault="00DB33E0" w:rsidP="00DB33E0">
      <w:pPr>
        <w:spacing w:after="120"/>
        <w:jc w:val="both"/>
        <w:rPr>
          <w:rFonts w:asciiTheme="minorHAnsi" w:hAnsiTheme="minorHAnsi" w:cstheme="minorHAnsi"/>
          <w:sz w:val="20"/>
          <w:szCs w:val="20"/>
        </w:rPr>
      </w:pPr>
      <w:r w:rsidRPr="00737A98">
        <w:rPr>
          <w:rFonts w:asciiTheme="minorHAnsi" w:hAnsiTheme="minorHAnsi" w:cstheme="minorHAnsi"/>
          <w:sz w:val="20"/>
          <w:szCs w:val="20"/>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rsidR="00DB33E0" w:rsidRPr="00737A98" w:rsidRDefault="00DB33E0" w:rsidP="00DB33E0">
      <w:pPr>
        <w:spacing w:after="120"/>
        <w:jc w:val="both"/>
        <w:rPr>
          <w:rFonts w:asciiTheme="minorHAnsi" w:hAnsiTheme="minorHAnsi" w:cstheme="minorHAnsi"/>
          <w:sz w:val="20"/>
          <w:szCs w:val="20"/>
        </w:rPr>
      </w:pPr>
      <w:r w:rsidRPr="00737A98">
        <w:rPr>
          <w:rFonts w:asciiTheme="minorHAnsi" w:hAnsiTheme="minorHAnsi" w:cstheme="minorHAnsi"/>
          <w:sz w:val="20"/>
          <w:szCs w:val="20"/>
        </w:rPr>
        <w:t xml:space="preserve">V prípade prechodného zníženia úžitkovej hodnoty zásob sa tvorí opravná položka. </w:t>
      </w:r>
    </w:p>
    <w:p w:rsidR="00DA7AC8" w:rsidRDefault="00DA7AC8" w:rsidP="00DA7AC8">
      <w:pPr>
        <w:pStyle w:val="Vchodzie"/>
        <w:spacing w:after="120"/>
        <w:jc w:val="both"/>
      </w:pPr>
      <w:r>
        <w:rPr>
          <w:rFonts w:ascii="Calibri" w:hAnsi="Calibri" w:cs="Calibri"/>
          <w:b/>
          <w:sz w:val="22"/>
          <w:szCs w:val="22"/>
        </w:rPr>
        <w:t>3. Pohľadávky</w:t>
      </w:r>
    </w:p>
    <w:p w:rsidR="00DA7AC8" w:rsidRDefault="00DA7AC8" w:rsidP="00DA7AC8">
      <w:pPr>
        <w:pStyle w:val="Vchodzie"/>
        <w:spacing w:after="120"/>
        <w:jc w:val="both"/>
      </w:pPr>
      <w:r>
        <w:rPr>
          <w:rFonts w:ascii="Calibri" w:hAnsi="Calibri" w:cs="Calibri"/>
          <w:sz w:val="20"/>
          <w:szCs w:val="20"/>
        </w:rPr>
        <w:t>Pohľadávky sa pri ich vzniku oceňujú ich menovitou hodnotou. Opravná položka sa vytvára k pochybným a nedobytným pohľadávkam, kde existuje riziko nevymožiteľnosti pohľadávok. Spoločnosť tvorí opravné položky k pohľadávkam u týchto pohľadávok:</w:t>
      </w:r>
    </w:p>
    <w:p w:rsidR="00DA7AC8" w:rsidRDefault="00DA7AC8" w:rsidP="00DA7AC8">
      <w:pPr>
        <w:pStyle w:val="Vchodzie"/>
        <w:spacing w:after="120"/>
        <w:jc w:val="both"/>
      </w:pPr>
      <w:r>
        <w:rPr>
          <w:rFonts w:ascii="Calibri" w:hAnsi="Calibri" w:cs="Calibri"/>
          <w:sz w:val="20"/>
          <w:szCs w:val="20"/>
        </w:rPr>
        <w:t>-pohľadávok,  u ktorých sa dá predpokladať, že dlžník pohľadávku nevyrovná čiastočne alebo úplne,</w:t>
      </w:r>
    </w:p>
    <w:p w:rsidR="00DA7AC8" w:rsidRDefault="00DA7AC8" w:rsidP="00DA7AC8">
      <w:pPr>
        <w:pStyle w:val="Vchodzie"/>
        <w:spacing w:after="120"/>
        <w:jc w:val="both"/>
      </w:pPr>
      <w:r>
        <w:rPr>
          <w:rFonts w:ascii="Calibri" w:hAnsi="Calibri" w:cs="Calibri"/>
          <w:sz w:val="20"/>
          <w:szCs w:val="20"/>
        </w:rPr>
        <w:t xml:space="preserve">-pri sporných pohľadávkach, t.j. k pohľadávkam voči dlžníkom, s ktorými vedie spor o uznanie </w:t>
      </w:r>
    </w:p>
    <w:p w:rsidR="00DA7AC8" w:rsidRDefault="00DA7AC8" w:rsidP="00DA7AC8">
      <w:pPr>
        <w:pStyle w:val="Vchodzie"/>
        <w:spacing w:after="120"/>
        <w:jc w:val="both"/>
      </w:pPr>
      <w:r>
        <w:rPr>
          <w:rFonts w:ascii="Calibri" w:hAnsi="Calibri" w:cs="Calibri"/>
          <w:sz w:val="20"/>
          <w:szCs w:val="20"/>
        </w:rPr>
        <w:t>Spoločnosť tvorí opravné položky nasledovne:</w:t>
      </w:r>
    </w:p>
    <w:p w:rsidR="00DA7AC8" w:rsidRDefault="00DA7AC8" w:rsidP="00DA7AC8">
      <w:pPr>
        <w:pStyle w:val="Vchodzie"/>
        <w:spacing w:after="120"/>
        <w:jc w:val="both"/>
      </w:pPr>
      <w:r>
        <w:rPr>
          <w:rFonts w:ascii="Calibri" w:hAnsi="Calibri" w:cs="Calibri"/>
          <w:sz w:val="20"/>
          <w:szCs w:val="20"/>
        </w:rPr>
        <w:t xml:space="preserve">365 dní, </w:t>
      </w:r>
      <w:bookmarkStart w:id="0" w:name="__DdeLink__613_1483637937"/>
      <w:bookmarkEnd w:id="0"/>
      <w:r>
        <w:rPr>
          <w:rFonts w:ascii="Calibri" w:hAnsi="Calibri" w:cs="Calibri"/>
          <w:sz w:val="20"/>
          <w:szCs w:val="20"/>
        </w:rPr>
        <w:t>sa zahrnie do výdavkov do výšky 20% menovitej hodnoty pohľadávky alebo jej nesplatenej časti bez príslušenstva v zdaňovacom období v ktorom uplynula táto doba</w:t>
      </w:r>
    </w:p>
    <w:p w:rsidR="00DA7AC8" w:rsidRDefault="00DA7AC8" w:rsidP="00DA7AC8">
      <w:pPr>
        <w:pStyle w:val="Vchodzie"/>
        <w:spacing w:after="120"/>
        <w:jc w:val="both"/>
      </w:pPr>
      <w:r>
        <w:rPr>
          <w:rFonts w:ascii="Calibri" w:hAnsi="Calibri" w:cs="Calibri"/>
          <w:sz w:val="20"/>
          <w:szCs w:val="20"/>
        </w:rPr>
        <w:t>720 dní, sa zahrnie do výdavkov do výšky 50% menovitej hodnoty pohľadávky alebo jej nesplatenej časti bez príslušenstva v zdaňovacom období v ktorom uplynula táto doba</w:t>
      </w:r>
    </w:p>
    <w:p w:rsidR="00DA7AC8" w:rsidRDefault="00DA7AC8" w:rsidP="00DA7AC8">
      <w:pPr>
        <w:pStyle w:val="Vchodzie"/>
        <w:spacing w:after="120"/>
        <w:jc w:val="both"/>
      </w:pPr>
      <w:r>
        <w:rPr>
          <w:rFonts w:ascii="Calibri" w:hAnsi="Calibri" w:cs="Calibri"/>
          <w:sz w:val="20"/>
          <w:szCs w:val="20"/>
        </w:rPr>
        <w:t>1080 dní, sa zahrnie do výdavkov do výšky 100% menovitej hodnoty pohľadávky alebo jej nesplatenej časti bez príslušenstva v zdaňovacom období v ktorom uplynula táto doba</w:t>
      </w:r>
    </w:p>
    <w:p w:rsidR="00DA7AC8" w:rsidRDefault="00DA7AC8" w:rsidP="00DA7AC8">
      <w:pPr>
        <w:pStyle w:val="Vchodzie"/>
        <w:spacing w:after="120"/>
        <w:jc w:val="both"/>
      </w:pPr>
      <w:r>
        <w:rPr>
          <w:rFonts w:ascii="Calibri" w:hAnsi="Calibri" w:cs="Calibri"/>
          <w:b/>
          <w:sz w:val="22"/>
          <w:szCs w:val="22"/>
        </w:rPr>
        <w:t>4. Finančné účty</w:t>
      </w:r>
    </w:p>
    <w:p w:rsidR="00DA7AC8" w:rsidRDefault="00DA7AC8" w:rsidP="00DA7AC8">
      <w:pPr>
        <w:pStyle w:val="Vchodzie"/>
        <w:spacing w:after="120"/>
        <w:jc w:val="both"/>
      </w:pPr>
      <w:r>
        <w:rPr>
          <w:rFonts w:ascii="Calibri" w:hAnsi="Calibri" w:cs="Calibri"/>
          <w:sz w:val="20"/>
          <w:szCs w:val="20"/>
        </w:rPr>
        <w:t xml:space="preserve">Finančné účty tvorí peňažná hotovosť, zostatky na bankových účtoch a ceniny. </w:t>
      </w:r>
    </w:p>
    <w:p w:rsidR="00DA7AC8" w:rsidRDefault="00DA7AC8" w:rsidP="00DA7AC8">
      <w:pPr>
        <w:pStyle w:val="Vchodzie"/>
        <w:spacing w:after="120"/>
        <w:jc w:val="both"/>
      </w:pPr>
      <w:r>
        <w:rPr>
          <w:rFonts w:ascii="Calibri" w:hAnsi="Calibri" w:cs="Calibri"/>
          <w:b/>
          <w:sz w:val="22"/>
          <w:szCs w:val="22"/>
        </w:rPr>
        <w:t>5. Náklady budúcich období a príjmy budúcich období</w:t>
      </w:r>
    </w:p>
    <w:p w:rsidR="00DA7AC8" w:rsidRDefault="00DA7AC8" w:rsidP="00DA7AC8">
      <w:pPr>
        <w:pStyle w:val="Vchodzie"/>
        <w:spacing w:after="120"/>
        <w:jc w:val="both"/>
      </w:pPr>
      <w:r>
        <w:rPr>
          <w:rFonts w:ascii="Calibri" w:hAnsi="Calibri" w:cs="Calibri"/>
          <w:sz w:val="20"/>
          <w:szCs w:val="20"/>
        </w:rPr>
        <w:t>Náklady budúcich období a príjmy budúcich období sú vykázané vo výške, ktorá je potrebná na dodržanie zásady vecnej a časovej súvislosti s účtovným obdobím.</w:t>
      </w:r>
    </w:p>
    <w:p w:rsidR="00DA7AC8" w:rsidRDefault="00DA7AC8" w:rsidP="00DA7AC8">
      <w:pPr>
        <w:pStyle w:val="Vchodzie"/>
        <w:spacing w:after="120"/>
        <w:jc w:val="both"/>
      </w:pPr>
      <w:r>
        <w:rPr>
          <w:rFonts w:ascii="Calibri" w:hAnsi="Calibri" w:cs="Calibri"/>
          <w:b/>
          <w:sz w:val="22"/>
          <w:szCs w:val="22"/>
        </w:rPr>
        <w:t>6. Opravné položky</w:t>
      </w:r>
    </w:p>
    <w:p w:rsidR="00DA7AC8" w:rsidRDefault="00DA7AC8" w:rsidP="00DA7AC8">
      <w:pPr>
        <w:pStyle w:val="Vchodzie"/>
        <w:spacing w:after="120"/>
        <w:jc w:val="both"/>
      </w:pPr>
      <w:r>
        <w:rPr>
          <w:rFonts w:ascii="Calibri" w:hAnsi="Calibri" w:cs="Calibri"/>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7AC8" w:rsidRDefault="00DA7AC8" w:rsidP="00DA7AC8">
      <w:pPr>
        <w:pStyle w:val="Vchodzie"/>
        <w:spacing w:after="120"/>
        <w:jc w:val="both"/>
      </w:pPr>
      <w:r>
        <w:rPr>
          <w:rFonts w:ascii="Calibri" w:hAnsi="Calibri" w:cs="Calibri"/>
          <w:b/>
          <w:sz w:val="22"/>
          <w:szCs w:val="22"/>
        </w:rPr>
        <w:t xml:space="preserve"> 7. Rezervy</w:t>
      </w:r>
    </w:p>
    <w:p w:rsidR="00DA7AC8" w:rsidRDefault="00DA7AC8" w:rsidP="00DA7AC8">
      <w:pPr>
        <w:pStyle w:val="Vchodzie"/>
        <w:spacing w:after="120"/>
        <w:jc w:val="both"/>
      </w:pPr>
      <w:r>
        <w:rPr>
          <w:rFonts w:ascii="Calibri" w:hAnsi="Calibri" w:cs="Calibri"/>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7AC8" w:rsidRDefault="00DA7AC8" w:rsidP="00DA7AC8">
      <w:pPr>
        <w:pStyle w:val="Vchodzie"/>
        <w:spacing w:after="120"/>
        <w:jc w:val="both"/>
      </w:pPr>
      <w:r>
        <w:rPr>
          <w:rFonts w:ascii="Calibri" w:hAnsi="Calibri" w:cs="Calibri"/>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DA7AC8" w:rsidRDefault="00DA7AC8" w:rsidP="00DA7AC8">
      <w:pPr>
        <w:pStyle w:val="Vchodzie"/>
        <w:spacing w:after="120"/>
        <w:jc w:val="both"/>
      </w:pPr>
      <w:r>
        <w:rPr>
          <w:rFonts w:ascii="Calibri" w:hAnsi="Calibri" w:cs="Calibri"/>
          <w:sz w:val="20"/>
          <w:szCs w:val="20"/>
        </w:rPr>
        <w:t>Rezerva na bonusy, rabaty, skontá a vrátenie kúpnej ceny pri reklamácii sa tvorí ako zníženie pôvodne dosiahnutých výnosov so súvzťažným zápisom v prospech účtu rezerv.</w:t>
      </w:r>
    </w:p>
    <w:p w:rsidR="00DA7AC8" w:rsidRDefault="00DA7AC8" w:rsidP="00DA7AC8">
      <w:pPr>
        <w:pStyle w:val="Vchodzie"/>
        <w:spacing w:after="120"/>
        <w:jc w:val="both"/>
      </w:pPr>
      <w:r>
        <w:rPr>
          <w:rFonts w:ascii="Calibri" w:hAnsi="Calibri" w:cs="Calibri"/>
          <w:sz w:val="20"/>
          <w:szCs w:val="20"/>
        </w:rPr>
        <w:t>Spoločnosť tvorila zákonné rezervy na zostatkové dovolenky a odvody z týchto súm  a z ostatných rezerv vytvorila rezervu na  overenie účtovnej závierky a výročnej správy. Spoločnosť predpokladá, že rezervy použije v roku 2017.</w:t>
      </w:r>
    </w:p>
    <w:p w:rsidR="00DA7AC8" w:rsidRDefault="00DA7AC8" w:rsidP="00DA7AC8">
      <w:pPr>
        <w:pStyle w:val="Vchodzie"/>
        <w:spacing w:after="120"/>
        <w:jc w:val="both"/>
      </w:pPr>
      <w:r>
        <w:rPr>
          <w:rFonts w:ascii="Calibri" w:hAnsi="Calibri" w:cs="Calibri"/>
          <w:b/>
          <w:sz w:val="22"/>
          <w:szCs w:val="22"/>
        </w:rPr>
        <w:t>8.  Záväzky</w:t>
      </w:r>
    </w:p>
    <w:p w:rsidR="00DA7AC8" w:rsidRDefault="00DA7AC8" w:rsidP="00DA7AC8">
      <w:pPr>
        <w:pStyle w:val="Vchodzie"/>
        <w:spacing w:after="120"/>
        <w:jc w:val="both"/>
      </w:pPr>
      <w:r>
        <w:rPr>
          <w:rFonts w:ascii="Calibri" w:hAnsi="Calibri" w:cs="Calibri"/>
          <w:sz w:val="20"/>
          <w:szCs w:val="20"/>
        </w:rPr>
        <w:t xml:space="preserve">Záväzky pri ich vzniku sa oceňujú menovitou hodnotou. Záväzky pri ich prevzatí sa oceňujú obstarávacou cenou. </w:t>
      </w:r>
    </w:p>
    <w:p w:rsidR="00DB33E0" w:rsidRDefault="00DB33E0" w:rsidP="00DA7AC8">
      <w:pPr>
        <w:pStyle w:val="Vchodzie"/>
        <w:spacing w:after="120"/>
        <w:jc w:val="both"/>
        <w:rPr>
          <w:rFonts w:ascii="Calibri" w:hAnsi="Calibri" w:cs="Calibri"/>
          <w:b/>
          <w:sz w:val="22"/>
          <w:szCs w:val="22"/>
        </w:rPr>
      </w:pPr>
    </w:p>
    <w:p w:rsidR="000921A4" w:rsidRDefault="000921A4" w:rsidP="00DA7AC8">
      <w:pPr>
        <w:pStyle w:val="Vchodzie"/>
        <w:spacing w:after="120"/>
        <w:jc w:val="both"/>
        <w:rPr>
          <w:rFonts w:ascii="Calibri" w:hAnsi="Calibri" w:cs="Calibri"/>
          <w:b/>
          <w:sz w:val="22"/>
          <w:szCs w:val="22"/>
        </w:rPr>
      </w:pPr>
    </w:p>
    <w:p w:rsidR="00DA7AC8" w:rsidRDefault="00DA7AC8" w:rsidP="00DA7AC8">
      <w:pPr>
        <w:pStyle w:val="Vchodzie"/>
        <w:spacing w:after="120"/>
        <w:jc w:val="both"/>
      </w:pPr>
      <w:r>
        <w:rPr>
          <w:rFonts w:ascii="Calibri" w:hAnsi="Calibri" w:cs="Calibri"/>
          <w:b/>
          <w:sz w:val="22"/>
          <w:szCs w:val="22"/>
        </w:rPr>
        <w:lastRenderedPageBreak/>
        <w:t>9. Zamestnanecké požitky</w:t>
      </w:r>
    </w:p>
    <w:p w:rsidR="00DA7AC8" w:rsidRDefault="00DA7AC8" w:rsidP="00DA7AC8">
      <w:pPr>
        <w:pStyle w:val="Vchodzie"/>
        <w:spacing w:after="120"/>
        <w:jc w:val="both"/>
      </w:pPr>
      <w:r>
        <w:rPr>
          <w:rFonts w:ascii="Calibri" w:hAnsi="Calibri" w:cs="Calibri"/>
          <w:sz w:val="20"/>
          <w:szCs w:val="20"/>
        </w:rPr>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rsidR="00DA7AC8" w:rsidRDefault="00DA7AC8" w:rsidP="00DA7AC8">
      <w:pPr>
        <w:pStyle w:val="Vchodzie"/>
        <w:spacing w:after="120"/>
        <w:jc w:val="both"/>
      </w:pPr>
      <w:r>
        <w:rPr>
          <w:rFonts w:ascii="Calibri" w:hAnsi="Calibri" w:cs="Calibri"/>
          <w:sz w:val="20"/>
          <w:szCs w:val="20"/>
        </w:rPr>
        <w:t xml:space="preserve">Zamestnanec má na základe Zákonníka práce pri odchode do starobného dôchodku nárok na odmenu vo výške jednej priemernej mesačnej mzdy.    </w:t>
      </w:r>
    </w:p>
    <w:p w:rsidR="00DA7AC8" w:rsidRDefault="00DA7AC8" w:rsidP="00DA7AC8">
      <w:pPr>
        <w:pStyle w:val="Vchodzie"/>
        <w:spacing w:after="120"/>
        <w:jc w:val="both"/>
      </w:pPr>
      <w:r>
        <w:rPr>
          <w:rFonts w:ascii="Calibri" w:hAnsi="Calibri" w:cs="Calibri"/>
          <w:b/>
          <w:sz w:val="22"/>
          <w:szCs w:val="22"/>
        </w:rPr>
        <w:t>10. Splatná daň z príjmu</w:t>
      </w:r>
    </w:p>
    <w:p w:rsidR="00DA7AC8" w:rsidRDefault="00DA7AC8" w:rsidP="00DA7AC8">
      <w:pPr>
        <w:pStyle w:val="Vchodzie"/>
        <w:spacing w:after="120"/>
        <w:jc w:val="both"/>
      </w:pPr>
      <w:r>
        <w:rPr>
          <w:rFonts w:ascii="Calibri" w:hAnsi="Calibri" w:cs="Calibri"/>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výsledný daňový záväzok.</w:t>
      </w:r>
    </w:p>
    <w:p w:rsidR="00DA7AC8" w:rsidRDefault="00DA7AC8" w:rsidP="00DA7AC8">
      <w:pPr>
        <w:pStyle w:val="Vchodzie"/>
        <w:spacing w:after="120"/>
        <w:jc w:val="both"/>
      </w:pPr>
      <w:r>
        <w:rPr>
          <w:rFonts w:ascii="Calibri" w:hAnsi="Calibri" w:cs="Calibri"/>
          <w:b/>
          <w:sz w:val="22"/>
          <w:szCs w:val="22"/>
        </w:rPr>
        <w:t>11. Odložená daň z príjmu</w:t>
      </w:r>
    </w:p>
    <w:p w:rsidR="00DA7AC8" w:rsidRDefault="00DA7AC8" w:rsidP="00DA7AC8">
      <w:pPr>
        <w:pStyle w:val="Vchodzie"/>
        <w:spacing w:after="120"/>
        <w:jc w:val="both"/>
      </w:pPr>
      <w:r>
        <w:rPr>
          <w:rFonts w:ascii="Calibri" w:hAnsi="Calibri" w:cs="Calibri"/>
          <w:sz w:val="20"/>
          <w:szCs w:val="20"/>
        </w:rPr>
        <w:t>Odložená daň z príjmu vyplýva z:</w:t>
      </w:r>
    </w:p>
    <w:p w:rsidR="00DA7AC8" w:rsidRDefault="00DA7AC8" w:rsidP="00AB1F17">
      <w:pPr>
        <w:pStyle w:val="Vchodzie"/>
        <w:spacing w:after="120"/>
      </w:pPr>
      <w:r>
        <w:rPr>
          <w:rFonts w:ascii="Calibri" w:hAnsi="Calibri" w:cs="Calibri"/>
          <w:sz w:val="20"/>
          <w:szCs w:val="20"/>
        </w:rPr>
        <w:t>a) rozdielov medzi účtovnou hodnotou majetku a účtovnou hodnotou záväzkov vykázanou v</w:t>
      </w:r>
      <w:r w:rsidR="00AA159B">
        <w:rPr>
          <w:rFonts w:ascii="Calibri" w:hAnsi="Calibri" w:cs="Calibri"/>
          <w:sz w:val="20"/>
          <w:szCs w:val="20"/>
        </w:rPr>
        <w:t> </w:t>
      </w:r>
      <w:r>
        <w:rPr>
          <w:rFonts w:ascii="Calibri" w:hAnsi="Calibri" w:cs="Calibri"/>
          <w:sz w:val="20"/>
          <w:szCs w:val="20"/>
        </w:rPr>
        <w:t>súvahe</w:t>
      </w:r>
      <w:r w:rsidR="00AA159B">
        <w:rPr>
          <w:rFonts w:ascii="Calibri" w:hAnsi="Calibri" w:cs="Calibri"/>
          <w:sz w:val="20"/>
          <w:szCs w:val="20"/>
        </w:rPr>
        <w:t xml:space="preserve"> </w:t>
      </w:r>
      <w:r>
        <w:rPr>
          <w:rFonts w:ascii="Calibri" w:hAnsi="Calibri" w:cs="Calibri"/>
          <w:sz w:val="20"/>
          <w:szCs w:val="20"/>
        </w:rPr>
        <w:t>a ich daňovou základňou,</w:t>
      </w:r>
    </w:p>
    <w:p w:rsidR="00DA7AC8" w:rsidRDefault="00DA7AC8" w:rsidP="00AB1F17">
      <w:pPr>
        <w:pStyle w:val="Vchodzie"/>
        <w:spacing w:after="120"/>
      </w:pPr>
      <w:r>
        <w:rPr>
          <w:rFonts w:ascii="Calibri" w:hAnsi="Calibri" w:cs="Calibri"/>
          <w:sz w:val="20"/>
          <w:szCs w:val="20"/>
        </w:rPr>
        <w:t>b) možnosti umorovať daňovú stratu v budúcnosti, pod ktorou sa rozumie možnosť odpočítať daňovú</w:t>
      </w:r>
      <w:r w:rsidR="00AA159B">
        <w:rPr>
          <w:rFonts w:ascii="Calibri" w:hAnsi="Calibri" w:cs="Calibri"/>
          <w:sz w:val="20"/>
          <w:szCs w:val="20"/>
        </w:rPr>
        <w:t xml:space="preserve"> </w:t>
      </w:r>
      <w:r>
        <w:rPr>
          <w:rFonts w:ascii="Calibri" w:hAnsi="Calibri" w:cs="Calibri"/>
          <w:sz w:val="20"/>
          <w:szCs w:val="20"/>
        </w:rPr>
        <w:t>stratu od základu dane v budúcnosti,</w:t>
      </w:r>
    </w:p>
    <w:p w:rsidR="00DA7AC8" w:rsidRDefault="00DA7AC8" w:rsidP="00DA7AC8">
      <w:pPr>
        <w:pStyle w:val="Vchodzie"/>
        <w:spacing w:after="120"/>
        <w:jc w:val="both"/>
      </w:pPr>
      <w:r>
        <w:rPr>
          <w:rFonts w:ascii="Calibri" w:hAnsi="Calibri" w:cs="Calibri"/>
          <w:sz w:val="20"/>
          <w:szCs w:val="20"/>
        </w:rPr>
        <w:t>c) možnosti previesť nevyužité daňové odpočty a iné daňové nároky do budúcich období.</w:t>
      </w:r>
    </w:p>
    <w:p w:rsidR="00DA7AC8" w:rsidRDefault="00DA7AC8" w:rsidP="00DA7AC8">
      <w:pPr>
        <w:pStyle w:val="Vchodzie"/>
        <w:spacing w:after="120"/>
        <w:jc w:val="both"/>
      </w:pPr>
      <w:r>
        <w:rPr>
          <w:rFonts w:ascii="Calibri" w:hAnsi="Calibri" w:cs="Calibri"/>
          <w:sz w:val="20"/>
          <w:szCs w:val="20"/>
        </w:rPr>
        <w:t>Odložená daňová pohľadávka sa účtuje iba do takej výšky, do akej je pravdepodobné, že bude možné dočasné rozdiely vyrovnať voči budúcemu základu dane.</w:t>
      </w:r>
    </w:p>
    <w:p w:rsidR="00DA7AC8" w:rsidRDefault="00DA7AC8" w:rsidP="00DA7AC8">
      <w:pPr>
        <w:pStyle w:val="Vchodzie"/>
        <w:spacing w:after="120"/>
        <w:jc w:val="both"/>
      </w:pPr>
      <w:r>
        <w:rPr>
          <w:rFonts w:ascii="Calibri" w:hAnsi="Calibri" w:cs="Calibri"/>
          <w:sz w:val="20"/>
          <w:szCs w:val="20"/>
        </w:rPr>
        <w:t xml:space="preserve">Pri výpočte odloženej dane sa použije sadzba dane z príjmov, o ktorej sa predpokladá, že bude platiť v čase vyrovnania odloženej dane. </w:t>
      </w:r>
    </w:p>
    <w:p w:rsidR="00DA7AC8" w:rsidRDefault="00DA7AC8" w:rsidP="00DA7AC8">
      <w:pPr>
        <w:pStyle w:val="Vchodzie"/>
        <w:spacing w:after="120"/>
        <w:jc w:val="both"/>
      </w:pPr>
      <w:r>
        <w:rPr>
          <w:rFonts w:ascii="Calibri" w:hAnsi="Calibri" w:cs="Calibri"/>
          <w:b/>
          <w:sz w:val="22"/>
          <w:szCs w:val="22"/>
        </w:rPr>
        <w:t>12. Výdavky budúcich období a výnosy budúcich období</w:t>
      </w:r>
    </w:p>
    <w:p w:rsidR="00DA7AC8" w:rsidRDefault="00DA7AC8" w:rsidP="00DA7AC8">
      <w:pPr>
        <w:pStyle w:val="Vchodzie"/>
        <w:spacing w:after="120"/>
        <w:jc w:val="both"/>
      </w:pPr>
      <w:r>
        <w:rPr>
          <w:rFonts w:ascii="Calibri" w:hAnsi="Calibri" w:cs="Calibri"/>
          <w:sz w:val="20"/>
          <w:szCs w:val="20"/>
        </w:rPr>
        <w:t>Výdavky budúcich období a výnosy budúcich období sú vykázané vo výške, ktorá je potrebná na dodržanie zásady vecnej a časovej súvislosti s účtovným obdobím.</w:t>
      </w:r>
    </w:p>
    <w:p w:rsidR="005D7FF1" w:rsidRDefault="00DA7AC8" w:rsidP="00DA7AC8">
      <w:pPr>
        <w:pStyle w:val="Vchodzie"/>
        <w:spacing w:after="120"/>
        <w:jc w:val="both"/>
        <w:rPr>
          <w:rFonts w:ascii="Calibri" w:hAnsi="Calibri" w:cs="Calibri"/>
          <w:b/>
          <w:sz w:val="22"/>
          <w:szCs w:val="22"/>
        </w:rPr>
      </w:pPr>
      <w:r>
        <w:rPr>
          <w:rFonts w:ascii="Calibri" w:hAnsi="Calibri" w:cs="Calibri"/>
          <w:b/>
          <w:sz w:val="22"/>
          <w:szCs w:val="22"/>
        </w:rPr>
        <w:t xml:space="preserve">13. </w:t>
      </w:r>
      <w:r w:rsidR="005D7FF1">
        <w:rPr>
          <w:rFonts w:ascii="Calibri" w:hAnsi="Calibri" w:cs="Calibri"/>
          <w:b/>
          <w:sz w:val="22"/>
          <w:szCs w:val="22"/>
        </w:rPr>
        <w:t>Prenájom (l</w:t>
      </w:r>
      <w:r>
        <w:rPr>
          <w:rFonts w:ascii="Calibri" w:hAnsi="Calibri" w:cs="Calibri"/>
          <w:b/>
          <w:sz w:val="22"/>
          <w:szCs w:val="22"/>
        </w:rPr>
        <w:t>easing</w:t>
      </w:r>
      <w:r w:rsidR="005D7FF1">
        <w:rPr>
          <w:rFonts w:ascii="Calibri" w:hAnsi="Calibri" w:cs="Calibri"/>
          <w:b/>
          <w:sz w:val="22"/>
          <w:szCs w:val="22"/>
        </w:rPr>
        <w:t>)</w:t>
      </w:r>
    </w:p>
    <w:p w:rsidR="00DA7AC8" w:rsidRDefault="00DA7AC8" w:rsidP="00DA7AC8">
      <w:pPr>
        <w:pStyle w:val="Vchodzie"/>
        <w:spacing w:after="120"/>
        <w:jc w:val="both"/>
      </w:pPr>
      <w:r>
        <w:rPr>
          <w:rFonts w:ascii="Calibri" w:hAnsi="Calibri" w:cs="Calibri"/>
          <w:b/>
          <w:sz w:val="22"/>
          <w:szCs w:val="22"/>
        </w:rPr>
        <w:t xml:space="preserve"> (Spoločnosť je nájomca)</w:t>
      </w:r>
    </w:p>
    <w:p w:rsidR="00DA7AC8" w:rsidRDefault="00DA7AC8" w:rsidP="00DA7AC8">
      <w:pPr>
        <w:pStyle w:val="Vchodzie"/>
        <w:spacing w:after="120"/>
        <w:jc w:val="both"/>
      </w:pPr>
      <w:r>
        <w:rPr>
          <w:rFonts w:ascii="Calibri" w:hAnsi="Calibri" w:cs="Calibri"/>
          <w:sz w:val="20"/>
          <w:szCs w:val="20"/>
        </w:rPr>
        <w:t xml:space="preserve">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Finančné náklady sa vykazujú ako úroky. </w:t>
      </w:r>
    </w:p>
    <w:p w:rsidR="00DA7AC8" w:rsidRDefault="00DA7AC8" w:rsidP="00DA7AC8">
      <w:pPr>
        <w:pStyle w:val="Vchodzie"/>
        <w:spacing w:after="120"/>
        <w:jc w:val="both"/>
        <w:rPr>
          <w:rFonts w:ascii="Calibri" w:hAnsi="Calibri" w:cs="Calibri"/>
          <w:sz w:val="20"/>
          <w:szCs w:val="20"/>
        </w:rPr>
      </w:pPr>
      <w:r>
        <w:rPr>
          <w:rFonts w:ascii="Calibri" w:hAnsi="Calibri" w:cs="Calibri"/>
          <w:sz w:val="20"/>
          <w:szCs w:val="20"/>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D7FF1" w:rsidRDefault="005D7FF1" w:rsidP="005D7FF1">
      <w:pPr>
        <w:pStyle w:val="Vchodzie"/>
        <w:spacing w:after="120"/>
        <w:jc w:val="both"/>
        <w:rPr>
          <w:rFonts w:ascii="Calibri" w:hAnsi="Calibri" w:cs="Calibri"/>
          <w:sz w:val="20"/>
          <w:szCs w:val="20"/>
        </w:rPr>
      </w:pPr>
      <w:r w:rsidRPr="005D7FF1">
        <w:rPr>
          <w:rFonts w:ascii="Calibri" w:hAnsi="Calibri" w:cs="Calibri"/>
          <w:sz w:val="20"/>
          <w:szCs w:val="20"/>
        </w:rPr>
        <w:t>Operatívny prenájom. Majetok prenajatý na základe operatívneho prenájmu vykazuje ako svoj majetok jeho vlastník, nie</w:t>
      </w:r>
      <w:r w:rsidR="00CA7953">
        <w:rPr>
          <w:rFonts w:ascii="Calibri" w:hAnsi="Calibri" w:cs="Calibri"/>
          <w:sz w:val="20"/>
          <w:szCs w:val="20"/>
        </w:rPr>
        <w:t xml:space="preserve"> </w:t>
      </w:r>
      <w:r w:rsidRPr="005D7FF1">
        <w:rPr>
          <w:rFonts w:ascii="Calibri" w:hAnsi="Calibri" w:cs="Calibri"/>
          <w:sz w:val="20"/>
          <w:szCs w:val="20"/>
        </w:rPr>
        <w:t>nájomca.</w:t>
      </w:r>
    </w:p>
    <w:p w:rsidR="00DA7AC8" w:rsidRDefault="00DA7AC8" w:rsidP="00DA7AC8">
      <w:pPr>
        <w:pStyle w:val="Vchodzie"/>
        <w:spacing w:after="120"/>
        <w:jc w:val="both"/>
      </w:pPr>
      <w:r>
        <w:rPr>
          <w:rFonts w:ascii="Calibri" w:hAnsi="Calibri" w:cs="Calibri"/>
          <w:b/>
          <w:sz w:val="22"/>
          <w:szCs w:val="22"/>
        </w:rPr>
        <w:t>14. Cudzia mena</w:t>
      </w:r>
    </w:p>
    <w:p w:rsidR="00DA7AC8" w:rsidRDefault="00DA7AC8" w:rsidP="00DA7AC8">
      <w:pPr>
        <w:pStyle w:val="Vchodzie"/>
        <w:spacing w:after="120"/>
        <w:jc w:val="both"/>
      </w:pPr>
      <w:r>
        <w:rPr>
          <w:rFonts w:ascii="Calibri" w:hAnsi="Calibri" w:cs="Calibri"/>
          <w:sz w:val="20"/>
          <w:szCs w:val="20"/>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rsidR="005D7FF1" w:rsidRDefault="005D7FF1" w:rsidP="00DA7AC8">
      <w:pPr>
        <w:pStyle w:val="Vchodzie"/>
        <w:spacing w:after="120"/>
        <w:jc w:val="both"/>
        <w:rPr>
          <w:rFonts w:ascii="Calibri" w:hAnsi="Calibri" w:cs="Calibri"/>
          <w:b/>
          <w:sz w:val="22"/>
          <w:szCs w:val="22"/>
        </w:rPr>
      </w:pPr>
    </w:p>
    <w:p w:rsidR="005D7FF1" w:rsidRDefault="005D7FF1" w:rsidP="00DA7AC8">
      <w:pPr>
        <w:pStyle w:val="Vchodzie"/>
        <w:spacing w:after="120"/>
        <w:jc w:val="both"/>
        <w:rPr>
          <w:rFonts w:ascii="Calibri" w:hAnsi="Calibri" w:cs="Calibri"/>
          <w:b/>
          <w:sz w:val="22"/>
          <w:szCs w:val="22"/>
        </w:rPr>
      </w:pPr>
    </w:p>
    <w:p w:rsidR="00DA7AC8" w:rsidRDefault="00DA7AC8" w:rsidP="00DA7AC8">
      <w:pPr>
        <w:pStyle w:val="Vchodzie"/>
        <w:spacing w:after="120"/>
        <w:jc w:val="both"/>
      </w:pPr>
      <w:r>
        <w:rPr>
          <w:rFonts w:ascii="Calibri" w:hAnsi="Calibri" w:cs="Calibri"/>
          <w:b/>
          <w:sz w:val="22"/>
          <w:szCs w:val="22"/>
        </w:rPr>
        <w:lastRenderedPageBreak/>
        <w:t>15. Vykazovanie výnosov</w:t>
      </w:r>
    </w:p>
    <w:p w:rsidR="00DA7AC8" w:rsidRDefault="00DA7AC8" w:rsidP="00DA7AC8">
      <w:pPr>
        <w:pStyle w:val="Vchodzie"/>
        <w:spacing w:after="120"/>
        <w:jc w:val="both"/>
      </w:pPr>
      <w:r>
        <w:rPr>
          <w:rFonts w:ascii="Calibri" w:hAnsi="Calibri" w:cs="Calibri"/>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DA7AC8" w:rsidRDefault="00DA7AC8" w:rsidP="00DA7AC8">
      <w:pPr>
        <w:pStyle w:val="Vchodzie"/>
        <w:spacing w:after="120"/>
        <w:jc w:val="both"/>
      </w:pPr>
      <w:r>
        <w:rPr>
          <w:rFonts w:ascii="Calibri" w:hAnsi="Calibri" w:cs="Calibri"/>
          <w:sz w:val="20"/>
          <w:szCs w:val="20"/>
        </w:rPr>
        <w:t>Výnosy sa vykazujú po odpočítaní dane z pridanej hodnoty, zliav a zrážok (rabaty, bonusy, skontá, dobropisy a pod.). Výnosové úroky sa účtujú rovnomerne v účtovných obdobiach, ktorých sa vecne a časovo týkajú.</w:t>
      </w:r>
    </w:p>
    <w:p w:rsidR="00AB1F17" w:rsidRPr="000921A4" w:rsidRDefault="00DA7AC8" w:rsidP="00AB1F17">
      <w:pPr>
        <w:pStyle w:val="Vchodzie"/>
        <w:spacing w:after="120"/>
        <w:jc w:val="both"/>
        <w:rPr>
          <w:rFonts w:ascii="Calibri" w:hAnsi="Calibri" w:cs="Calibri"/>
          <w:color w:val="auto"/>
          <w:sz w:val="20"/>
          <w:szCs w:val="20"/>
        </w:rPr>
      </w:pPr>
      <w:r w:rsidRPr="000921A4">
        <w:rPr>
          <w:rFonts w:ascii="Calibri" w:hAnsi="Calibri" w:cs="Calibri"/>
          <w:color w:val="auto"/>
          <w:sz w:val="20"/>
          <w:szCs w:val="20"/>
        </w:rPr>
        <w:t>Výnosy spoločnosti tvoria</w:t>
      </w:r>
      <w:r w:rsidR="00334CBF">
        <w:rPr>
          <w:rFonts w:ascii="Calibri" w:hAnsi="Calibri" w:cs="Calibri"/>
          <w:color w:val="auto"/>
          <w:sz w:val="20"/>
          <w:szCs w:val="20"/>
        </w:rPr>
        <w:t xml:space="preserve"> </w:t>
      </w:r>
      <w:r w:rsidR="000921A4" w:rsidRPr="000921A4">
        <w:rPr>
          <w:rFonts w:ascii="Calibri" w:hAnsi="Calibri" w:cs="Calibri"/>
          <w:color w:val="auto"/>
          <w:sz w:val="20"/>
          <w:szCs w:val="20"/>
        </w:rPr>
        <w:t xml:space="preserve">najmä </w:t>
      </w:r>
      <w:r w:rsidR="00AB1F17" w:rsidRPr="000921A4">
        <w:rPr>
          <w:rFonts w:ascii="Calibri" w:hAnsi="Calibri" w:cs="Calibri"/>
          <w:color w:val="auto"/>
          <w:sz w:val="20"/>
          <w:szCs w:val="20"/>
        </w:rPr>
        <w:t>tržby z poskytovania vnútroštátnej nákladnej cestnej dopravy a medzinárodnej cestnej nákladnej dopravy.</w:t>
      </w:r>
    </w:p>
    <w:p w:rsidR="00DA7AC8" w:rsidRDefault="00DA7AC8" w:rsidP="00AB1F17">
      <w:pPr>
        <w:pStyle w:val="Vchodzie"/>
        <w:spacing w:after="120"/>
        <w:jc w:val="both"/>
      </w:pPr>
      <w:r>
        <w:rPr>
          <w:rFonts w:ascii="Calibri" w:hAnsi="Calibri" w:cs="Calibri"/>
          <w:b/>
          <w:sz w:val="22"/>
          <w:szCs w:val="22"/>
        </w:rPr>
        <w:t>16. Oprava chýb minulých období</w:t>
      </w:r>
    </w:p>
    <w:p w:rsidR="00DA7AC8" w:rsidRDefault="00334CBF" w:rsidP="00DA7AC8">
      <w:pPr>
        <w:pStyle w:val="Vchodzie"/>
        <w:spacing w:after="120"/>
        <w:jc w:val="both"/>
      </w:pPr>
      <w:r>
        <w:rPr>
          <w:rFonts w:ascii="Calibri" w:hAnsi="Calibri" w:cs="Calibri"/>
          <w:sz w:val="20"/>
          <w:szCs w:val="20"/>
        </w:rPr>
        <w:t>Do 31. júla 2017</w:t>
      </w:r>
      <w:r w:rsidR="00DA7AC8">
        <w:rPr>
          <w:rFonts w:ascii="Calibri" w:hAnsi="Calibri" w:cs="Calibri"/>
          <w:sz w:val="20"/>
          <w:szCs w:val="20"/>
        </w:rPr>
        <w:t xml:space="preserve"> spoločnosť neúčtovala o oprave významných chýb na účte nerozdelené zisky minulých období.</w:t>
      </w:r>
    </w:p>
    <w:p w:rsidR="00DA7AC8" w:rsidRDefault="00DA7AC8" w:rsidP="00DA7AC8">
      <w:pPr>
        <w:pStyle w:val="Vchodzie"/>
        <w:spacing w:after="120"/>
        <w:jc w:val="both"/>
      </w:pPr>
      <w:r>
        <w:rPr>
          <w:rFonts w:ascii="Calibri" w:hAnsi="Calibri" w:cs="Calibri"/>
          <w:b/>
          <w:sz w:val="22"/>
          <w:szCs w:val="22"/>
        </w:rPr>
        <w:t>17. Porovnateľné údaje</w:t>
      </w:r>
    </w:p>
    <w:p w:rsidR="00DA7AC8" w:rsidRDefault="00DA7AC8" w:rsidP="00DA7AC8">
      <w:pPr>
        <w:pStyle w:val="Vchodzie"/>
        <w:spacing w:after="120"/>
        <w:jc w:val="both"/>
      </w:pPr>
      <w:r>
        <w:rPr>
          <w:rFonts w:ascii="Calibri" w:hAnsi="Calibri" w:cs="Calibri"/>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DA7AC8" w:rsidRDefault="00DA7AC8" w:rsidP="00F27502">
      <w:pPr>
        <w:pStyle w:val="Default"/>
        <w:jc w:val="both"/>
        <w:rPr>
          <w:rFonts w:asciiTheme="minorHAnsi" w:hAnsiTheme="minorHAnsi"/>
          <w:color w:val="990099"/>
          <w:sz w:val="20"/>
          <w:szCs w:val="20"/>
        </w:rPr>
      </w:pPr>
    </w:p>
    <w:p w:rsidR="00441AF2" w:rsidRDefault="00441AF2" w:rsidP="00441AF2">
      <w:pPr>
        <w:pStyle w:val="Default"/>
        <w:jc w:val="center"/>
        <w:rPr>
          <w:rFonts w:asciiTheme="minorHAnsi" w:hAnsiTheme="minorHAnsi"/>
          <w:b/>
          <w:bCs/>
          <w:color w:val="auto"/>
          <w:sz w:val="22"/>
          <w:szCs w:val="22"/>
        </w:rPr>
      </w:pPr>
      <w:r w:rsidRPr="00142D06">
        <w:rPr>
          <w:rFonts w:asciiTheme="minorHAnsi" w:hAnsiTheme="minorHAnsi"/>
          <w:b/>
          <w:bCs/>
          <w:color w:val="auto"/>
          <w:sz w:val="22"/>
          <w:szCs w:val="22"/>
        </w:rPr>
        <w:t>IV</w:t>
      </w:r>
      <w:r w:rsidR="00AB1F17">
        <w:rPr>
          <w:rFonts w:asciiTheme="minorHAnsi" w:hAnsiTheme="minorHAnsi"/>
          <w:b/>
          <w:bCs/>
          <w:color w:val="auto"/>
          <w:sz w:val="22"/>
          <w:szCs w:val="22"/>
        </w:rPr>
        <w:t xml:space="preserve">.  </w:t>
      </w:r>
      <w:r w:rsidRPr="00142D06">
        <w:rPr>
          <w:rFonts w:asciiTheme="minorHAnsi" w:hAnsiTheme="minorHAnsi"/>
          <w:b/>
          <w:bCs/>
          <w:color w:val="auto"/>
          <w:sz w:val="22"/>
          <w:szCs w:val="22"/>
        </w:rPr>
        <w:t>Informácie, ktoré vysvetľujú a dopĺňajú súvahu a výkaz ziskov a</w:t>
      </w:r>
      <w:r w:rsidR="00142D06">
        <w:rPr>
          <w:rFonts w:asciiTheme="minorHAnsi" w:hAnsiTheme="minorHAnsi"/>
          <w:b/>
          <w:bCs/>
          <w:color w:val="auto"/>
          <w:sz w:val="22"/>
          <w:szCs w:val="22"/>
        </w:rPr>
        <w:t> </w:t>
      </w:r>
      <w:r w:rsidRPr="00142D06">
        <w:rPr>
          <w:rFonts w:asciiTheme="minorHAnsi" w:hAnsiTheme="minorHAnsi"/>
          <w:b/>
          <w:bCs/>
          <w:color w:val="auto"/>
          <w:sz w:val="22"/>
          <w:szCs w:val="22"/>
        </w:rPr>
        <w:t>strát</w:t>
      </w:r>
    </w:p>
    <w:p w:rsidR="00142D06" w:rsidRPr="00142D06" w:rsidRDefault="00142D06" w:rsidP="00441AF2">
      <w:pPr>
        <w:pStyle w:val="Default"/>
        <w:jc w:val="center"/>
        <w:rPr>
          <w:rFonts w:asciiTheme="minorHAnsi" w:hAnsiTheme="minorHAnsi"/>
          <w:b/>
          <w:bCs/>
          <w:color w:val="auto"/>
          <w:sz w:val="22"/>
          <w:szCs w:val="22"/>
        </w:rPr>
      </w:pPr>
    </w:p>
    <w:p w:rsidR="00441AF2" w:rsidRPr="00212BA4" w:rsidRDefault="00441AF2" w:rsidP="00441AF2">
      <w:pPr>
        <w:pStyle w:val="Default"/>
        <w:jc w:val="center"/>
        <w:rPr>
          <w:rFonts w:asciiTheme="minorHAnsi" w:hAnsiTheme="minorHAnsi"/>
          <w:color w:val="00B0F0"/>
          <w:sz w:val="22"/>
          <w:szCs w:val="22"/>
        </w:rPr>
      </w:pPr>
    </w:p>
    <w:p w:rsidR="00441AF2" w:rsidRPr="00142D06" w:rsidRDefault="00441AF2" w:rsidP="00441AF2">
      <w:pPr>
        <w:pStyle w:val="Default"/>
        <w:rPr>
          <w:rFonts w:asciiTheme="minorHAnsi" w:hAnsiTheme="minorHAnsi"/>
          <w:b/>
          <w:color w:val="auto"/>
          <w:sz w:val="22"/>
          <w:szCs w:val="22"/>
        </w:rPr>
      </w:pPr>
      <w:r w:rsidRPr="00142D06">
        <w:rPr>
          <w:rFonts w:asciiTheme="minorHAnsi" w:hAnsiTheme="minorHAnsi"/>
          <w:b/>
          <w:color w:val="auto"/>
          <w:sz w:val="22"/>
          <w:szCs w:val="22"/>
        </w:rPr>
        <w:t>(1)</w:t>
      </w:r>
      <w:r w:rsidR="00D11923" w:rsidRPr="00142D06">
        <w:rPr>
          <w:rFonts w:asciiTheme="minorHAnsi" w:hAnsiTheme="minorHAnsi"/>
          <w:b/>
          <w:color w:val="auto"/>
          <w:sz w:val="22"/>
          <w:szCs w:val="22"/>
        </w:rPr>
        <w:t xml:space="preserve"> Účtovná jednotka neúčtovala o goodwille v bežnom účtovnom období ani v minulých účtovných obdobiach.</w:t>
      </w:r>
    </w:p>
    <w:p w:rsidR="00441AF2" w:rsidRPr="00212BA4" w:rsidRDefault="00441AF2" w:rsidP="00441AF2">
      <w:pPr>
        <w:pStyle w:val="Default"/>
        <w:rPr>
          <w:rFonts w:asciiTheme="minorHAnsi" w:hAnsiTheme="minorHAnsi"/>
          <w:color w:val="00B0F0"/>
          <w:sz w:val="22"/>
          <w:szCs w:val="22"/>
        </w:rPr>
      </w:pPr>
    </w:p>
    <w:p w:rsidR="00D11923" w:rsidRDefault="00441AF2" w:rsidP="00D11923">
      <w:pPr>
        <w:pStyle w:val="Default"/>
        <w:rPr>
          <w:rFonts w:asciiTheme="minorHAnsi" w:hAnsiTheme="minorHAnsi"/>
          <w:b/>
          <w:color w:val="auto"/>
          <w:sz w:val="22"/>
          <w:szCs w:val="22"/>
        </w:rPr>
      </w:pPr>
      <w:r w:rsidRPr="00142D06">
        <w:rPr>
          <w:rFonts w:asciiTheme="minorHAnsi" w:hAnsiTheme="minorHAnsi"/>
          <w:b/>
          <w:color w:val="auto"/>
          <w:sz w:val="22"/>
          <w:szCs w:val="22"/>
        </w:rPr>
        <w:t xml:space="preserve">(2) </w:t>
      </w:r>
      <w:r w:rsidR="00D11923" w:rsidRPr="00142D06">
        <w:rPr>
          <w:rFonts w:asciiTheme="minorHAnsi" w:hAnsiTheme="minorHAnsi"/>
          <w:b/>
          <w:color w:val="auto"/>
          <w:sz w:val="22"/>
          <w:szCs w:val="22"/>
        </w:rPr>
        <w:t>Informácie o významných položkách majetku a záväzkoch zabezpečených derivátmi</w:t>
      </w:r>
    </w:p>
    <w:p w:rsidR="00142D06" w:rsidRDefault="00142D06" w:rsidP="003C5BEE">
      <w:pPr>
        <w:ind w:left="-142" w:right="-468"/>
        <w:rPr>
          <w:rFonts w:asciiTheme="minorHAnsi" w:hAnsiTheme="minorHAnsi" w:cs="Calibri"/>
          <w:sz w:val="20"/>
          <w:szCs w:val="20"/>
        </w:rPr>
      </w:pPr>
    </w:p>
    <w:p w:rsidR="003C5BEE" w:rsidRPr="00976B58" w:rsidRDefault="002426E1" w:rsidP="00AF1F72">
      <w:pPr>
        <w:ind w:left="-142" w:right="-468" w:firstLine="142"/>
        <w:rPr>
          <w:rFonts w:asciiTheme="minorHAnsi" w:hAnsiTheme="minorHAnsi" w:cs="Calibri"/>
          <w:sz w:val="20"/>
          <w:szCs w:val="20"/>
        </w:rPr>
      </w:pPr>
      <w:r>
        <w:rPr>
          <w:rFonts w:asciiTheme="minorHAnsi" w:hAnsiTheme="minorHAnsi" w:cs="Calibri"/>
          <w:sz w:val="20"/>
          <w:szCs w:val="20"/>
        </w:rPr>
        <w:t xml:space="preserve">V účtovnom období do </w:t>
      </w:r>
      <w:r w:rsidR="00AA159B">
        <w:rPr>
          <w:rFonts w:asciiTheme="minorHAnsi" w:hAnsiTheme="minorHAnsi" w:cs="Calibri"/>
          <w:sz w:val="20"/>
          <w:szCs w:val="20"/>
        </w:rPr>
        <w:t xml:space="preserve">31. </w:t>
      </w:r>
      <w:r>
        <w:rPr>
          <w:rFonts w:asciiTheme="minorHAnsi" w:hAnsiTheme="minorHAnsi" w:cs="Calibri"/>
          <w:sz w:val="20"/>
          <w:szCs w:val="20"/>
        </w:rPr>
        <w:t xml:space="preserve">júla 2017 </w:t>
      </w:r>
      <w:r w:rsidR="003C5BEE">
        <w:rPr>
          <w:rFonts w:asciiTheme="minorHAnsi" w:hAnsiTheme="minorHAnsi" w:cs="Calibri"/>
          <w:sz w:val="20"/>
          <w:szCs w:val="20"/>
        </w:rPr>
        <w:t>ú</w:t>
      </w:r>
      <w:r w:rsidR="003C5BEE" w:rsidRPr="00976B58">
        <w:rPr>
          <w:rFonts w:asciiTheme="minorHAnsi" w:hAnsiTheme="minorHAnsi" w:cs="Calibri"/>
          <w:sz w:val="20"/>
          <w:szCs w:val="20"/>
        </w:rPr>
        <w:t xml:space="preserve">čtovná jednotka nevykonala žiadne </w:t>
      </w:r>
      <w:r w:rsidR="003C5BEE">
        <w:rPr>
          <w:rFonts w:asciiTheme="minorHAnsi" w:hAnsiTheme="minorHAnsi" w:cs="Calibri"/>
          <w:sz w:val="20"/>
          <w:szCs w:val="20"/>
        </w:rPr>
        <w:t>derivátové operácie</w:t>
      </w:r>
      <w:r w:rsidR="003C5BEE" w:rsidRPr="00976B58">
        <w:rPr>
          <w:rFonts w:asciiTheme="minorHAnsi" w:hAnsiTheme="minorHAnsi" w:cs="Calibri"/>
          <w:sz w:val="20"/>
          <w:szCs w:val="20"/>
        </w:rPr>
        <w:t xml:space="preserve">. </w:t>
      </w:r>
    </w:p>
    <w:p w:rsidR="00142D06" w:rsidRDefault="00142D06" w:rsidP="00441AF2">
      <w:pPr>
        <w:pStyle w:val="Default"/>
        <w:spacing w:after="14"/>
        <w:rPr>
          <w:rFonts w:asciiTheme="minorHAnsi" w:hAnsiTheme="minorHAnsi"/>
          <w:b/>
          <w:color w:val="auto"/>
          <w:sz w:val="22"/>
          <w:szCs w:val="22"/>
        </w:rPr>
      </w:pPr>
    </w:p>
    <w:p w:rsidR="00441AF2" w:rsidRPr="00142D06" w:rsidRDefault="00441AF2" w:rsidP="00441AF2">
      <w:pPr>
        <w:pStyle w:val="Default"/>
        <w:spacing w:after="14"/>
        <w:rPr>
          <w:rFonts w:asciiTheme="minorHAnsi" w:hAnsiTheme="minorHAnsi"/>
          <w:b/>
          <w:color w:val="auto"/>
          <w:sz w:val="22"/>
          <w:szCs w:val="22"/>
        </w:rPr>
      </w:pPr>
      <w:r w:rsidRPr="00142D06">
        <w:rPr>
          <w:rFonts w:asciiTheme="minorHAnsi" w:hAnsiTheme="minorHAnsi"/>
          <w:b/>
          <w:color w:val="auto"/>
          <w:sz w:val="22"/>
          <w:szCs w:val="22"/>
        </w:rPr>
        <w:t>(3) Informácie o záväzkoch</w:t>
      </w:r>
    </w:p>
    <w:p w:rsidR="00441AF2" w:rsidRPr="00212BA4" w:rsidRDefault="00441AF2" w:rsidP="00441AF2">
      <w:pPr>
        <w:pStyle w:val="Default"/>
        <w:spacing w:after="14"/>
        <w:rPr>
          <w:rFonts w:asciiTheme="minorHAnsi" w:hAnsiTheme="minorHAnsi"/>
          <w:color w:val="00B0F0"/>
          <w:sz w:val="22"/>
          <w:szCs w:val="22"/>
        </w:rPr>
      </w:pPr>
    </w:p>
    <w:p w:rsidR="00301869" w:rsidRDefault="00441AF2" w:rsidP="00301869">
      <w:pPr>
        <w:pStyle w:val="Default"/>
        <w:spacing w:after="14"/>
        <w:rPr>
          <w:rFonts w:asciiTheme="minorHAnsi" w:hAnsiTheme="minorHAnsi"/>
          <w:b/>
          <w:color w:val="auto"/>
          <w:sz w:val="22"/>
          <w:szCs w:val="22"/>
        </w:rPr>
      </w:pPr>
      <w:r w:rsidRPr="006F7829">
        <w:rPr>
          <w:rFonts w:asciiTheme="minorHAnsi" w:hAnsiTheme="minorHAnsi"/>
          <w:b/>
          <w:color w:val="auto"/>
          <w:sz w:val="22"/>
          <w:szCs w:val="22"/>
        </w:rPr>
        <w:t>a)</w:t>
      </w:r>
      <w:r w:rsidR="00301869" w:rsidRPr="006F7829">
        <w:rPr>
          <w:rFonts w:asciiTheme="minorHAnsi" w:hAnsiTheme="minorHAnsi"/>
          <w:b/>
          <w:color w:val="auto"/>
          <w:sz w:val="22"/>
          <w:szCs w:val="22"/>
        </w:rPr>
        <w:t xml:space="preserve"> Informácie o štruktúre záväzkov podľa zostatkovej doby splatnosti </w:t>
      </w:r>
    </w:p>
    <w:p w:rsidR="006F7829" w:rsidRPr="006F7829" w:rsidRDefault="006F7829" w:rsidP="00301869">
      <w:pPr>
        <w:pStyle w:val="Default"/>
        <w:spacing w:after="14"/>
        <w:rPr>
          <w:rFonts w:asciiTheme="minorHAnsi" w:hAnsiTheme="minorHAnsi"/>
          <w:b/>
          <w:color w:val="auto"/>
          <w:szCs w:val="22"/>
        </w:rPr>
      </w:pPr>
    </w:p>
    <w:tbl>
      <w:tblPr>
        <w:tblW w:w="5137" w:type="pct"/>
        <w:jc w:val="center"/>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28"/>
        <w:gridCol w:w="3209"/>
        <w:gridCol w:w="2556"/>
      </w:tblGrid>
      <w:tr w:rsidR="009617B6" w:rsidRPr="006E59C6" w:rsidTr="006E59C6">
        <w:trPr>
          <w:trHeight w:val="703"/>
          <w:jc w:val="center"/>
        </w:trPr>
        <w:tc>
          <w:tcPr>
            <w:tcW w:w="2086" w:type="pct"/>
            <w:vAlign w:val="center"/>
            <w:hideMark/>
          </w:tcPr>
          <w:p w:rsidR="00301869" w:rsidRPr="000921A4" w:rsidRDefault="00301869" w:rsidP="006B0E20">
            <w:pPr>
              <w:pStyle w:val="TopHeader"/>
              <w:rPr>
                <w:rFonts w:asciiTheme="minorHAnsi" w:hAnsiTheme="minorHAnsi"/>
                <w:b w:val="0"/>
                <w:sz w:val="20"/>
                <w:szCs w:val="20"/>
              </w:rPr>
            </w:pPr>
            <w:r w:rsidRPr="000921A4">
              <w:rPr>
                <w:rFonts w:asciiTheme="minorHAnsi" w:hAnsiTheme="minorHAnsi"/>
                <w:b w:val="0"/>
                <w:sz w:val="20"/>
                <w:szCs w:val="20"/>
              </w:rPr>
              <w:t>Názov položky</w:t>
            </w:r>
          </w:p>
        </w:tc>
        <w:tc>
          <w:tcPr>
            <w:tcW w:w="1622" w:type="pct"/>
            <w:noWrap/>
            <w:vAlign w:val="center"/>
            <w:hideMark/>
          </w:tcPr>
          <w:p w:rsidR="00301869" w:rsidRPr="000921A4" w:rsidRDefault="00301869" w:rsidP="006B0E20">
            <w:pPr>
              <w:pStyle w:val="TopHeader"/>
              <w:rPr>
                <w:rFonts w:asciiTheme="minorHAnsi" w:hAnsiTheme="minorHAnsi"/>
                <w:b w:val="0"/>
                <w:sz w:val="20"/>
                <w:szCs w:val="20"/>
                <w:highlight w:val="yellow"/>
              </w:rPr>
            </w:pPr>
            <w:r w:rsidRPr="000921A4">
              <w:rPr>
                <w:rFonts w:asciiTheme="minorHAnsi" w:hAnsiTheme="minorHAnsi"/>
                <w:b w:val="0"/>
                <w:sz w:val="20"/>
                <w:szCs w:val="20"/>
              </w:rPr>
              <w:t>Bežné účtovné obdobie</w:t>
            </w:r>
          </w:p>
        </w:tc>
        <w:tc>
          <w:tcPr>
            <w:tcW w:w="1292" w:type="pct"/>
            <w:vAlign w:val="center"/>
            <w:hideMark/>
          </w:tcPr>
          <w:p w:rsidR="00301869" w:rsidRPr="000921A4" w:rsidRDefault="00301869" w:rsidP="006B0E20">
            <w:pPr>
              <w:pStyle w:val="TopHeader"/>
              <w:rPr>
                <w:rFonts w:asciiTheme="minorHAnsi" w:hAnsiTheme="minorHAnsi"/>
                <w:b w:val="0"/>
                <w:sz w:val="20"/>
                <w:szCs w:val="20"/>
              </w:rPr>
            </w:pPr>
            <w:r w:rsidRPr="000921A4">
              <w:rPr>
                <w:rFonts w:asciiTheme="minorHAnsi" w:hAnsiTheme="minorHAnsi"/>
                <w:b w:val="0"/>
                <w:sz w:val="20"/>
                <w:szCs w:val="20"/>
              </w:rPr>
              <w:t>Bezprostredne predchádzajúce účtovné obdobie</w:t>
            </w:r>
          </w:p>
        </w:tc>
      </w:tr>
      <w:tr w:rsidR="009617B6" w:rsidRPr="006E59C6" w:rsidTr="00654D7C">
        <w:trPr>
          <w:trHeight w:val="413"/>
          <w:jc w:val="center"/>
        </w:trPr>
        <w:tc>
          <w:tcPr>
            <w:tcW w:w="2086" w:type="pct"/>
            <w:vAlign w:val="center"/>
          </w:tcPr>
          <w:p w:rsidR="00301869" w:rsidRPr="000921A4" w:rsidRDefault="00301869" w:rsidP="006B0E20">
            <w:pPr>
              <w:rPr>
                <w:rFonts w:asciiTheme="minorHAnsi" w:hAnsiTheme="minorHAnsi"/>
                <w:b/>
                <w:sz w:val="20"/>
                <w:szCs w:val="20"/>
              </w:rPr>
            </w:pPr>
            <w:r w:rsidRPr="000921A4">
              <w:rPr>
                <w:rFonts w:asciiTheme="minorHAnsi" w:hAnsiTheme="minorHAnsi"/>
                <w:b/>
                <w:bCs/>
                <w:sz w:val="20"/>
                <w:szCs w:val="20"/>
              </w:rPr>
              <w:t>Dlhodobé záväzky spolu</w:t>
            </w:r>
          </w:p>
        </w:tc>
        <w:tc>
          <w:tcPr>
            <w:tcW w:w="1622" w:type="pct"/>
            <w:noWrap/>
            <w:vAlign w:val="center"/>
          </w:tcPr>
          <w:p w:rsidR="00301869" w:rsidRPr="000921A4" w:rsidRDefault="00334CBF" w:rsidP="009617B6">
            <w:pPr>
              <w:jc w:val="right"/>
              <w:rPr>
                <w:rFonts w:asciiTheme="minorHAnsi" w:hAnsiTheme="minorHAnsi"/>
                <w:b/>
                <w:bCs/>
                <w:sz w:val="20"/>
                <w:szCs w:val="20"/>
              </w:rPr>
            </w:pPr>
            <w:r>
              <w:rPr>
                <w:rFonts w:asciiTheme="minorHAnsi" w:hAnsiTheme="minorHAnsi"/>
                <w:b/>
                <w:bCs/>
                <w:sz w:val="20"/>
                <w:szCs w:val="20"/>
              </w:rPr>
              <w:t>5389</w:t>
            </w:r>
            <w:r w:rsidR="001C6ACE" w:rsidRPr="000921A4">
              <w:rPr>
                <w:rFonts w:asciiTheme="minorHAnsi" w:hAnsiTheme="minorHAnsi"/>
                <w:b/>
                <w:bCs/>
                <w:sz w:val="20"/>
                <w:szCs w:val="20"/>
              </w:rPr>
              <w:t>0</w:t>
            </w:r>
          </w:p>
        </w:tc>
        <w:tc>
          <w:tcPr>
            <w:tcW w:w="1292" w:type="pct"/>
            <w:vAlign w:val="center"/>
          </w:tcPr>
          <w:p w:rsidR="00301869" w:rsidRPr="000921A4" w:rsidRDefault="002426E1" w:rsidP="009617B6">
            <w:pPr>
              <w:jc w:val="right"/>
              <w:rPr>
                <w:rFonts w:asciiTheme="minorHAnsi" w:hAnsiTheme="minorHAnsi"/>
                <w:b/>
                <w:bCs/>
                <w:sz w:val="20"/>
                <w:szCs w:val="20"/>
              </w:rPr>
            </w:pPr>
            <w:r>
              <w:rPr>
                <w:rFonts w:asciiTheme="minorHAnsi" w:hAnsiTheme="minorHAnsi"/>
                <w:b/>
                <w:bCs/>
                <w:sz w:val="20"/>
                <w:szCs w:val="20"/>
              </w:rPr>
              <w:t>53330</w:t>
            </w:r>
          </w:p>
        </w:tc>
      </w:tr>
      <w:tr w:rsidR="009617B6" w:rsidRPr="006E59C6" w:rsidTr="00654D7C">
        <w:trPr>
          <w:trHeight w:val="589"/>
          <w:jc w:val="center"/>
        </w:trPr>
        <w:tc>
          <w:tcPr>
            <w:tcW w:w="2086" w:type="pct"/>
            <w:vAlign w:val="center"/>
            <w:hideMark/>
          </w:tcPr>
          <w:p w:rsidR="00301869" w:rsidRPr="000921A4" w:rsidRDefault="00301869" w:rsidP="006B0E20">
            <w:pPr>
              <w:rPr>
                <w:rFonts w:asciiTheme="minorHAnsi" w:hAnsiTheme="minorHAnsi"/>
                <w:sz w:val="20"/>
                <w:szCs w:val="20"/>
              </w:rPr>
            </w:pPr>
            <w:r w:rsidRPr="000921A4">
              <w:rPr>
                <w:rFonts w:asciiTheme="minorHAnsi" w:hAnsiTheme="minorHAnsi"/>
                <w:sz w:val="20"/>
                <w:szCs w:val="20"/>
              </w:rPr>
              <w:t>Záväzky so zostatkovou dobou splatnosti nad päť rokov</w:t>
            </w:r>
          </w:p>
        </w:tc>
        <w:tc>
          <w:tcPr>
            <w:tcW w:w="1622" w:type="pct"/>
            <w:noWrap/>
            <w:vAlign w:val="center"/>
            <w:hideMark/>
          </w:tcPr>
          <w:p w:rsidR="00301869" w:rsidRPr="000921A4" w:rsidRDefault="001C6ACE" w:rsidP="009617B6">
            <w:pPr>
              <w:jc w:val="right"/>
              <w:rPr>
                <w:rFonts w:asciiTheme="minorHAnsi" w:hAnsiTheme="minorHAnsi"/>
                <w:sz w:val="20"/>
                <w:szCs w:val="20"/>
              </w:rPr>
            </w:pPr>
            <w:r w:rsidRPr="000921A4">
              <w:rPr>
                <w:rFonts w:asciiTheme="minorHAnsi" w:hAnsiTheme="minorHAnsi"/>
                <w:sz w:val="20"/>
                <w:szCs w:val="20"/>
              </w:rPr>
              <w:t>0</w:t>
            </w:r>
          </w:p>
        </w:tc>
        <w:tc>
          <w:tcPr>
            <w:tcW w:w="1292" w:type="pct"/>
            <w:noWrap/>
            <w:vAlign w:val="center"/>
            <w:hideMark/>
          </w:tcPr>
          <w:p w:rsidR="00301869" w:rsidRPr="000921A4" w:rsidRDefault="001C6ACE" w:rsidP="009617B6">
            <w:pPr>
              <w:jc w:val="right"/>
              <w:rPr>
                <w:rFonts w:asciiTheme="minorHAnsi" w:hAnsiTheme="minorHAnsi"/>
                <w:sz w:val="20"/>
                <w:szCs w:val="20"/>
              </w:rPr>
            </w:pPr>
            <w:r w:rsidRPr="000921A4">
              <w:rPr>
                <w:rFonts w:asciiTheme="minorHAnsi" w:hAnsiTheme="minorHAnsi"/>
                <w:sz w:val="20"/>
                <w:szCs w:val="20"/>
              </w:rPr>
              <w:t>0</w:t>
            </w:r>
          </w:p>
        </w:tc>
      </w:tr>
      <w:tr w:rsidR="009617B6" w:rsidRPr="006E59C6" w:rsidTr="00654D7C">
        <w:trPr>
          <w:trHeight w:val="589"/>
          <w:jc w:val="center"/>
        </w:trPr>
        <w:tc>
          <w:tcPr>
            <w:tcW w:w="2086" w:type="pct"/>
            <w:vAlign w:val="center"/>
            <w:hideMark/>
          </w:tcPr>
          <w:p w:rsidR="00301869" w:rsidRPr="000921A4" w:rsidRDefault="00301869" w:rsidP="006B0E20">
            <w:pPr>
              <w:rPr>
                <w:rFonts w:asciiTheme="minorHAnsi" w:hAnsiTheme="minorHAnsi"/>
                <w:sz w:val="20"/>
                <w:szCs w:val="20"/>
              </w:rPr>
            </w:pPr>
            <w:r w:rsidRPr="000921A4">
              <w:rPr>
                <w:rFonts w:asciiTheme="minorHAnsi" w:hAnsiTheme="minorHAnsi"/>
                <w:sz w:val="20"/>
                <w:szCs w:val="20"/>
              </w:rPr>
              <w:t>Záväzky so zostatkovou dobou splatnosti jeden rok až päť rokov</w:t>
            </w:r>
          </w:p>
        </w:tc>
        <w:tc>
          <w:tcPr>
            <w:tcW w:w="1622" w:type="pct"/>
            <w:noWrap/>
            <w:vAlign w:val="center"/>
            <w:hideMark/>
          </w:tcPr>
          <w:p w:rsidR="00301869" w:rsidRPr="000921A4" w:rsidRDefault="00334CBF" w:rsidP="009617B6">
            <w:pPr>
              <w:jc w:val="right"/>
              <w:rPr>
                <w:rFonts w:asciiTheme="minorHAnsi" w:hAnsiTheme="minorHAnsi"/>
                <w:sz w:val="20"/>
                <w:szCs w:val="20"/>
              </w:rPr>
            </w:pPr>
            <w:r>
              <w:rPr>
                <w:rFonts w:asciiTheme="minorHAnsi" w:hAnsiTheme="minorHAnsi"/>
                <w:sz w:val="20"/>
                <w:szCs w:val="20"/>
              </w:rPr>
              <w:t>5389</w:t>
            </w:r>
            <w:r w:rsidR="001C6ACE" w:rsidRPr="000921A4">
              <w:rPr>
                <w:rFonts w:asciiTheme="minorHAnsi" w:hAnsiTheme="minorHAnsi"/>
                <w:sz w:val="20"/>
                <w:szCs w:val="20"/>
              </w:rPr>
              <w:t>0</w:t>
            </w:r>
          </w:p>
        </w:tc>
        <w:tc>
          <w:tcPr>
            <w:tcW w:w="1292" w:type="pct"/>
            <w:noWrap/>
            <w:vAlign w:val="center"/>
            <w:hideMark/>
          </w:tcPr>
          <w:p w:rsidR="00301869" w:rsidRPr="000921A4" w:rsidRDefault="002426E1" w:rsidP="009617B6">
            <w:pPr>
              <w:jc w:val="right"/>
              <w:rPr>
                <w:rFonts w:asciiTheme="minorHAnsi" w:hAnsiTheme="minorHAnsi"/>
                <w:sz w:val="20"/>
                <w:szCs w:val="20"/>
              </w:rPr>
            </w:pPr>
            <w:r>
              <w:rPr>
                <w:rFonts w:asciiTheme="minorHAnsi" w:hAnsiTheme="minorHAnsi"/>
                <w:sz w:val="20"/>
                <w:szCs w:val="20"/>
              </w:rPr>
              <w:t>53330</w:t>
            </w:r>
          </w:p>
        </w:tc>
      </w:tr>
      <w:tr w:rsidR="009617B6" w:rsidRPr="006E59C6" w:rsidTr="00654D7C">
        <w:trPr>
          <w:trHeight w:val="413"/>
          <w:jc w:val="center"/>
        </w:trPr>
        <w:tc>
          <w:tcPr>
            <w:tcW w:w="2086" w:type="pct"/>
            <w:noWrap/>
            <w:vAlign w:val="center"/>
            <w:hideMark/>
          </w:tcPr>
          <w:p w:rsidR="00301869" w:rsidRPr="000921A4" w:rsidRDefault="00301869" w:rsidP="006B0E20">
            <w:pPr>
              <w:rPr>
                <w:rFonts w:asciiTheme="minorHAnsi" w:hAnsiTheme="minorHAnsi"/>
                <w:b/>
                <w:bCs/>
                <w:sz w:val="20"/>
                <w:szCs w:val="20"/>
              </w:rPr>
            </w:pPr>
            <w:r w:rsidRPr="000921A4">
              <w:rPr>
                <w:rFonts w:asciiTheme="minorHAnsi" w:hAnsiTheme="minorHAnsi"/>
                <w:b/>
                <w:bCs/>
                <w:sz w:val="20"/>
                <w:szCs w:val="20"/>
              </w:rPr>
              <w:t>Krátkodobé záväzky spolu</w:t>
            </w:r>
          </w:p>
        </w:tc>
        <w:tc>
          <w:tcPr>
            <w:tcW w:w="1622" w:type="pct"/>
            <w:noWrap/>
            <w:vAlign w:val="center"/>
            <w:hideMark/>
          </w:tcPr>
          <w:p w:rsidR="00301869" w:rsidRPr="000921A4" w:rsidRDefault="00334CBF" w:rsidP="009617B6">
            <w:pPr>
              <w:jc w:val="right"/>
              <w:rPr>
                <w:rFonts w:asciiTheme="minorHAnsi" w:hAnsiTheme="minorHAnsi"/>
                <w:b/>
                <w:sz w:val="20"/>
                <w:szCs w:val="20"/>
              </w:rPr>
            </w:pPr>
            <w:r>
              <w:rPr>
                <w:rFonts w:asciiTheme="minorHAnsi" w:hAnsiTheme="minorHAnsi"/>
                <w:b/>
                <w:sz w:val="20"/>
                <w:szCs w:val="20"/>
              </w:rPr>
              <w:t>259693</w:t>
            </w:r>
          </w:p>
        </w:tc>
        <w:tc>
          <w:tcPr>
            <w:tcW w:w="1292" w:type="pct"/>
            <w:noWrap/>
            <w:vAlign w:val="center"/>
            <w:hideMark/>
          </w:tcPr>
          <w:p w:rsidR="00301869" w:rsidRPr="000921A4" w:rsidRDefault="00301869" w:rsidP="009617B6">
            <w:pPr>
              <w:jc w:val="right"/>
              <w:rPr>
                <w:rFonts w:asciiTheme="minorHAnsi" w:hAnsiTheme="minorHAnsi"/>
                <w:b/>
                <w:sz w:val="20"/>
                <w:szCs w:val="20"/>
              </w:rPr>
            </w:pPr>
            <w:r w:rsidRPr="000921A4">
              <w:rPr>
                <w:rFonts w:asciiTheme="minorHAnsi" w:hAnsiTheme="minorHAnsi"/>
                <w:b/>
                <w:sz w:val="20"/>
                <w:szCs w:val="20"/>
              </w:rPr>
              <w:t> </w:t>
            </w:r>
            <w:r w:rsidR="002426E1">
              <w:rPr>
                <w:rFonts w:asciiTheme="minorHAnsi" w:hAnsiTheme="minorHAnsi"/>
                <w:b/>
                <w:sz w:val="20"/>
                <w:szCs w:val="20"/>
              </w:rPr>
              <w:t>345659</w:t>
            </w:r>
          </w:p>
        </w:tc>
      </w:tr>
      <w:tr w:rsidR="009617B6" w:rsidRPr="006E59C6" w:rsidTr="00654D7C">
        <w:trPr>
          <w:trHeight w:val="589"/>
          <w:jc w:val="center"/>
        </w:trPr>
        <w:tc>
          <w:tcPr>
            <w:tcW w:w="2086" w:type="pct"/>
            <w:vAlign w:val="center"/>
            <w:hideMark/>
          </w:tcPr>
          <w:p w:rsidR="00301869" w:rsidRPr="000921A4" w:rsidRDefault="00301869" w:rsidP="006B0E20">
            <w:pPr>
              <w:rPr>
                <w:rFonts w:asciiTheme="minorHAnsi" w:hAnsiTheme="minorHAnsi"/>
                <w:sz w:val="20"/>
                <w:szCs w:val="20"/>
              </w:rPr>
            </w:pPr>
            <w:r w:rsidRPr="000921A4">
              <w:rPr>
                <w:rFonts w:asciiTheme="minorHAnsi" w:hAnsiTheme="minorHAnsi"/>
                <w:sz w:val="20"/>
                <w:szCs w:val="20"/>
              </w:rPr>
              <w:t>Záväzky so zostatkovou dobou splatnosti do jedného roka vrátane</w:t>
            </w:r>
          </w:p>
        </w:tc>
        <w:tc>
          <w:tcPr>
            <w:tcW w:w="1622" w:type="pct"/>
            <w:noWrap/>
            <w:vAlign w:val="center"/>
            <w:hideMark/>
          </w:tcPr>
          <w:p w:rsidR="00301869" w:rsidRPr="000921A4" w:rsidRDefault="00301869" w:rsidP="009617B6">
            <w:pPr>
              <w:jc w:val="right"/>
              <w:rPr>
                <w:rFonts w:asciiTheme="minorHAnsi" w:hAnsiTheme="minorHAnsi"/>
                <w:bCs/>
                <w:sz w:val="20"/>
                <w:szCs w:val="20"/>
              </w:rPr>
            </w:pPr>
            <w:r w:rsidRPr="000921A4">
              <w:rPr>
                <w:rFonts w:asciiTheme="minorHAnsi" w:hAnsiTheme="minorHAnsi"/>
                <w:bCs/>
                <w:sz w:val="20"/>
                <w:szCs w:val="20"/>
              </w:rPr>
              <w:t> </w:t>
            </w:r>
            <w:r w:rsidR="00334CBF">
              <w:rPr>
                <w:rFonts w:asciiTheme="minorHAnsi" w:hAnsiTheme="minorHAnsi"/>
                <w:bCs/>
                <w:sz w:val="20"/>
                <w:szCs w:val="20"/>
              </w:rPr>
              <w:t>259591</w:t>
            </w:r>
          </w:p>
        </w:tc>
        <w:tc>
          <w:tcPr>
            <w:tcW w:w="1292" w:type="pct"/>
            <w:vAlign w:val="center"/>
            <w:hideMark/>
          </w:tcPr>
          <w:p w:rsidR="00301869" w:rsidRPr="000921A4" w:rsidRDefault="002426E1" w:rsidP="009617B6">
            <w:pPr>
              <w:jc w:val="right"/>
              <w:rPr>
                <w:rFonts w:asciiTheme="minorHAnsi" w:hAnsiTheme="minorHAnsi"/>
                <w:bCs/>
                <w:sz w:val="20"/>
                <w:szCs w:val="20"/>
              </w:rPr>
            </w:pPr>
            <w:r>
              <w:rPr>
                <w:rFonts w:asciiTheme="minorHAnsi" w:hAnsiTheme="minorHAnsi"/>
                <w:bCs/>
                <w:sz w:val="20"/>
                <w:szCs w:val="20"/>
              </w:rPr>
              <w:t>345557</w:t>
            </w:r>
          </w:p>
        </w:tc>
      </w:tr>
      <w:tr w:rsidR="009617B6" w:rsidRPr="006E59C6" w:rsidTr="00654D7C">
        <w:trPr>
          <w:trHeight w:val="413"/>
          <w:jc w:val="center"/>
        </w:trPr>
        <w:tc>
          <w:tcPr>
            <w:tcW w:w="2086" w:type="pct"/>
            <w:vAlign w:val="center"/>
            <w:hideMark/>
          </w:tcPr>
          <w:p w:rsidR="00301869" w:rsidRPr="000921A4" w:rsidRDefault="00301869" w:rsidP="006B0E20">
            <w:pPr>
              <w:rPr>
                <w:rFonts w:asciiTheme="minorHAnsi" w:hAnsiTheme="minorHAnsi"/>
                <w:sz w:val="20"/>
                <w:szCs w:val="20"/>
              </w:rPr>
            </w:pPr>
            <w:r w:rsidRPr="000921A4">
              <w:rPr>
                <w:rFonts w:asciiTheme="minorHAnsi" w:hAnsiTheme="minorHAnsi"/>
                <w:sz w:val="20"/>
                <w:szCs w:val="20"/>
              </w:rPr>
              <w:t>Záväzky po lehote splatnosti</w:t>
            </w:r>
          </w:p>
        </w:tc>
        <w:tc>
          <w:tcPr>
            <w:tcW w:w="1622" w:type="pct"/>
            <w:noWrap/>
            <w:vAlign w:val="center"/>
            <w:hideMark/>
          </w:tcPr>
          <w:p w:rsidR="00301869" w:rsidRPr="000921A4" w:rsidRDefault="00301869" w:rsidP="009617B6">
            <w:pPr>
              <w:jc w:val="right"/>
              <w:rPr>
                <w:rFonts w:asciiTheme="minorHAnsi" w:hAnsiTheme="minorHAnsi"/>
                <w:bCs/>
                <w:sz w:val="20"/>
                <w:szCs w:val="20"/>
              </w:rPr>
            </w:pPr>
            <w:r w:rsidRPr="000921A4">
              <w:rPr>
                <w:rFonts w:asciiTheme="minorHAnsi" w:hAnsiTheme="minorHAnsi"/>
                <w:bCs/>
                <w:sz w:val="20"/>
                <w:szCs w:val="20"/>
              </w:rPr>
              <w:t> </w:t>
            </w:r>
            <w:r w:rsidR="00404535" w:rsidRPr="000921A4">
              <w:rPr>
                <w:rFonts w:asciiTheme="minorHAnsi" w:hAnsiTheme="minorHAnsi"/>
                <w:bCs/>
                <w:sz w:val="20"/>
                <w:szCs w:val="20"/>
              </w:rPr>
              <w:t>102</w:t>
            </w:r>
          </w:p>
        </w:tc>
        <w:tc>
          <w:tcPr>
            <w:tcW w:w="1292" w:type="pct"/>
            <w:vAlign w:val="center"/>
            <w:hideMark/>
          </w:tcPr>
          <w:p w:rsidR="00301869" w:rsidRPr="000921A4" w:rsidRDefault="00301869" w:rsidP="009617B6">
            <w:pPr>
              <w:jc w:val="right"/>
              <w:rPr>
                <w:rFonts w:asciiTheme="minorHAnsi" w:hAnsiTheme="minorHAnsi"/>
                <w:bCs/>
                <w:sz w:val="20"/>
                <w:szCs w:val="20"/>
              </w:rPr>
            </w:pPr>
            <w:r w:rsidRPr="000921A4">
              <w:rPr>
                <w:rFonts w:asciiTheme="minorHAnsi" w:hAnsiTheme="minorHAnsi"/>
                <w:bCs/>
                <w:sz w:val="20"/>
                <w:szCs w:val="20"/>
              </w:rPr>
              <w:t> </w:t>
            </w:r>
            <w:r w:rsidR="002426E1">
              <w:rPr>
                <w:rFonts w:asciiTheme="minorHAnsi" w:hAnsiTheme="minorHAnsi"/>
                <w:bCs/>
                <w:sz w:val="20"/>
                <w:szCs w:val="20"/>
              </w:rPr>
              <w:t>102</w:t>
            </w:r>
          </w:p>
        </w:tc>
      </w:tr>
    </w:tbl>
    <w:p w:rsidR="006F7829" w:rsidRPr="00212BA4" w:rsidRDefault="006F7829" w:rsidP="00441AF2">
      <w:pPr>
        <w:pStyle w:val="Default"/>
        <w:spacing w:after="14"/>
        <w:rPr>
          <w:rFonts w:asciiTheme="minorHAnsi" w:hAnsiTheme="minorHAnsi"/>
          <w:color w:val="00B0F0"/>
          <w:sz w:val="22"/>
          <w:szCs w:val="22"/>
        </w:rPr>
      </w:pPr>
    </w:p>
    <w:p w:rsidR="00301869" w:rsidRDefault="00441AF2" w:rsidP="00301869">
      <w:pPr>
        <w:pStyle w:val="Default"/>
        <w:spacing w:after="14"/>
        <w:rPr>
          <w:rFonts w:asciiTheme="minorHAnsi" w:hAnsiTheme="minorHAnsi"/>
          <w:b/>
          <w:color w:val="auto"/>
          <w:sz w:val="22"/>
          <w:szCs w:val="22"/>
        </w:rPr>
      </w:pPr>
      <w:r w:rsidRPr="006F7829">
        <w:rPr>
          <w:rFonts w:asciiTheme="minorHAnsi" w:hAnsiTheme="minorHAnsi"/>
          <w:b/>
          <w:color w:val="auto"/>
          <w:sz w:val="22"/>
          <w:szCs w:val="22"/>
        </w:rPr>
        <w:t xml:space="preserve">b) </w:t>
      </w:r>
      <w:r w:rsidR="00301869" w:rsidRPr="006F7829">
        <w:rPr>
          <w:rFonts w:asciiTheme="minorHAnsi" w:hAnsiTheme="minorHAnsi"/>
          <w:b/>
          <w:color w:val="auto"/>
          <w:sz w:val="22"/>
          <w:szCs w:val="22"/>
        </w:rPr>
        <w:t>Informácie o záväzkoch s obmedzeným právom  nakladania</w:t>
      </w:r>
    </w:p>
    <w:p w:rsidR="00301869" w:rsidRPr="00A87CD4" w:rsidRDefault="00301869" w:rsidP="00301869">
      <w:pPr>
        <w:rPr>
          <w:rFonts w:asciiTheme="minorHAnsi" w:hAnsiTheme="minorHAnsi"/>
          <w:szCs w:val="22"/>
        </w:rPr>
      </w:pPr>
    </w:p>
    <w:p w:rsidR="00AB1F17" w:rsidRDefault="00AB1F17" w:rsidP="00AB1F17">
      <w:pPr>
        <w:pStyle w:val="Vchodzie"/>
        <w:jc w:val="both"/>
      </w:pPr>
      <w:r>
        <w:rPr>
          <w:rFonts w:ascii="Calibri" w:hAnsi="Calibri"/>
          <w:color w:val="00000A"/>
          <w:sz w:val="20"/>
          <w:szCs w:val="20"/>
        </w:rPr>
        <w:t>Účtovná jednotka nemá záväzky kryté záložným právom, nemá zriadené obmedzenie v prospech veriteľov na ich pohľadávky.</w:t>
      </w:r>
    </w:p>
    <w:p w:rsidR="00301869" w:rsidRPr="00212BA4" w:rsidRDefault="00301869" w:rsidP="00441AF2">
      <w:pPr>
        <w:pStyle w:val="Default"/>
        <w:rPr>
          <w:rFonts w:asciiTheme="minorHAnsi" w:hAnsiTheme="minorHAnsi"/>
          <w:color w:val="00B0F0"/>
          <w:sz w:val="22"/>
          <w:szCs w:val="22"/>
        </w:rPr>
      </w:pPr>
    </w:p>
    <w:p w:rsidR="006E59C6" w:rsidRDefault="006E59C6" w:rsidP="006B0E20">
      <w:pPr>
        <w:pStyle w:val="Default"/>
        <w:spacing w:after="14"/>
        <w:rPr>
          <w:rFonts w:asciiTheme="minorHAnsi" w:hAnsiTheme="minorHAnsi"/>
          <w:b/>
          <w:color w:val="auto"/>
          <w:sz w:val="22"/>
          <w:szCs w:val="22"/>
        </w:rPr>
      </w:pPr>
    </w:p>
    <w:p w:rsidR="006E59C6" w:rsidRDefault="006E59C6" w:rsidP="006B0E20">
      <w:pPr>
        <w:pStyle w:val="Default"/>
        <w:spacing w:after="14"/>
        <w:rPr>
          <w:rFonts w:asciiTheme="minorHAnsi" w:hAnsiTheme="minorHAnsi"/>
          <w:b/>
          <w:color w:val="auto"/>
          <w:sz w:val="22"/>
          <w:szCs w:val="22"/>
        </w:rPr>
      </w:pPr>
    </w:p>
    <w:p w:rsidR="006B0E20" w:rsidRPr="006F7829" w:rsidRDefault="006B0E20" w:rsidP="006B0E20">
      <w:pPr>
        <w:pStyle w:val="Default"/>
        <w:spacing w:after="14"/>
        <w:rPr>
          <w:rFonts w:asciiTheme="minorHAnsi" w:hAnsiTheme="minorHAnsi"/>
          <w:b/>
          <w:color w:val="auto"/>
          <w:sz w:val="22"/>
          <w:szCs w:val="22"/>
        </w:rPr>
      </w:pPr>
      <w:r w:rsidRPr="006F7829">
        <w:rPr>
          <w:rFonts w:asciiTheme="minorHAnsi" w:hAnsiTheme="minorHAnsi"/>
          <w:b/>
          <w:color w:val="auto"/>
          <w:sz w:val="22"/>
          <w:szCs w:val="22"/>
        </w:rPr>
        <w:lastRenderedPageBreak/>
        <w:t xml:space="preserve">(4) Informácie o vlastných akciách </w:t>
      </w:r>
    </w:p>
    <w:p w:rsidR="00441AF2" w:rsidRDefault="00441AF2" w:rsidP="00441AF2">
      <w:pPr>
        <w:pStyle w:val="Default"/>
        <w:rPr>
          <w:rFonts w:asciiTheme="minorHAnsi" w:hAnsiTheme="minorHAnsi"/>
          <w:color w:val="00B0F0"/>
          <w:sz w:val="22"/>
          <w:szCs w:val="22"/>
        </w:rPr>
      </w:pPr>
    </w:p>
    <w:p w:rsidR="006F7829" w:rsidRPr="0046350E" w:rsidRDefault="006F7829" w:rsidP="00441AF2">
      <w:pPr>
        <w:pStyle w:val="Default"/>
        <w:rPr>
          <w:rFonts w:asciiTheme="minorHAnsi" w:hAnsiTheme="minorHAnsi"/>
          <w:color w:val="auto"/>
          <w:sz w:val="20"/>
          <w:szCs w:val="20"/>
        </w:rPr>
      </w:pPr>
      <w:r w:rsidRPr="0046350E">
        <w:rPr>
          <w:rFonts w:asciiTheme="minorHAnsi" w:hAnsiTheme="minorHAnsi"/>
          <w:color w:val="auto"/>
          <w:sz w:val="20"/>
          <w:szCs w:val="20"/>
        </w:rPr>
        <w:t>Spoločnosť nevydala a nemá vlastné akcie.</w:t>
      </w:r>
    </w:p>
    <w:p w:rsidR="006F7829" w:rsidRPr="00212BA4" w:rsidRDefault="006F7829" w:rsidP="00441AF2">
      <w:pPr>
        <w:pStyle w:val="Default"/>
        <w:rPr>
          <w:rFonts w:asciiTheme="minorHAnsi" w:hAnsiTheme="minorHAnsi"/>
          <w:color w:val="00B0F0"/>
          <w:sz w:val="22"/>
          <w:szCs w:val="22"/>
        </w:rPr>
      </w:pPr>
    </w:p>
    <w:p w:rsidR="00441AF2" w:rsidRDefault="00441AF2" w:rsidP="00F1619E">
      <w:pPr>
        <w:pStyle w:val="Default"/>
        <w:jc w:val="both"/>
        <w:rPr>
          <w:rFonts w:asciiTheme="minorHAnsi" w:hAnsiTheme="minorHAnsi"/>
          <w:b/>
          <w:color w:val="auto"/>
          <w:sz w:val="22"/>
          <w:szCs w:val="22"/>
        </w:rPr>
      </w:pPr>
      <w:r w:rsidRPr="006F7829">
        <w:rPr>
          <w:rFonts w:asciiTheme="minorHAnsi" w:hAnsiTheme="minorHAnsi"/>
          <w:b/>
          <w:color w:val="auto"/>
          <w:sz w:val="22"/>
          <w:szCs w:val="22"/>
        </w:rPr>
        <w:t>(5) Informácia o sume a dôvodoch vzniku jednotlivých položiek nákladov alebo výnosov, ktoré majú výnimočný rozsah alebo výskyt</w:t>
      </w:r>
    </w:p>
    <w:p w:rsidR="00AB1F17" w:rsidRPr="00212BA4" w:rsidRDefault="00AB1F17" w:rsidP="00F1619E">
      <w:pPr>
        <w:pStyle w:val="Default"/>
        <w:jc w:val="both"/>
        <w:rPr>
          <w:rFonts w:asciiTheme="minorHAnsi" w:hAnsiTheme="minorHAnsi"/>
          <w:color w:val="00B0F0"/>
          <w:sz w:val="22"/>
          <w:szCs w:val="22"/>
        </w:rPr>
      </w:pPr>
    </w:p>
    <w:p w:rsidR="00AB1F17" w:rsidRDefault="00AB1F17" w:rsidP="00AB1F17">
      <w:pPr>
        <w:pStyle w:val="Vchodzie"/>
      </w:pPr>
      <w:r>
        <w:rPr>
          <w:rFonts w:ascii="Calibri" w:hAnsi="Calibri"/>
          <w:color w:val="00000A"/>
          <w:sz w:val="20"/>
          <w:szCs w:val="20"/>
        </w:rPr>
        <w:t>Účtovná</w:t>
      </w:r>
      <w:r w:rsidR="00334CBF">
        <w:rPr>
          <w:rFonts w:ascii="Calibri" w:hAnsi="Calibri"/>
          <w:color w:val="00000A"/>
          <w:sz w:val="20"/>
          <w:szCs w:val="20"/>
        </w:rPr>
        <w:t xml:space="preserve"> jednotka neúčtovala do júla 2017</w:t>
      </w:r>
      <w:r>
        <w:rPr>
          <w:rFonts w:ascii="Calibri" w:hAnsi="Calibri"/>
          <w:color w:val="00000A"/>
          <w:sz w:val="20"/>
          <w:szCs w:val="20"/>
        </w:rPr>
        <w:t xml:space="preserve"> o výnosoch alebo nákladoch, ktoré majú výnimočný rozsah alebo výskyt.</w:t>
      </w:r>
    </w:p>
    <w:p w:rsidR="006E59C6" w:rsidRDefault="006E59C6" w:rsidP="00441AF2">
      <w:pPr>
        <w:pStyle w:val="Default"/>
        <w:jc w:val="center"/>
        <w:rPr>
          <w:rFonts w:asciiTheme="minorHAnsi" w:hAnsiTheme="minorHAnsi"/>
          <w:b/>
          <w:bCs/>
          <w:color w:val="auto"/>
          <w:sz w:val="22"/>
          <w:szCs w:val="22"/>
        </w:rPr>
      </w:pPr>
    </w:p>
    <w:p w:rsidR="00441AF2" w:rsidRPr="001E2192" w:rsidRDefault="00441AF2" w:rsidP="00441AF2">
      <w:pPr>
        <w:pStyle w:val="Default"/>
        <w:jc w:val="center"/>
        <w:rPr>
          <w:rFonts w:asciiTheme="minorHAnsi" w:hAnsiTheme="minorHAnsi"/>
          <w:b/>
          <w:bCs/>
          <w:color w:val="auto"/>
          <w:sz w:val="22"/>
          <w:szCs w:val="22"/>
        </w:rPr>
      </w:pPr>
      <w:r w:rsidRPr="001E2192">
        <w:rPr>
          <w:rFonts w:asciiTheme="minorHAnsi" w:hAnsiTheme="minorHAnsi"/>
          <w:b/>
          <w:bCs/>
          <w:color w:val="auto"/>
          <w:sz w:val="22"/>
          <w:szCs w:val="22"/>
        </w:rPr>
        <w:t>V</w:t>
      </w:r>
      <w:r w:rsidR="00AB1F17">
        <w:rPr>
          <w:rFonts w:asciiTheme="minorHAnsi" w:hAnsiTheme="minorHAnsi"/>
          <w:b/>
          <w:bCs/>
          <w:color w:val="auto"/>
          <w:sz w:val="22"/>
          <w:szCs w:val="22"/>
        </w:rPr>
        <w:t xml:space="preserve">. </w:t>
      </w:r>
      <w:r w:rsidRPr="001E2192">
        <w:rPr>
          <w:rFonts w:asciiTheme="minorHAnsi" w:hAnsiTheme="minorHAnsi"/>
          <w:b/>
          <w:bCs/>
          <w:color w:val="auto"/>
          <w:sz w:val="22"/>
          <w:szCs w:val="22"/>
        </w:rPr>
        <w:t>Informácie o iných aktívach a iných pasívach</w:t>
      </w:r>
    </w:p>
    <w:p w:rsidR="006B0E20" w:rsidRPr="00A87CD4" w:rsidRDefault="006B0E20" w:rsidP="006B0E20">
      <w:pPr>
        <w:pStyle w:val="Default"/>
        <w:jc w:val="center"/>
        <w:rPr>
          <w:rFonts w:asciiTheme="minorHAnsi" w:hAnsiTheme="minorHAnsi"/>
          <w:color w:val="990099"/>
          <w:sz w:val="22"/>
          <w:szCs w:val="22"/>
        </w:rPr>
      </w:pPr>
    </w:p>
    <w:p w:rsidR="006B0E20" w:rsidRPr="001E2192" w:rsidRDefault="006B0E20" w:rsidP="006B0E20">
      <w:pPr>
        <w:pStyle w:val="Default"/>
        <w:spacing w:after="17"/>
        <w:rPr>
          <w:rFonts w:asciiTheme="minorHAnsi" w:hAnsiTheme="minorHAnsi"/>
          <w:b/>
          <w:color w:val="auto"/>
          <w:sz w:val="22"/>
          <w:szCs w:val="22"/>
        </w:rPr>
      </w:pPr>
      <w:r w:rsidRPr="001E2192">
        <w:rPr>
          <w:rFonts w:asciiTheme="minorHAnsi" w:hAnsiTheme="minorHAnsi"/>
          <w:b/>
          <w:color w:val="auto"/>
          <w:sz w:val="22"/>
          <w:szCs w:val="22"/>
        </w:rPr>
        <w:t xml:space="preserve">(1) Informácie o iných aktívach a iných pasívach: </w:t>
      </w:r>
    </w:p>
    <w:p w:rsidR="006B0E20" w:rsidRPr="00A87CD4" w:rsidRDefault="006B0E20" w:rsidP="006B0E20">
      <w:pPr>
        <w:pStyle w:val="Default"/>
        <w:spacing w:after="17"/>
        <w:rPr>
          <w:rFonts w:asciiTheme="minorHAnsi" w:hAnsiTheme="minorHAnsi"/>
          <w:color w:val="990099"/>
          <w:sz w:val="22"/>
          <w:szCs w:val="22"/>
        </w:rPr>
      </w:pPr>
    </w:p>
    <w:p w:rsidR="006B0E20" w:rsidRPr="001E2192" w:rsidRDefault="006B0E20" w:rsidP="006B0E20">
      <w:pPr>
        <w:pStyle w:val="Default"/>
        <w:spacing w:after="17"/>
        <w:rPr>
          <w:rFonts w:asciiTheme="minorHAnsi" w:hAnsiTheme="minorHAnsi"/>
          <w:b/>
          <w:color w:val="auto"/>
          <w:sz w:val="22"/>
          <w:szCs w:val="22"/>
        </w:rPr>
      </w:pPr>
      <w:r w:rsidRPr="001E2192">
        <w:rPr>
          <w:rFonts w:asciiTheme="minorHAnsi" w:hAnsiTheme="minorHAnsi"/>
          <w:b/>
          <w:color w:val="auto"/>
          <w:sz w:val="22"/>
          <w:szCs w:val="22"/>
        </w:rPr>
        <w:t>a) Informácie o podmienenom majetku</w:t>
      </w:r>
    </w:p>
    <w:p w:rsidR="006B0E20" w:rsidRPr="00A87CD4" w:rsidRDefault="006B0E20" w:rsidP="006B0E20">
      <w:pPr>
        <w:pStyle w:val="Default"/>
        <w:spacing w:after="17"/>
        <w:rPr>
          <w:rFonts w:asciiTheme="minorHAnsi" w:hAnsiTheme="minorHAnsi"/>
          <w:color w:val="990099"/>
          <w:sz w:val="22"/>
          <w:szCs w:val="22"/>
        </w:rPr>
      </w:pPr>
    </w:p>
    <w:p w:rsidR="006B0E20" w:rsidRPr="001E2192" w:rsidRDefault="006B0E20" w:rsidP="006B0E20">
      <w:pPr>
        <w:pStyle w:val="Default"/>
        <w:spacing w:after="17"/>
        <w:rPr>
          <w:rFonts w:asciiTheme="minorHAnsi" w:hAnsiTheme="minorHAnsi"/>
          <w:color w:val="auto"/>
          <w:sz w:val="20"/>
          <w:szCs w:val="20"/>
        </w:rPr>
      </w:pPr>
      <w:r w:rsidRPr="001E2192">
        <w:rPr>
          <w:rFonts w:asciiTheme="minorHAnsi" w:hAnsiTheme="minorHAnsi"/>
          <w:color w:val="auto"/>
          <w:sz w:val="20"/>
          <w:szCs w:val="20"/>
        </w:rPr>
        <w:t xml:space="preserve">Účtovná jednotka nemá vedomosť o  </w:t>
      </w:r>
      <w:r w:rsidR="001E2192">
        <w:rPr>
          <w:rFonts w:asciiTheme="minorHAnsi" w:hAnsiTheme="minorHAnsi"/>
          <w:color w:val="auto"/>
          <w:sz w:val="20"/>
          <w:szCs w:val="20"/>
        </w:rPr>
        <w:t>žiadnom podmienenom majetku, ktorý sa nevykazuje</w:t>
      </w:r>
      <w:r w:rsidRPr="001E2192">
        <w:rPr>
          <w:rFonts w:asciiTheme="minorHAnsi" w:hAnsiTheme="minorHAnsi"/>
          <w:color w:val="auto"/>
          <w:sz w:val="20"/>
          <w:szCs w:val="20"/>
        </w:rPr>
        <w:t xml:space="preserve"> v súvahe.</w:t>
      </w:r>
    </w:p>
    <w:p w:rsidR="006B0E20" w:rsidRPr="00A87CD4" w:rsidRDefault="006B0E20" w:rsidP="006B0E20">
      <w:pPr>
        <w:pStyle w:val="Default"/>
        <w:spacing w:after="17"/>
        <w:rPr>
          <w:rFonts w:asciiTheme="minorHAnsi" w:hAnsiTheme="minorHAnsi"/>
          <w:color w:val="990099"/>
          <w:sz w:val="22"/>
          <w:szCs w:val="22"/>
        </w:rPr>
      </w:pPr>
    </w:p>
    <w:p w:rsidR="006B0E20" w:rsidRPr="0046350E" w:rsidRDefault="006B0E20" w:rsidP="006B0E20">
      <w:pPr>
        <w:pStyle w:val="Nzov"/>
        <w:keepNext w:val="0"/>
        <w:widowControl w:val="0"/>
        <w:spacing w:before="0" w:beforeAutospacing="0" w:after="0"/>
        <w:jc w:val="left"/>
        <w:rPr>
          <w:rFonts w:asciiTheme="minorHAnsi" w:hAnsiTheme="minorHAnsi"/>
        </w:rPr>
      </w:pPr>
      <w:r w:rsidRPr="0046350E">
        <w:rPr>
          <w:rFonts w:asciiTheme="minorHAnsi" w:hAnsiTheme="minorHAnsi"/>
          <w:szCs w:val="22"/>
        </w:rPr>
        <w:t xml:space="preserve">b) </w:t>
      </w:r>
      <w:r w:rsidRPr="0046350E">
        <w:rPr>
          <w:rFonts w:asciiTheme="minorHAnsi" w:hAnsiTheme="minorHAnsi"/>
        </w:rPr>
        <w:t>Informácie o podmienených záväzkoch</w:t>
      </w:r>
    </w:p>
    <w:p w:rsidR="006B0E20" w:rsidRDefault="006B0E20" w:rsidP="006B0E20">
      <w:pPr>
        <w:pStyle w:val="Default"/>
        <w:spacing w:after="17"/>
        <w:rPr>
          <w:rFonts w:asciiTheme="minorHAnsi" w:hAnsiTheme="minorHAnsi"/>
          <w:color w:val="990099"/>
          <w:sz w:val="22"/>
          <w:szCs w:val="22"/>
        </w:rPr>
      </w:pPr>
    </w:p>
    <w:p w:rsidR="0032590A" w:rsidRDefault="0032590A" w:rsidP="0032590A">
      <w:pPr>
        <w:pStyle w:val="Vchodzie"/>
        <w:spacing w:after="17"/>
        <w:jc w:val="both"/>
      </w:pPr>
      <w:r>
        <w:rPr>
          <w:rFonts w:ascii="Calibri" w:hAnsi="Calibri"/>
          <w:color w:val="00000A"/>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32590A" w:rsidRDefault="0032590A" w:rsidP="0032590A">
      <w:pPr>
        <w:pStyle w:val="Vchodzie"/>
        <w:spacing w:after="17"/>
        <w:jc w:val="both"/>
      </w:pPr>
    </w:p>
    <w:p w:rsidR="0032590A" w:rsidRDefault="0032590A" w:rsidP="0032590A">
      <w:pPr>
        <w:pStyle w:val="Vchodzie"/>
        <w:spacing w:after="17"/>
        <w:jc w:val="both"/>
      </w:pPr>
      <w:r>
        <w:rPr>
          <w:rFonts w:ascii="Calibri" w:hAnsi="Calibri"/>
          <w:color w:val="00000A"/>
          <w:sz w:val="20"/>
          <w:szCs w:val="2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32590A" w:rsidRDefault="0032590A" w:rsidP="0032590A">
      <w:pPr>
        <w:pStyle w:val="Vchodzie"/>
        <w:spacing w:after="17"/>
        <w:jc w:val="both"/>
      </w:pPr>
    </w:p>
    <w:p w:rsidR="00857986" w:rsidRPr="001763C5" w:rsidRDefault="001763C5" w:rsidP="0032590A">
      <w:pPr>
        <w:pStyle w:val="Default"/>
        <w:spacing w:after="17"/>
        <w:jc w:val="both"/>
        <w:rPr>
          <w:rFonts w:asciiTheme="minorHAnsi" w:hAnsiTheme="minorHAnsi"/>
          <w:color w:val="auto"/>
          <w:sz w:val="20"/>
          <w:szCs w:val="20"/>
        </w:rPr>
      </w:pPr>
      <w:r w:rsidRPr="001763C5">
        <w:rPr>
          <w:rFonts w:asciiTheme="minorHAnsi" w:hAnsiTheme="minorHAnsi"/>
          <w:color w:val="auto"/>
          <w:sz w:val="20"/>
          <w:szCs w:val="20"/>
        </w:rPr>
        <w:t>Slovenská Sporiteľňa</w:t>
      </w:r>
      <w:r w:rsidR="00857986" w:rsidRPr="001763C5">
        <w:rPr>
          <w:rFonts w:asciiTheme="minorHAnsi" w:hAnsiTheme="minorHAnsi"/>
          <w:color w:val="auto"/>
          <w:sz w:val="20"/>
          <w:szCs w:val="20"/>
        </w:rPr>
        <w:t xml:space="preserve"> a.s. má zriadené záložné právo</w:t>
      </w:r>
      <w:r w:rsidRPr="001763C5">
        <w:rPr>
          <w:rFonts w:asciiTheme="minorHAnsi" w:hAnsiTheme="minorHAnsi"/>
          <w:color w:val="auto"/>
          <w:sz w:val="20"/>
          <w:szCs w:val="20"/>
        </w:rPr>
        <w:t xml:space="preserve"> k</w:t>
      </w:r>
      <w:r w:rsidR="00857986" w:rsidRPr="001763C5">
        <w:rPr>
          <w:rFonts w:asciiTheme="minorHAnsi" w:hAnsiTheme="minorHAnsi"/>
          <w:color w:val="auto"/>
          <w:sz w:val="20"/>
          <w:szCs w:val="20"/>
        </w:rPr>
        <w:t xml:space="preserve"> pohľadávkam z obchodného styku účtovnej jednotky, na zabezpečenie pohľadávky podľa Zmluvy o kontokorentnom úvere</w:t>
      </w:r>
      <w:r>
        <w:rPr>
          <w:rFonts w:asciiTheme="minorHAnsi" w:hAnsiTheme="minorHAnsi"/>
          <w:color w:val="auto"/>
          <w:sz w:val="20"/>
          <w:szCs w:val="20"/>
        </w:rPr>
        <w:t xml:space="preserve"> vo výške 100000 Eur</w:t>
      </w:r>
      <w:r w:rsidR="00857986" w:rsidRPr="001763C5">
        <w:rPr>
          <w:rFonts w:asciiTheme="minorHAnsi" w:hAnsiTheme="minorHAnsi"/>
          <w:color w:val="auto"/>
          <w:sz w:val="20"/>
          <w:szCs w:val="20"/>
        </w:rPr>
        <w:t>. Kontokorentný úver bol poskytnutý na financovanie krátkodobých prevádzkových pot</w:t>
      </w:r>
      <w:r w:rsidR="00334CBF">
        <w:rPr>
          <w:rFonts w:asciiTheme="minorHAnsi" w:hAnsiTheme="minorHAnsi"/>
          <w:color w:val="auto"/>
          <w:sz w:val="20"/>
          <w:szCs w:val="20"/>
        </w:rPr>
        <w:t xml:space="preserve">rieb účtovnej jednotky a k 31.07.2017 </w:t>
      </w:r>
      <w:r w:rsidR="00857986" w:rsidRPr="001763C5">
        <w:rPr>
          <w:rFonts w:asciiTheme="minorHAnsi" w:hAnsiTheme="minorHAnsi"/>
          <w:color w:val="auto"/>
          <w:sz w:val="20"/>
          <w:szCs w:val="20"/>
        </w:rPr>
        <w:t>bol čerpaný</w:t>
      </w:r>
      <w:r w:rsidR="00334CBF">
        <w:rPr>
          <w:rFonts w:asciiTheme="minorHAnsi" w:hAnsiTheme="minorHAnsi"/>
          <w:color w:val="auto"/>
          <w:sz w:val="20"/>
          <w:szCs w:val="20"/>
        </w:rPr>
        <w:t xml:space="preserve"> vo výške 67867 Eur</w:t>
      </w:r>
      <w:r w:rsidR="00857986" w:rsidRPr="001763C5">
        <w:rPr>
          <w:rFonts w:asciiTheme="minorHAnsi" w:hAnsiTheme="minorHAnsi"/>
          <w:color w:val="auto"/>
          <w:sz w:val="20"/>
          <w:szCs w:val="20"/>
        </w:rPr>
        <w:t>.</w:t>
      </w:r>
    </w:p>
    <w:p w:rsidR="00857986" w:rsidRDefault="00857986" w:rsidP="00857986">
      <w:pPr>
        <w:pStyle w:val="Default"/>
        <w:spacing w:after="17"/>
        <w:rPr>
          <w:rFonts w:asciiTheme="minorHAnsi" w:hAnsiTheme="minorHAnsi"/>
          <w:color w:val="auto"/>
          <w:sz w:val="20"/>
          <w:szCs w:val="20"/>
          <w:highlight w:val="yellow"/>
        </w:rPr>
      </w:pPr>
    </w:p>
    <w:p w:rsidR="0032590A" w:rsidRDefault="0032590A" w:rsidP="0032590A">
      <w:pPr>
        <w:pStyle w:val="Vchodzie"/>
        <w:spacing w:after="17"/>
        <w:jc w:val="both"/>
      </w:pPr>
      <w:r>
        <w:rPr>
          <w:rFonts w:ascii="Calibri" w:hAnsi="Calibri"/>
          <w:color w:val="00000A"/>
          <w:sz w:val="20"/>
          <w:szCs w:val="20"/>
        </w:rPr>
        <w:t>Okrem vyššie uvedeného, nemá Spoločnosť vedomosť o inom podmienenom majetku alebo podmienených záväzkoch, ktoré sa nevykazujú v súvahe.</w:t>
      </w:r>
    </w:p>
    <w:p w:rsidR="0032590A" w:rsidRDefault="0032590A" w:rsidP="0032590A">
      <w:pPr>
        <w:pStyle w:val="Default"/>
        <w:spacing w:after="17"/>
        <w:rPr>
          <w:rFonts w:asciiTheme="minorHAnsi" w:hAnsiTheme="minorHAnsi"/>
          <w:color w:val="990099"/>
          <w:sz w:val="22"/>
          <w:szCs w:val="22"/>
        </w:rPr>
      </w:pPr>
    </w:p>
    <w:p w:rsidR="0046350E" w:rsidRDefault="006B0E20" w:rsidP="006B0E20">
      <w:pPr>
        <w:pStyle w:val="Default"/>
        <w:rPr>
          <w:rFonts w:asciiTheme="minorHAnsi" w:hAnsiTheme="minorHAnsi"/>
          <w:b/>
          <w:color w:val="auto"/>
          <w:sz w:val="22"/>
          <w:szCs w:val="22"/>
        </w:rPr>
      </w:pPr>
      <w:r w:rsidRPr="0046350E">
        <w:rPr>
          <w:rFonts w:asciiTheme="minorHAnsi" w:hAnsiTheme="minorHAnsi"/>
          <w:b/>
          <w:color w:val="auto"/>
          <w:sz w:val="22"/>
          <w:szCs w:val="22"/>
        </w:rPr>
        <w:t>(2) Informácia o ostatných finančných povinnostiach, ktoré sa nevykazujú v účtovných výkazoch</w:t>
      </w:r>
    </w:p>
    <w:p w:rsidR="006B0E20" w:rsidRPr="00A87CD4" w:rsidRDefault="006B0E20" w:rsidP="006B0E20">
      <w:pPr>
        <w:pStyle w:val="Default"/>
        <w:rPr>
          <w:rFonts w:asciiTheme="minorHAnsi" w:hAnsiTheme="minorHAnsi"/>
          <w:color w:val="FF0000"/>
          <w:sz w:val="22"/>
          <w:szCs w:val="22"/>
        </w:rPr>
      </w:pPr>
    </w:p>
    <w:p w:rsidR="0032590A" w:rsidRDefault="0032590A" w:rsidP="0032590A">
      <w:pPr>
        <w:pStyle w:val="Vchodzie"/>
        <w:spacing w:line="276" w:lineRule="auto"/>
        <w:jc w:val="both"/>
      </w:pPr>
      <w:r>
        <w:rPr>
          <w:rFonts w:ascii="Calibri" w:hAnsi="Calibri"/>
          <w:color w:val="00000A"/>
          <w:sz w:val="20"/>
          <w:szCs w:val="20"/>
        </w:rPr>
        <w:t>Spoločnosti nebolo udelené výlučné právo alebo osobitné právo poskytovať služby vo verejnom záujme. Na spoločnosť sa rovnako nevzťahuje § 23d ods. 6 zákona o účtovníctve.</w:t>
      </w:r>
    </w:p>
    <w:p w:rsidR="006B0E20" w:rsidRPr="00A87CD4" w:rsidRDefault="006B0E20" w:rsidP="006B0E20">
      <w:pPr>
        <w:pStyle w:val="Default"/>
        <w:rPr>
          <w:rFonts w:asciiTheme="minorHAnsi" w:hAnsiTheme="minorHAnsi"/>
          <w:color w:val="990099"/>
          <w:sz w:val="22"/>
          <w:szCs w:val="22"/>
        </w:rPr>
      </w:pPr>
    </w:p>
    <w:p w:rsidR="006B0E20" w:rsidRPr="0046350E" w:rsidRDefault="006B0E20" w:rsidP="006B0E20">
      <w:pPr>
        <w:pStyle w:val="Default"/>
        <w:rPr>
          <w:rFonts w:asciiTheme="minorHAnsi" w:hAnsiTheme="minorHAnsi"/>
          <w:b/>
          <w:color w:val="auto"/>
          <w:sz w:val="22"/>
          <w:szCs w:val="22"/>
        </w:rPr>
      </w:pPr>
      <w:r w:rsidRPr="0046350E">
        <w:rPr>
          <w:rFonts w:asciiTheme="minorHAnsi" w:hAnsiTheme="minorHAnsi"/>
          <w:b/>
          <w:color w:val="auto"/>
          <w:sz w:val="22"/>
          <w:szCs w:val="22"/>
        </w:rPr>
        <w:t xml:space="preserve">(3) Informácie ku skutočnostiam sledovaným na podsúvahových účtoch  </w:t>
      </w:r>
    </w:p>
    <w:p w:rsidR="006B0E20" w:rsidRDefault="006B0E20" w:rsidP="006B0E20">
      <w:pPr>
        <w:pStyle w:val="Default"/>
        <w:rPr>
          <w:rFonts w:asciiTheme="minorHAnsi" w:hAnsiTheme="minorHAnsi"/>
          <w:color w:val="990099"/>
          <w:sz w:val="22"/>
          <w:szCs w:val="22"/>
        </w:rPr>
      </w:pPr>
    </w:p>
    <w:p w:rsidR="0032590A" w:rsidRPr="00B877DE" w:rsidRDefault="0032590A" w:rsidP="0032590A">
      <w:pPr>
        <w:pStyle w:val="Vchodzie"/>
        <w:spacing w:line="276" w:lineRule="auto"/>
        <w:jc w:val="both"/>
        <w:rPr>
          <w:rFonts w:ascii="Calibri" w:hAnsi="Calibri"/>
          <w:color w:val="auto"/>
          <w:sz w:val="20"/>
          <w:szCs w:val="20"/>
        </w:rPr>
      </w:pPr>
      <w:r w:rsidRPr="00B877DE">
        <w:rPr>
          <w:rFonts w:ascii="Calibri" w:hAnsi="Calibri"/>
          <w:color w:val="auto"/>
          <w:sz w:val="20"/>
          <w:szCs w:val="20"/>
        </w:rPr>
        <w:t>Spoločnosť má v dlhodobom prenájme nebytové priestory od prenajímateľa CHEMO - DROGÉRIE s.r.o.</w:t>
      </w:r>
      <w:r w:rsidR="00C83866" w:rsidRPr="00B877DE">
        <w:rPr>
          <w:rFonts w:ascii="Calibri" w:hAnsi="Calibri"/>
          <w:color w:val="auto"/>
          <w:sz w:val="20"/>
          <w:szCs w:val="20"/>
        </w:rPr>
        <w:t xml:space="preserve"> (Zmluva o nájme nebytových priestorov</w:t>
      </w:r>
      <w:r w:rsidRPr="00B877DE">
        <w:rPr>
          <w:rFonts w:ascii="Calibri" w:hAnsi="Calibri"/>
          <w:color w:val="auto"/>
          <w:sz w:val="20"/>
          <w:szCs w:val="20"/>
        </w:rPr>
        <w:t xml:space="preserve"> uzavretá v súlade s §663 a nasl. Občianskeh</w:t>
      </w:r>
      <w:r w:rsidR="00C83866" w:rsidRPr="00B877DE">
        <w:rPr>
          <w:rFonts w:ascii="Calibri" w:hAnsi="Calibri"/>
          <w:color w:val="auto"/>
          <w:sz w:val="20"/>
          <w:szCs w:val="20"/>
        </w:rPr>
        <w:t>o zákonníka uzatvorená dňa 30.mája 2011</w:t>
      </w:r>
      <w:r w:rsidRPr="00B877DE">
        <w:rPr>
          <w:rFonts w:ascii="Calibri" w:hAnsi="Calibri"/>
          <w:color w:val="auto"/>
          <w:sz w:val="20"/>
          <w:szCs w:val="20"/>
        </w:rPr>
        <w:t>). Ročné nájo</w:t>
      </w:r>
      <w:r w:rsidR="00B877DE" w:rsidRPr="00B877DE">
        <w:rPr>
          <w:rFonts w:ascii="Calibri" w:hAnsi="Calibri"/>
          <w:color w:val="auto"/>
          <w:sz w:val="20"/>
          <w:szCs w:val="20"/>
        </w:rPr>
        <w:t>mné je stano</w:t>
      </w:r>
      <w:r w:rsidR="009A5CDA">
        <w:rPr>
          <w:rFonts w:ascii="Calibri" w:hAnsi="Calibri"/>
          <w:color w:val="auto"/>
          <w:sz w:val="20"/>
          <w:szCs w:val="20"/>
        </w:rPr>
        <w:t>vené vo výške 5194</w:t>
      </w:r>
      <w:r w:rsidR="00B877DE" w:rsidRPr="00B877DE">
        <w:rPr>
          <w:rFonts w:ascii="Calibri" w:hAnsi="Calibri"/>
          <w:color w:val="auto"/>
          <w:sz w:val="20"/>
          <w:szCs w:val="20"/>
        </w:rPr>
        <w:t xml:space="preserve"> Eur</w:t>
      </w:r>
      <w:r w:rsidRPr="00B877DE">
        <w:rPr>
          <w:rFonts w:ascii="Calibri" w:hAnsi="Calibri"/>
          <w:color w:val="auto"/>
          <w:sz w:val="20"/>
          <w:szCs w:val="20"/>
        </w:rPr>
        <w:t>. Nájom</w:t>
      </w:r>
      <w:r w:rsidR="00AA159B">
        <w:rPr>
          <w:rFonts w:ascii="Calibri" w:hAnsi="Calibri"/>
          <w:color w:val="auto"/>
          <w:sz w:val="20"/>
          <w:szCs w:val="20"/>
        </w:rPr>
        <w:t>ná zmluva skončila dňa 31.júla 2017</w:t>
      </w:r>
      <w:r w:rsidRPr="00B877DE">
        <w:rPr>
          <w:rFonts w:ascii="Calibri" w:hAnsi="Calibri"/>
          <w:color w:val="auto"/>
          <w:sz w:val="20"/>
          <w:szCs w:val="20"/>
        </w:rPr>
        <w:t>.</w:t>
      </w:r>
    </w:p>
    <w:p w:rsidR="0032590A" w:rsidRDefault="0032590A" w:rsidP="0032590A">
      <w:pPr>
        <w:pStyle w:val="Vchodzie"/>
        <w:jc w:val="both"/>
      </w:pPr>
    </w:p>
    <w:p w:rsidR="005D60AD" w:rsidRDefault="005D7FF1" w:rsidP="005D7FF1">
      <w:pPr>
        <w:pStyle w:val="Default"/>
        <w:jc w:val="both"/>
        <w:rPr>
          <w:rFonts w:asciiTheme="minorHAnsi" w:hAnsiTheme="minorHAnsi"/>
          <w:color w:val="auto"/>
          <w:sz w:val="20"/>
          <w:szCs w:val="20"/>
        </w:rPr>
      </w:pPr>
      <w:r w:rsidRPr="00CA0A6D">
        <w:rPr>
          <w:rFonts w:asciiTheme="minorHAnsi" w:hAnsiTheme="minorHAnsi"/>
          <w:color w:val="auto"/>
          <w:sz w:val="20"/>
          <w:szCs w:val="20"/>
        </w:rPr>
        <w:t>Spoločnosť m</w:t>
      </w:r>
      <w:r w:rsidR="00F554AE" w:rsidRPr="00CA0A6D">
        <w:rPr>
          <w:rFonts w:asciiTheme="minorHAnsi" w:hAnsiTheme="minorHAnsi"/>
          <w:color w:val="auto"/>
          <w:sz w:val="20"/>
          <w:szCs w:val="20"/>
        </w:rPr>
        <w:t xml:space="preserve">á v nájme (operatívny prenájom) </w:t>
      </w:r>
      <w:r w:rsidR="00D64852" w:rsidRPr="00CA0A6D">
        <w:rPr>
          <w:rFonts w:asciiTheme="minorHAnsi" w:hAnsiTheme="minorHAnsi"/>
          <w:color w:val="auto"/>
          <w:sz w:val="20"/>
          <w:szCs w:val="20"/>
        </w:rPr>
        <w:t>13</w:t>
      </w:r>
      <w:r w:rsidR="005D60AD" w:rsidRPr="00CA0A6D">
        <w:rPr>
          <w:rFonts w:asciiTheme="minorHAnsi" w:hAnsiTheme="minorHAnsi"/>
          <w:color w:val="auto"/>
          <w:sz w:val="20"/>
          <w:szCs w:val="20"/>
        </w:rPr>
        <w:t xml:space="preserve"> ťahačov</w:t>
      </w:r>
      <w:r w:rsidR="00CA7953" w:rsidRPr="00CA0A6D">
        <w:rPr>
          <w:rFonts w:asciiTheme="minorHAnsi" w:hAnsiTheme="minorHAnsi"/>
          <w:color w:val="auto"/>
          <w:sz w:val="20"/>
          <w:szCs w:val="20"/>
        </w:rPr>
        <w:t xml:space="preserve"> </w:t>
      </w:r>
      <w:r w:rsidR="00F554AE" w:rsidRPr="00CA0A6D">
        <w:rPr>
          <w:rFonts w:asciiTheme="minorHAnsi" w:hAnsiTheme="minorHAnsi"/>
          <w:color w:val="auto"/>
          <w:sz w:val="20"/>
          <w:szCs w:val="20"/>
        </w:rPr>
        <w:t>v o</w:t>
      </w:r>
      <w:r w:rsidR="00CA0A6D" w:rsidRPr="00CA0A6D">
        <w:rPr>
          <w:rFonts w:asciiTheme="minorHAnsi" w:hAnsiTheme="minorHAnsi"/>
          <w:color w:val="auto"/>
          <w:sz w:val="20"/>
          <w:szCs w:val="20"/>
        </w:rPr>
        <w:t>bstarávacej cene 1 102 186 Eur</w:t>
      </w:r>
      <w:r w:rsidRPr="00CA0A6D">
        <w:rPr>
          <w:rFonts w:asciiTheme="minorHAnsi" w:hAnsiTheme="minorHAnsi"/>
          <w:color w:val="auto"/>
          <w:sz w:val="20"/>
          <w:szCs w:val="20"/>
        </w:rPr>
        <w:t>.</w:t>
      </w:r>
      <w:r w:rsidR="00F554AE" w:rsidRPr="00CA0A6D">
        <w:rPr>
          <w:rFonts w:asciiTheme="minorHAnsi" w:hAnsiTheme="minorHAnsi"/>
          <w:color w:val="auto"/>
          <w:sz w:val="20"/>
          <w:szCs w:val="20"/>
        </w:rPr>
        <w:t xml:space="preserve"> Vozidlá sú prenajaté na obdobie </w:t>
      </w:r>
      <w:r w:rsidR="009D4D65" w:rsidRPr="00CA0A6D">
        <w:rPr>
          <w:rFonts w:asciiTheme="minorHAnsi" w:hAnsiTheme="minorHAnsi"/>
          <w:color w:val="auto"/>
          <w:sz w:val="20"/>
          <w:szCs w:val="20"/>
        </w:rPr>
        <w:t>36 až 48</w:t>
      </w:r>
      <w:r w:rsidR="00F554AE" w:rsidRPr="00CA0A6D">
        <w:rPr>
          <w:rFonts w:asciiTheme="minorHAnsi" w:hAnsiTheme="minorHAnsi"/>
          <w:color w:val="auto"/>
          <w:sz w:val="20"/>
          <w:szCs w:val="20"/>
        </w:rPr>
        <w:t xml:space="preserve"> mesiacov</w:t>
      </w:r>
      <w:r w:rsidR="005D60AD" w:rsidRPr="00CA0A6D">
        <w:rPr>
          <w:rFonts w:asciiTheme="minorHAnsi" w:hAnsiTheme="minorHAnsi"/>
          <w:color w:val="auto"/>
          <w:sz w:val="20"/>
          <w:szCs w:val="20"/>
        </w:rPr>
        <w:t>.</w:t>
      </w:r>
      <w:r w:rsidR="00F554AE" w:rsidRPr="00CA0A6D">
        <w:rPr>
          <w:rFonts w:asciiTheme="minorHAnsi" w:hAnsiTheme="minorHAnsi"/>
          <w:color w:val="auto"/>
          <w:sz w:val="20"/>
          <w:szCs w:val="20"/>
        </w:rPr>
        <w:t xml:space="preserve"> Ročné náklady na nájomné </w:t>
      </w:r>
      <w:r w:rsidR="009D4D65" w:rsidRPr="00CA0A6D">
        <w:rPr>
          <w:rFonts w:asciiTheme="minorHAnsi" w:hAnsiTheme="minorHAnsi"/>
          <w:color w:val="auto"/>
          <w:sz w:val="20"/>
          <w:szCs w:val="20"/>
        </w:rPr>
        <w:t>boli v roku 2016 v celkovej sume</w:t>
      </w:r>
      <w:r w:rsidR="00A869AC" w:rsidRPr="00CA0A6D">
        <w:rPr>
          <w:rFonts w:asciiTheme="minorHAnsi" w:hAnsiTheme="minorHAnsi"/>
          <w:color w:val="auto"/>
          <w:sz w:val="20"/>
          <w:szCs w:val="20"/>
        </w:rPr>
        <w:t xml:space="preserve"> 165 </w:t>
      </w:r>
      <w:r w:rsidR="009A5CDA" w:rsidRPr="00CA0A6D">
        <w:rPr>
          <w:rFonts w:asciiTheme="minorHAnsi" w:hAnsiTheme="minorHAnsi"/>
          <w:color w:val="auto"/>
          <w:sz w:val="20"/>
          <w:szCs w:val="20"/>
        </w:rPr>
        <w:t>068</w:t>
      </w:r>
      <w:r w:rsidR="00A869AC" w:rsidRPr="00CA0A6D">
        <w:rPr>
          <w:rFonts w:asciiTheme="minorHAnsi" w:hAnsiTheme="minorHAnsi"/>
          <w:color w:val="auto"/>
          <w:sz w:val="20"/>
          <w:szCs w:val="20"/>
        </w:rPr>
        <w:t xml:space="preserve"> Eur</w:t>
      </w:r>
      <w:r w:rsidR="009D4D65" w:rsidRPr="00CA0A6D">
        <w:rPr>
          <w:rFonts w:asciiTheme="minorHAnsi" w:hAnsiTheme="minorHAnsi"/>
          <w:color w:val="auto"/>
          <w:sz w:val="20"/>
          <w:szCs w:val="20"/>
        </w:rPr>
        <w:t xml:space="preserve"> (v roku 2017 budú v hodnote </w:t>
      </w:r>
      <w:r w:rsidR="0009341B" w:rsidRPr="00CA0A6D">
        <w:rPr>
          <w:rFonts w:asciiTheme="minorHAnsi" w:hAnsiTheme="minorHAnsi"/>
          <w:color w:val="auto"/>
          <w:sz w:val="20"/>
          <w:szCs w:val="20"/>
        </w:rPr>
        <w:t>179 835 Eur</w:t>
      </w:r>
      <w:r w:rsidR="009D4D65" w:rsidRPr="00CA0A6D">
        <w:rPr>
          <w:rFonts w:asciiTheme="minorHAnsi" w:hAnsiTheme="minorHAnsi"/>
          <w:color w:val="auto"/>
          <w:sz w:val="20"/>
          <w:szCs w:val="20"/>
        </w:rPr>
        <w:t>)</w:t>
      </w:r>
      <w:r w:rsidR="00F554AE" w:rsidRPr="00CA0A6D">
        <w:rPr>
          <w:rFonts w:asciiTheme="minorHAnsi" w:hAnsiTheme="minorHAnsi"/>
          <w:color w:val="auto"/>
          <w:sz w:val="20"/>
          <w:szCs w:val="20"/>
        </w:rPr>
        <w:t>.</w:t>
      </w:r>
    </w:p>
    <w:p w:rsidR="00AA159B" w:rsidRPr="00CA0A6D" w:rsidRDefault="00AA159B" w:rsidP="005D7FF1">
      <w:pPr>
        <w:pStyle w:val="Default"/>
        <w:jc w:val="both"/>
        <w:rPr>
          <w:rFonts w:asciiTheme="minorHAnsi" w:hAnsiTheme="minorHAnsi"/>
          <w:color w:val="auto"/>
          <w:sz w:val="20"/>
          <w:szCs w:val="20"/>
        </w:rPr>
      </w:pPr>
    </w:p>
    <w:p w:rsidR="0032590A" w:rsidRDefault="0032590A" w:rsidP="0032590A">
      <w:pPr>
        <w:pStyle w:val="Vchodzie"/>
        <w:jc w:val="both"/>
      </w:pPr>
      <w:bookmarkStart w:id="1" w:name="_GoBack"/>
      <w:bookmarkEnd w:id="1"/>
      <w:r>
        <w:rPr>
          <w:rFonts w:ascii="Calibri" w:hAnsi="Calibri"/>
          <w:color w:val="00000A"/>
          <w:sz w:val="20"/>
          <w:szCs w:val="20"/>
        </w:rPr>
        <w:t>Okrem vyššie uvedených Spoločnosť nemá vedomosť o inom podmienenom majetku alebo podmienených záväzkoch, ktoré sa nevykazujú v súvahe.</w:t>
      </w:r>
    </w:p>
    <w:p w:rsidR="0032590A" w:rsidRPr="00212BA4" w:rsidRDefault="0032590A" w:rsidP="00441AF2">
      <w:pPr>
        <w:pStyle w:val="Default"/>
        <w:rPr>
          <w:rFonts w:asciiTheme="minorHAnsi" w:hAnsiTheme="minorHAnsi"/>
          <w:color w:val="00B0F0"/>
          <w:sz w:val="22"/>
          <w:szCs w:val="22"/>
        </w:rPr>
      </w:pPr>
    </w:p>
    <w:p w:rsidR="00441AF2" w:rsidRPr="0046350E" w:rsidRDefault="00441AF2" w:rsidP="00441AF2">
      <w:pPr>
        <w:pStyle w:val="Default"/>
        <w:jc w:val="center"/>
        <w:rPr>
          <w:rFonts w:asciiTheme="minorHAnsi" w:hAnsiTheme="minorHAnsi"/>
          <w:b/>
          <w:color w:val="auto"/>
          <w:sz w:val="22"/>
          <w:szCs w:val="22"/>
        </w:rPr>
      </w:pPr>
      <w:r w:rsidRPr="0046350E">
        <w:rPr>
          <w:rFonts w:asciiTheme="minorHAnsi" w:hAnsiTheme="minorHAnsi"/>
          <w:b/>
          <w:bCs/>
          <w:color w:val="auto"/>
          <w:sz w:val="22"/>
          <w:szCs w:val="22"/>
        </w:rPr>
        <w:lastRenderedPageBreak/>
        <w:t>Čl. VI</w:t>
      </w:r>
    </w:p>
    <w:p w:rsidR="00441AF2" w:rsidRPr="0046350E" w:rsidRDefault="00441AF2" w:rsidP="00441AF2">
      <w:pPr>
        <w:pStyle w:val="Default"/>
        <w:jc w:val="center"/>
        <w:rPr>
          <w:rFonts w:asciiTheme="minorHAnsi" w:hAnsiTheme="minorHAnsi"/>
          <w:b/>
          <w:bCs/>
          <w:color w:val="auto"/>
          <w:sz w:val="22"/>
          <w:szCs w:val="22"/>
        </w:rPr>
      </w:pPr>
      <w:r w:rsidRPr="0046350E">
        <w:rPr>
          <w:rFonts w:asciiTheme="minorHAnsi" w:hAnsiTheme="minorHAnsi"/>
          <w:b/>
          <w:bCs/>
          <w:color w:val="auto"/>
          <w:sz w:val="22"/>
          <w:szCs w:val="22"/>
        </w:rPr>
        <w:t>Udalosti, ktoré nastali po dni, ku ktorému sa zostavuje účtovná závierka</w:t>
      </w:r>
    </w:p>
    <w:p w:rsidR="00441AF2" w:rsidRPr="00212BA4" w:rsidRDefault="00441AF2" w:rsidP="00441AF2">
      <w:pPr>
        <w:pStyle w:val="Default"/>
        <w:jc w:val="center"/>
        <w:rPr>
          <w:rFonts w:asciiTheme="minorHAnsi" w:hAnsiTheme="minorHAnsi"/>
          <w:color w:val="00B0F0"/>
          <w:sz w:val="22"/>
          <w:szCs w:val="22"/>
        </w:rPr>
      </w:pPr>
    </w:p>
    <w:p w:rsidR="00B96762" w:rsidRPr="003A0D7C" w:rsidRDefault="00334CBF" w:rsidP="00B96762">
      <w:pPr>
        <w:pStyle w:val="Default"/>
        <w:jc w:val="both"/>
        <w:rPr>
          <w:rFonts w:asciiTheme="minorHAnsi" w:hAnsiTheme="minorHAnsi"/>
          <w:bCs/>
          <w:color w:val="auto"/>
          <w:sz w:val="20"/>
          <w:szCs w:val="20"/>
        </w:rPr>
      </w:pPr>
      <w:r>
        <w:rPr>
          <w:rFonts w:asciiTheme="minorHAnsi" w:hAnsiTheme="minorHAnsi"/>
          <w:bCs/>
          <w:color w:val="auto"/>
          <w:sz w:val="20"/>
          <w:szCs w:val="20"/>
        </w:rPr>
        <w:t>Po 31. júli 2017</w:t>
      </w:r>
      <w:r w:rsidR="00B96762" w:rsidRPr="003A0D7C">
        <w:rPr>
          <w:rFonts w:asciiTheme="minorHAnsi" w:hAnsiTheme="minorHAnsi"/>
          <w:bCs/>
          <w:color w:val="auto"/>
          <w:sz w:val="20"/>
          <w:szCs w:val="20"/>
        </w:rPr>
        <w:t xml:space="preserve"> do dňa zostavenia účtovnej závierky Spoločnosti nenastali také udalosti, ktoré by si vyžadovali zverejnenie alebo vykázanie</w:t>
      </w:r>
      <w:r w:rsidR="00404535">
        <w:rPr>
          <w:rFonts w:asciiTheme="minorHAnsi" w:hAnsiTheme="minorHAnsi"/>
          <w:bCs/>
          <w:color w:val="auto"/>
          <w:sz w:val="20"/>
          <w:szCs w:val="20"/>
        </w:rPr>
        <w:t xml:space="preserve"> v</w:t>
      </w:r>
      <w:r>
        <w:rPr>
          <w:rFonts w:asciiTheme="minorHAnsi" w:hAnsiTheme="minorHAnsi"/>
          <w:bCs/>
          <w:color w:val="auto"/>
          <w:sz w:val="20"/>
          <w:szCs w:val="20"/>
        </w:rPr>
        <w:t> mimoriadnej účtovnej závierke k 31.júlu 2017</w:t>
      </w:r>
      <w:r w:rsidR="00B96762" w:rsidRPr="003A0D7C">
        <w:rPr>
          <w:rFonts w:asciiTheme="minorHAnsi" w:hAnsiTheme="minorHAnsi"/>
          <w:bCs/>
          <w:color w:val="auto"/>
          <w:sz w:val="20"/>
          <w:szCs w:val="20"/>
        </w:rPr>
        <w:t>.</w:t>
      </w:r>
    </w:p>
    <w:p w:rsidR="006431D6" w:rsidRPr="00212BA4" w:rsidRDefault="006431D6" w:rsidP="00F1619E">
      <w:pPr>
        <w:jc w:val="both"/>
        <w:rPr>
          <w:color w:val="00B0F0"/>
        </w:rPr>
      </w:pPr>
    </w:p>
    <w:sectPr w:rsidR="006431D6" w:rsidRPr="00212BA4" w:rsidSect="00212BA4">
      <w:headerReference w:type="default" r:id="rId7"/>
      <w:pgSz w:w="11906" w:h="17338"/>
      <w:pgMar w:top="1834" w:right="1156" w:bottom="879" w:left="133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4D8C" w:rsidRDefault="00EC4D8C" w:rsidP="00441AF2">
      <w:r>
        <w:separator/>
      </w:r>
    </w:p>
  </w:endnote>
  <w:endnote w:type="continuationSeparator" w:id="1">
    <w:p w:rsidR="00EC4D8C" w:rsidRDefault="00EC4D8C" w:rsidP="00441A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Narrow">
    <w:panose1 w:val="00000000000000000000"/>
    <w:charset w:val="EE"/>
    <w:family w:val="auto"/>
    <w:notTrueType/>
    <w:pitch w:val="default"/>
    <w:sig w:usb0="00000005" w:usb1="00000000" w:usb2="00000000" w:usb3="00000000" w:csb0="00000002"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4D8C" w:rsidRDefault="00EC4D8C" w:rsidP="00441AF2">
      <w:r>
        <w:separator/>
      </w:r>
    </w:p>
  </w:footnote>
  <w:footnote w:type="continuationSeparator" w:id="1">
    <w:p w:rsidR="00EC4D8C" w:rsidRDefault="00EC4D8C" w:rsidP="00441A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0" w:type="dxa"/>
      <w:tblInd w:w="51" w:type="dxa"/>
      <w:tblCellMar>
        <w:left w:w="70" w:type="dxa"/>
        <w:right w:w="70" w:type="dxa"/>
      </w:tblCellMar>
      <w:tblLook w:val="04A0"/>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72"/>
      <w:gridCol w:w="302"/>
      <w:gridCol w:w="302"/>
      <w:gridCol w:w="302"/>
      <w:gridCol w:w="302"/>
      <w:gridCol w:w="302"/>
      <w:gridCol w:w="302"/>
      <w:gridCol w:w="302"/>
      <w:gridCol w:w="302"/>
      <w:gridCol w:w="302"/>
    </w:tblGrid>
    <w:tr w:rsidR="00056964" w:rsidRPr="009F61B1" w:rsidTr="00C02E24">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6964" w:rsidRPr="009F61B1" w:rsidRDefault="00056964" w:rsidP="009F61B1">
          <w:pPr>
            <w:rPr>
              <w:rFonts w:ascii="Calibri" w:hAnsi="Calibri"/>
              <w:color w:val="000000"/>
              <w:sz w:val="20"/>
              <w:szCs w:val="20"/>
              <w:lang w:eastAsia="sk-SK"/>
            </w:rPr>
          </w:pPr>
          <w:r w:rsidRPr="009F61B1">
            <w:rPr>
              <w:rFonts w:ascii="Calibri" w:hAnsi="Calibri"/>
              <w:color w:val="000000"/>
              <w:sz w:val="20"/>
              <w:szCs w:val="20"/>
              <w:lang w:eastAsia="sk-SK"/>
            </w:rPr>
            <w:t>Poznámky Úč POD 3 - 01</w:t>
          </w: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jc w:val="center"/>
            <w:rPr>
              <w:rFonts w:ascii="Calibri" w:hAnsi="Calibri"/>
              <w:color w:val="000000"/>
              <w:sz w:val="18"/>
              <w:szCs w:val="18"/>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574" w:type="dxa"/>
          <w:gridSpan w:val="2"/>
          <w:tcBorders>
            <w:top w:val="nil"/>
            <w:left w:val="nil"/>
            <w:bottom w:val="nil"/>
            <w:right w:val="nil"/>
          </w:tcBorders>
          <w:shd w:val="clear" w:color="auto" w:fill="auto"/>
          <w:noWrap/>
          <w:vAlign w:val="bottom"/>
          <w:hideMark/>
        </w:tcPr>
        <w:p w:rsidR="00056964" w:rsidRPr="009F61B1" w:rsidRDefault="00056964"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6964" w:rsidRPr="009F61B1" w:rsidRDefault="00056964" w:rsidP="009F61B1">
          <w:pPr>
            <w:rPr>
              <w:rFonts w:ascii="Calibri" w:hAnsi="Calibri"/>
              <w:color w:val="000000"/>
              <w:lang w:eastAsia="sk-SK"/>
            </w:rPr>
          </w:pPr>
          <w:r w:rsidRPr="009F61B1">
            <w:rPr>
              <w:rFonts w:ascii="Calibri" w:hAnsi="Calibri"/>
              <w:color w:val="000000"/>
              <w:szCs w:val="22"/>
              <w:lang w:eastAsia="sk-SK"/>
            </w:rPr>
            <w:t> </w:t>
          </w:r>
          <w:r w:rsidR="00C02E24">
            <w:rPr>
              <w:rFonts w:ascii="Calibri" w:hAnsi="Calibri"/>
              <w:color w:val="000000"/>
              <w:szCs w:val="22"/>
              <w:lang w:eastAsia="sk-SK"/>
            </w:rPr>
            <w:t>3</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6</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7</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0</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9</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3</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7</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9</w:t>
          </w:r>
          <w:r w:rsidR="00056964" w:rsidRPr="009F61B1">
            <w:rPr>
              <w:rFonts w:ascii="Calibri" w:hAnsi="Calibri"/>
              <w:color w:val="000000"/>
              <w:szCs w:val="22"/>
              <w:lang w:eastAsia="sk-SK"/>
            </w:rPr>
            <w:t> </w:t>
          </w:r>
        </w:p>
      </w:tc>
    </w:tr>
    <w:tr w:rsidR="00056964" w:rsidRPr="009F61B1" w:rsidTr="00C02E24">
      <w:trPr>
        <w:trHeight w:val="60"/>
      </w:trPr>
      <w:tc>
        <w:tcPr>
          <w:tcW w:w="3640" w:type="dxa"/>
          <w:gridSpan w:val="13"/>
          <w:tcBorders>
            <w:top w:val="nil"/>
            <w:left w:val="nil"/>
            <w:bottom w:val="nil"/>
            <w:right w:val="nil"/>
          </w:tcBorders>
          <w:shd w:val="clear" w:color="auto" w:fill="auto"/>
          <w:noWrap/>
          <w:vAlign w:val="bottom"/>
          <w:hideMark/>
        </w:tcPr>
        <w:p w:rsidR="00056964" w:rsidRPr="009F61B1" w:rsidRDefault="00056964" w:rsidP="009F61B1">
          <w:pPr>
            <w:rPr>
              <w:b/>
              <w:bCs/>
              <w:color w:val="990099"/>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7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302"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r>
    <w:tr w:rsidR="00056964" w:rsidRPr="009F61B1" w:rsidTr="00C02E24">
      <w:trPr>
        <w:trHeight w:val="300"/>
      </w:trPr>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056964" w:rsidRPr="009F61B1" w:rsidRDefault="00056964"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056964" w:rsidRPr="009F61B1" w:rsidRDefault="00056964" w:rsidP="009F61B1">
          <w:pPr>
            <w:jc w:val="center"/>
            <w:rPr>
              <w:rFonts w:ascii="Calibri" w:hAnsi="Calibri"/>
              <w:color w:val="000000"/>
              <w:lang w:eastAsia="sk-SK"/>
            </w:rPr>
          </w:pPr>
          <w:r w:rsidRPr="009F61B1">
            <w:rPr>
              <w:rFonts w:ascii="Calibri" w:hAnsi="Calibri"/>
              <w:color w:val="000000"/>
              <w:szCs w:val="22"/>
              <w:lang w:eastAsia="sk-SK"/>
            </w:rPr>
            <w:t>DIČ</w:t>
          </w:r>
        </w:p>
      </w:tc>
      <w:tc>
        <w:tcPr>
          <w:tcW w:w="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6964" w:rsidRPr="009F61B1" w:rsidRDefault="00056964"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w:t>
          </w:r>
          <w:r w:rsidR="00C02E24">
            <w:rPr>
              <w:rFonts w:ascii="Calibri" w:hAnsi="Calibri"/>
              <w:color w:val="000000"/>
              <w:sz w:val="18"/>
              <w:szCs w:val="18"/>
              <w:lang w:eastAsia="sk-SK"/>
            </w:rPr>
            <w:t>2</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0</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2</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2</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2</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9</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5</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4</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5</w:t>
          </w:r>
          <w:r w:rsidR="00056964" w:rsidRPr="009F61B1">
            <w:rPr>
              <w:rFonts w:ascii="Calibri" w:hAnsi="Calibri"/>
              <w:color w:val="000000"/>
              <w:szCs w:val="22"/>
              <w:lang w:eastAsia="sk-SK"/>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056964" w:rsidRPr="009F61B1" w:rsidRDefault="00C02E24" w:rsidP="009F61B1">
          <w:pPr>
            <w:rPr>
              <w:rFonts w:ascii="Calibri" w:hAnsi="Calibri"/>
              <w:color w:val="000000"/>
              <w:lang w:eastAsia="sk-SK"/>
            </w:rPr>
          </w:pPr>
          <w:r>
            <w:rPr>
              <w:rFonts w:ascii="Calibri" w:hAnsi="Calibri"/>
              <w:color w:val="000000"/>
              <w:szCs w:val="22"/>
              <w:lang w:eastAsia="sk-SK"/>
            </w:rPr>
            <w:t>1</w:t>
          </w:r>
          <w:r w:rsidR="00056964" w:rsidRPr="009F61B1">
            <w:rPr>
              <w:rFonts w:ascii="Calibri" w:hAnsi="Calibri"/>
              <w:color w:val="000000"/>
              <w:szCs w:val="22"/>
              <w:lang w:eastAsia="sk-SK"/>
            </w:rPr>
            <w:t> </w:t>
          </w:r>
        </w:p>
      </w:tc>
    </w:tr>
  </w:tbl>
  <w:p w:rsidR="00056964" w:rsidRPr="009F61B1" w:rsidRDefault="00056964" w:rsidP="009F61B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endnote w:id="0"/>
    <w:endnote w:id="1"/>
  </w:endnotePr>
  <w:compat/>
  <w:rsids>
    <w:rsidRoot w:val="00441AF2"/>
    <w:rsid w:val="00015901"/>
    <w:rsid w:val="00056964"/>
    <w:rsid w:val="000921A4"/>
    <w:rsid w:val="0009341B"/>
    <w:rsid w:val="000E3D14"/>
    <w:rsid w:val="0010104F"/>
    <w:rsid w:val="00142D06"/>
    <w:rsid w:val="001763C5"/>
    <w:rsid w:val="00187C83"/>
    <w:rsid w:val="001C6ACE"/>
    <w:rsid w:val="001E2192"/>
    <w:rsid w:val="001F1539"/>
    <w:rsid w:val="001F2E0F"/>
    <w:rsid w:val="001F5E94"/>
    <w:rsid w:val="00212BA4"/>
    <w:rsid w:val="00215B38"/>
    <w:rsid w:val="002426E1"/>
    <w:rsid w:val="002B68F8"/>
    <w:rsid w:val="00301869"/>
    <w:rsid w:val="0032590A"/>
    <w:rsid w:val="00334CBF"/>
    <w:rsid w:val="003C5BEE"/>
    <w:rsid w:val="00404535"/>
    <w:rsid w:val="00441AF2"/>
    <w:rsid w:val="0046350E"/>
    <w:rsid w:val="004F0A0E"/>
    <w:rsid w:val="005069C7"/>
    <w:rsid w:val="00553664"/>
    <w:rsid w:val="00583F40"/>
    <w:rsid w:val="005C3458"/>
    <w:rsid w:val="005C4258"/>
    <w:rsid w:val="005D5525"/>
    <w:rsid w:val="005D60AD"/>
    <w:rsid w:val="005D7FF1"/>
    <w:rsid w:val="0061046B"/>
    <w:rsid w:val="00612041"/>
    <w:rsid w:val="00620BB9"/>
    <w:rsid w:val="006347F4"/>
    <w:rsid w:val="006431D6"/>
    <w:rsid w:val="00654D7C"/>
    <w:rsid w:val="00671EBD"/>
    <w:rsid w:val="006B0E20"/>
    <w:rsid w:val="006B195D"/>
    <w:rsid w:val="006C4B0C"/>
    <w:rsid w:val="006E59C6"/>
    <w:rsid w:val="006F7829"/>
    <w:rsid w:val="00746B1E"/>
    <w:rsid w:val="007C1F18"/>
    <w:rsid w:val="00822D02"/>
    <w:rsid w:val="00857986"/>
    <w:rsid w:val="0089277C"/>
    <w:rsid w:val="008A0AFE"/>
    <w:rsid w:val="008E7EEE"/>
    <w:rsid w:val="009617B6"/>
    <w:rsid w:val="009618B7"/>
    <w:rsid w:val="0099675D"/>
    <w:rsid w:val="009A5CDA"/>
    <w:rsid w:val="009A6DD7"/>
    <w:rsid w:val="009C67E2"/>
    <w:rsid w:val="009D4D65"/>
    <w:rsid w:val="009F61B1"/>
    <w:rsid w:val="009F7235"/>
    <w:rsid w:val="009F76E4"/>
    <w:rsid w:val="00A03253"/>
    <w:rsid w:val="00A374EC"/>
    <w:rsid w:val="00A869AC"/>
    <w:rsid w:val="00AA159B"/>
    <w:rsid w:val="00AB1F17"/>
    <w:rsid w:val="00AB216E"/>
    <w:rsid w:val="00AD0868"/>
    <w:rsid w:val="00AF1F72"/>
    <w:rsid w:val="00AF47E5"/>
    <w:rsid w:val="00B10E04"/>
    <w:rsid w:val="00B774FB"/>
    <w:rsid w:val="00B877DE"/>
    <w:rsid w:val="00B96762"/>
    <w:rsid w:val="00BA7E68"/>
    <w:rsid w:val="00BE78B3"/>
    <w:rsid w:val="00C02E24"/>
    <w:rsid w:val="00C663A5"/>
    <w:rsid w:val="00C83866"/>
    <w:rsid w:val="00C839EE"/>
    <w:rsid w:val="00CA0A6D"/>
    <w:rsid w:val="00CA7953"/>
    <w:rsid w:val="00D11923"/>
    <w:rsid w:val="00D26823"/>
    <w:rsid w:val="00D64852"/>
    <w:rsid w:val="00D974CF"/>
    <w:rsid w:val="00D97DF3"/>
    <w:rsid w:val="00DA7AC8"/>
    <w:rsid w:val="00DB33E0"/>
    <w:rsid w:val="00DD787A"/>
    <w:rsid w:val="00E807AA"/>
    <w:rsid w:val="00EA0F64"/>
    <w:rsid w:val="00EC17AA"/>
    <w:rsid w:val="00EC2661"/>
    <w:rsid w:val="00EC4941"/>
    <w:rsid w:val="00EC4D8C"/>
    <w:rsid w:val="00F1619E"/>
    <w:rsid w:val="00F245F8"/>
    <w:rsid w:val="00F27502"/>
    <w:rsid w:val="00F518C5"/>
    <w:rsid w:val="00F554AE"/>
    <w:rsid w:val="00F71654"/>
    <w:rsid w:val="00F7180D"/>
    <w:rsid w:val="00F73D6F"/>
    <w:rsid w:val="00FB3E6D"/>
    <w:rsid w:val="00FE48E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semiHidden/>
    <w:unhideWhenUsed/>
    <w:rsid w:val="00441AF2"/>
    <w:pPr>
      <w:tabs>
        <w:tab w:val="center" w:pos="4536"/>
        <w:tab w:val="right" w:pos="9072"/>
      </w:tabs>
    </w:pPr>
  </w:style>
  <w:style w:type="character" w:customStyle="1" w:styleId="HlavikaChar">
    <w:name w:val="Hlavička Char"/>
    <w:basedOn w:val="Predvolenpsmoodseku"/>
    <w:link w:val="Hlavika"/>
    <w:uiPriority w:val="99"/>
    <w:semiHidden/>
    <w:rsid w:val="00441AF2"/>
  </w:style>
  <w:style w:type="paragraph" w:styleId="Pta">
    <w:name w:val="footer"/>
    <w:basedOn w:val="Normlny"/>
    <w:link w:val="PtaChar"/>
    <w:uiPriority w:val="99"/>
    <w:semiHidden/>
    <w:unhideWhenUsed/>
    <w:rsid w:val="00441AF2"/>
    <w:pPr>
      <w:tabs>
        <w:tab w:val="center" w:pos="4536"/>
        <w:tab w:val="right" w:pos="9072"/>
      </w:tabs>
    </w:pPr>
  </w:style>
  <w:style w:type="character" w:customStyle="1" w:styleId="PtaChar">
    <w:name w:val="Päta Char"/>
    <w:basedOn w:val="Predvolenpsmoodseku"/>
    <w:link w:val="Pta"/>
    <w:uiPriority w:val="99"/>
    <w:semiHidden/>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 w:type="paragraph" w:customStyle="1" w:styleId="Vchodzie">
    <w:name w:val="Východzie"/>
    <w:rsid w:val="00DA7AC8"/>
    <w:pPr>
      <w:suppressAutoHyphens/>
      <w:spacing w:after="0" w:line="100" w:lineRule="atLeast"/>
    </w:pPr>
    <w:rPr>
      <w:rFonts w:ascii="Arial" w:eastAsia="Arial Unicode MS" w:hAnsi="Arial" w:cs="Arial"/>
      <w:color w:val="000000"/>
      <w:sz w:val="24"/>
      <w:szCs w:val="24"/>
    </w:rPr>
  </w:style>
  <w:style w:type="paragraph" w:customStyle="1" w:styleId="Telotextu">
    <w:name w:val="Telo textu"/>
    <w:basedOn w:val="Vchodzie"/>
    <w:rsid w:val="00DA7AC8"/>
    <w:pPr>
      <w:spacing w:after="120"/>
      <w:jc w:val="both"/>
    </w:pPr>
    <w:rPr>
      <w:rFonts w:ascii="Times New Roman" w:hAnsi="Times New Roman"/>
      <w:b/>
      <w:bCs/>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2480</Words>
  <Characters>14142</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16589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user</cp:lastModifiedBy>
  <cp:revision>2</cp:revision>
  <dcterms:created xsi:type="dcterms:W3CDTF">2017-12-28T20:56:00Z</dcterms:created>
  <dcterms:modified xsi:type="dcterms:W3CDTF">2017-12-28T20:56:00Z</dcterms:modified>
</cp:coreProperties>
</file>