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media/image21.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tbl>
      <w:tblPr>
        <w:jc w:val="center"/>
        <w:tblBorders/>
      </w:tblPr>
      <w:tblGrid>
        <w:gridCol w:w="9288"/>
      </w:tblGrid>
      <w:tr>
        <w:trPr>
          <w:trHeight w:hRule="atLeast" w:val="2880"/>
          <w:cantSplit w:val="false"/>
        </w:trPr>
        <w:tc>
          <w:tcPr>
            <w:tcW w:type="dxa" w:w="9288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37"/>
            </w:pPr>
            <w:r>
              <w:rPr>
                <w:rFonts w:ascii="Comic Sans MS" w:hAnsi="Comic Sans MS"/>
                <w:b/>
              </w:rPr>
              <w:t>Orémusz spol. s r.o.,Nám.Hrdinov 27, 940 01 Nové Zámky</w:t>
            </w:r>
            <w:r>
              <w:rPr>
                <w:rFonts w:ascii="Cambria" w:hAnsi="Cambria"/>
                <w:caps/>
                <w:lang w:eastAsia="sk-SK"/>
              </w:rPr>
              <w:t xml:space="preserve"> </w:t>
              <w:drawing>
                <wp:anchor allowOverlap="1" behindDoc="0" distB="0" distL="0" distR="0" distT="0" layoutInCell="1" locked="0" relativeHeight="0" simplePos="0">
                  <wp:simplePos x="0" y="0"/>
                  <wp:positionH relativeFrom="character">
                    <wp:posOffset>-441960</wp:posOffset>
                  </wp:positionH>
                  <wp:positionV relativeFrom="line">
                    <wp:posOffset>-410210</wp:posOffset>
                  </wp:positionV>
                  <wp:extent cx="1571625" cy="819150"/>
                  <wp:effectExtent b="0" l="0" r="0" t="0"/>
                  <wp:wrapSquare wrapText="largest"/>
                  <wp:docPr descr="A description..." id="1" name="Pictu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descr="A description..." id="0" name="Picture"/>
                          <pic:cNvPicPr>
                            <a:picLocks noChangeArrowheads="1" noChangeAspect="1"/>
                          </pic:cNvPicPr>
                        </pic:nvPicPr>
                        <pic:blipFill>
                          <a:blip r:embed="rI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1625" cy="819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rPr>
          <w:trHeight w:hRule="atLeast" w:val="1440"/>
          <w:cantSplit w:val="false"/>
        </w:trPr>
        <w:tc>
          <w:tcPr>
            <w:tcW w:type="dxa" w:w="9288"/>
            <w:tcBorders>
              <w:bottom w:color="4F81BD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37"/>
              <w:jc w:val="center"/>
            </w:pPr>
            <w:r>
              <w:rPr>
                <w:rFonts w:ascii="Cambria" w:hAnsi="Cambria"/>
                <w:sz w:val="80"/>
                <w:szCs w:val="80"/>
              </w:rPr>
              <w:t>Výročná správa 2016</w:t>
            </w:r>
          </w:p>
        </w:tc>
      </w:tr>
      <w:tr>
        <w:trPr>
          <w:trHeight w:hRule="atLeast" w:val="720"/>
          <w:cantSplit w:val="false"/>
        </w:trPr>
        <w:tc>
          <w:tcPr>
            <w:tcW w:type="dxa" w:w="9288"/>
            <w:tcBorders>
              <w:top w:color="4F81BD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37"/>
              <w:jc w:val="center"/>
            </w:pPr>
            <w:r>
              <w:rPr>
                <w:rFonts w:ascii="Cambria" w:hAnsi="Cambria"/>
                <w:sz w:val="44"/>
                <w:szCs w:val="44"/>
              </w:rPr>
              <w:t>Orémusz spol. s r. o.</w:t>
            </w:r>
          </w:p>
        </w:tc>
      </w:tr>
      <w:tr>
        <w:trPr>
          <w:trHeight w:hRule="atLeast" w:val="360"/>
          <w:cantSplit w:val="false"/>
        </w:trPr>
        <w:tc>
          <w:tcPr>
            <w:tcW w:type="dxa" w:w="9288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37"/>
              <w:jc w:val="center"/>
            </w:pPr>
            <w:r>
              <w:rPr/>
            </w:r>
          </w:p>
        </w:tc>
      </w:tr>
      <w:tr>
        <w:trPr>
          <w:trHeight w:hRule="atLeast" w:val="360"/>
          <w:cantSplit w:val="false"/>
        </w:trPr>
        <w:tc>
          <w:tcPr>
            <w:tcW w:type="dxa" w:w="9288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37"/>
              <w:jc w:val="center"/>
            </w:pPr>
            <w:r>
              <w:rPr>
                <w:b/>
                <w:bCs/>
              </w:rPr>
            </w:r>
          </w:p>
        </w:tc>
      </w:tr>
      <w:tr>
        <w:trPr>
          <w:trHeight w:hRule="atLeast" w:val="360"/>
          <w:cantSplit w:val="false"/>
        </w:trPr>
        <w:tc>
          <w:tcPr>
            <w:tcW w:type="dxa" w:w="9288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  <w:vAlign w:val="center"/>
          </w:tcPr>
          <w:p>
            <w:pPr>
              <w:pStyle w:val="style37"/>
              <w:jc w:val="center"/>
            </w:pPr>
            <w:r>
              <w:rPr>
                <w:b/>
                <w:bCs/>
              </w:rPr>
              <w:t xml:space="preserve"> </w:t>
            </w:r>
          </w:p>
        </w:tc>
      </w:tr>
    </w:tbl>
    <w:p>
      <w:pPr>
        <w:sectPr>
          <w:type w:val="nextPage"/>
          <w:pgSz w:h="16838" w:w="11906"/>
          <w:pgMar w:bottom="708" w:footer="0" w:gutter="0" w:header="0" w:left="1417" w:right="1417" w:top="1417"/>
          <w:pgNumType w:fmt="decimal"/>
          <w:formProt w:val="false"/>
          <w:titlePg/>
          <w:textDirection w:val="lrTb"/>
          <w:docGrid w:charSpace="4096" w:linePitch="360" w:type="default"/>
        </w:sectPr>
        <w:pStyle w:val="style0"/>
      </w:pPr>
      <w:r>
        <w:rPr/>
      </w:r>
    </w:p>
    <w:p>
      <w:pPr>
        <w:pStyle w:val="style0"/>
      </w:pPr>
      <w:r>
        <w:rPr/>
      </w:r>
    </w:p>
    <w:tbl>
      <w:tblPr>
        <w:jc w:val="left"/>
        <w:tblInd w:type="dxa" w:w="-108"/>
        <w:tblBorders/>
      </w:tblPr>
      <w:tblGrid>
        <w:gridCol w:w="9288"/>
      </w:tblGrid>
      <w:tr>
        <w:trPr>
          <w:cantSplit w:val="false"/>
        </w:trPr>
        <w:tc>
          <w:tcPr>
            <w:tcW w:type="dxa" w:w="9288"/>
            <w:tcBorders/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37"/>
              <w:jc w:val="center"/>
            </w:pPr>
            <w:r>
              <w:rPr/>
              <w:t xml:space="preserve">Výročná správa vyhotovená podľa § 20 zákona č.431/2002 Z.z. o účtovníctve </w:t>
            </w:r>
          </w:p>
          <w:p>
            <w:pPr>
              <w:pStyle w:val="style37"/>
              <w:jc w:val="center"/>
            </w:pPr>
            <w:r>
              <w:rPr/>
              <w:t>v znení neskorších predpisov</w:t>
            </w:r>
          </w:p>
        </w:tc>
      </w:tr>
    </w:tbl>
    <w:p>
      <w:pPr>
        <w:pStyle w:val="style0"/>
      </w:pPr>
      <w:r>
        <w:rPr/>
      </w:r>
    </w:p>
    <w:p>
      <w:pPr>
        <w:pStyle w:val="style0"/>
        <w:jc w:val="both"/>
      </w:pPr>
      <w:r>
        <w:rPr>
          <w:b/>
          <w:sz w:val="40"/>
          <w:szCs w:val="40"/>
        </w:rPr>
      </w:r>
    </w:p>
    <w:p>
      <w:pPr>
        <w:pStyle w:val="style0"/>
        <w:pageBreakBefore/>
        <w:spacing w:after="120" w:before="0"/>
        <w:ind w:hanging="0" w:left="0" w:right="0"/>
        <w:jc w:val="both"/>
      </w:pPr>
      <w:r>
        <w:rPr>
          <w:b/>
          <w:sz w:val="28"/>
          <w:szCs w:val="28"/>
        </w:rPr>
        <w:t>Legislatívny rámec pre výročnú správu</w:t>
      </w:r>
    </w:p>
    <w:p>
      <w:pPr>
        <w:pStyle w:val="style0"/>
        <w:spacing w:after="120" w:before="0"/>
        <w:ind w:hanging="0" w:left="0" w:right="0"/>
        <w:jc w:val="both"/>
      </w:pPr>
      <w:r>
        <w:rPr>
          <w:sz w:val="24"/>
          <w:szCs w:val="24"/>
        </w:rPr>
        <w:t xml:space="preserve">Spoločnosť má povinnosť auditu podľa § 19 zákona č.431/2002 Z.z. o účtovníctve v znení neskorších predpisov a preto má aj povinnosť vyhotoviť výročnú správu podľa § 20 zákona o účtovníctve. 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  <w:t>Táto výročná správa podlieha tiež overeniu audítorom do jedného roka od skončenia účtovného obdobia. Táto výročná správa bude elektronicky uložená do registra účtovných závierok a jeho cestou aj do zbierky listín obchodného registra tak, ako to ustanovuje § 23 ods. 2 a § 23b ods. 4 zákona o účtovníctve.</w:t>
      </w:r>
    </w:p>
    <w:p>
      <w:pPr>
        <w:pStyle w:val="style0"/>
        <w:ind w:hanging="0" w:left="0" w:right="0"/>
        <w:jc w:val="both"/>
      </w:pPr>
      <w:r>
        <w:rPr/>
      </w:r>
    </w:p>
    <w:p>
      <w:pPr>
        <w:pStyle w:val="style0"/>
        <w:spacing w:after="120" w:before="0"/>
        <w:ind w:hanging="0" w:left="0" w:right="0"/>
        <w:jc w:val="both"/>
      </w:pPr>
      <w:r>
        <w:rPr>
          <w:b/>
          <w:sz w:val="28"/>
          <w:szCs w:val="28"/>
        </w:rPr>
        <w:t>Obsah výročnej správy: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  <w:t>1) Identifikačné údaje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  <w:t>2) Povinné informácie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  <w:t>3) Ďalšie informácie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  <w:t>4) Povinné prílohy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  <w:t>5) Ďalšie prílohy</w:t>
      </w:r>
    </w:p>
    <w:p>
      <w:pPr>
        <w:pStyle w:val="style0"/>
        <w:ind w:hanging="0" w:left="0" w:right="0"/>
        <w:jc w:val="both"/>
      </w:pPr>
      <w:r>
        <w:rPr>
          <w:b/>
          <w:sz w:val="28"/>
          <w:szCs w:val="28"/>
        </w:rPr>
      </w:r>
    </w:p>
    <w:p>
      <w:pPr>
        <w:pStyle w:val="style0"/>
        <w:ind w:hanging="0" w:left="0" w:right="0"/>
        <w:jc w:val="both"/>
      </w:pPr>
      <w:r>
        <w:rPr>
          <w:b/>
          <w:sz w:val="28"/>
          <w:szCs w:val="28"/>
        </w:rPr>
        <w:t>1) Identifikačné údaje – základné informácie</w:t>
      </w:r>
    </w:p>
    <w:p>
      <w:pPr>
        <w:pStyle w:val="style0"/>
        <w:ind w:hanging="0" w:left="0" w:right="0"/>
        <w:jc w:val="both"/>
      </w:pPr>
      <w:r>
        <w:rPr>
          <w:b/>
          <w:sz w:val="28"/>
          <w:szCs w:val="28"/>
        </w:rPr>
      </w:r>
    </w:p>
    <w:tbl>
      <w:tblPr>
        <w:jc w:val="left"/>
        <w:tblInd w:type="dxa" w:w="-108"/>
        <w:tblBorders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tblBorders>
      </w:tblPr>
      <w:tblGrid>
        <w:gridCol w:w="3793"/>
        <w:gridCol w:w="5418"/>
      </w:tblGrid>
      <w:tr>
        <w:trPr>
          <w:cantSplit w:val="false"/>
        </w:trPr>
        <w:tc>
          <w:tcPr>
            <w:tcW w:type="dxa" w:w="379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Obchodné meno:</w:t>
            </w:r>
          </w:p>
        </w:tc>
        <w:tc>
          <w:tcPr>
            <w:tcW w:type="dxa" w:w="5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Orémusz spol. s r.o.</w:t>
            </w:r>
          </w:p>
        </w:tc>
      </w:tr>
      <w:tr>
        <w:trPr>
          <w:cantSplit w:val="false"/>
        </w:trPr>
        <w:tc>
          <w:tcPr>
            <w:tcW w:type="dxa" w:w="379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IČO:</w:t>
            </w:r>
          </w:p>
        </w:tc>
        <w:tc>
          <w:tcPr>
            <w:tcW w:type="dxa" w:w="5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36818259</w:t>
            </w:r>
          </w:p>
        </w:tc>
      </w:tr>
      <w:tr>
        <w:trPr>
          <w:cantSplit w:val="false"/>
        </w:trPr>
        <w:tc>
          <w:tcPr>
            <w:tcW w:type="dxa" w:w="379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DIČ:</w:t>
            </w:r>
          </w:p>
        </w:tc>
        <w:tc>
          <w:tcPr>
            <w:tcW w:type="dxa" w:w="5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2022428012</w:t>
            </w:r>
          </w:p>
        </w:tc>
      </w:tr>
      <w:tr>
        <w:trPr>
          <w:cantSplit w:val="false"/>
        </w:trPr>
        <w:tc>
          <w:tcPr>
            <w:tcW w:type="dxa" w:w="379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IČ DPH:</w:t>
            </w:r>
          </w:p>
        </w:tc>
        <w:tc>
          <w:tcPr>
            <w:tcW w:type="dxa" w:w="5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SK2022428012</w:t>
            </w:r>
          </w:p>
        </w:tc>
      </w:tr>
      <w:tr>
        <w:trPr>
          <w:cantSplit w:val="false"/>
        </w:trPr>
        <w:tc>
          <w:tcPr>
            <w:tcW w:type="dxa" w:w="379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Adresa sídla:</w:t>
            </w:r>
          </w:p>
        </w:tc>
        <w:tc>
          <w:tcPr>
            <w:tcW w:type="dxa" w:w="5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Námestie hrdinov 27, 94001 Nové Zámky</w:t>
            </w:r>
          </w:p>
        </w:tc>
      </w:tr>
      <w:tr>
        <w:trPr>
          <w:cantSplit w:val="false"/>
        </w:trPr>
        <w:tc>
          <w:tcPr>
            <w:tcW w:type="dxa" w:w="379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Obchodný register:</w:t>
            </w:r>
          </w:p>
        </w:tc>
        <w:tc>
          <w:tcPr>
            <w:tcW w:type="dxa" w:w="5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Obchodný register 0kresného súdu Nitra, Oddiel: Sro., Vložka číslo: 20471/N</w:t>
            </w:r>
          </w:p>
        </w:tc>
      </w:tr>
      <w:tr>
        <w:trPr>
          <w:cantSplit w:val="false"/>
        </w:trPr>
        <w:tc>
          <w:tcPr>
            <w:tcW w:type="dxa" w:w="379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Konateľ spoločnosti:</w:t>
            </w:r>
          </w:p>
        </w:tc>
        <w:tc>
          <w:tcPr>
            <w:tcW w:type="dxa" w:w="5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Juraj Orémusz, Mgr. Petra Orémuszová</w:t>
            </w:r>
          </w:p>
        </w:tc>
      </w:tr>
      <w:tr>
        <w:trPr>
          <w:cantSplit w:val="false"/>
        </w:trPr>
        <w:tc>
          <w:tcPr>
            <w:tcW w:type="dxa" w:w="379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Prokurista spoločnosti:</w:t>
            </w:r>
          </w:p>
        </w:tc>
        <w:tc>
          <w:tcPr>
            <w:tcW w:type="dxa" w:w="5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379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Webové sídlo spoločnosti, mail:</w:t>
            </w:r>
          </w:p>
        </w:tc>
        <w:tc>
          <w:tcPr>
            <w:tcW w:type="dxa" w:w="54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www.oremusz.eu; mail:oremusz</w:t>
            </w:r>
            <w:r>
              <w:rPr>
                <w:sz w:val="24"/>
                <w:szCs w:val="24"/>
                <w:lang w:val="en-US"/>
              </w:rPr>
              <w:t>@</w:t>
            </w:r>
            <w:r>
              <w:rPr>
                <w:sz w:val="24"/>
                <w:szCs w:val="24"/>
              </w:rPr>
              <w:t>oremusz.eu</w:t>
            </w:r>
          </w:p>
        </w:tc>
      </w:tr>
    </w:tbl>
    <w:p>
      <w:pPr>
        <w:pStyle w:val="style0"/>
        <w:ind w:hanging="0" w:left="0" w:right="0"/>
        <w:jc w:val="both"/>
      </w:pPr>
      <w:r>
        <w:rPr>
          <w:b/>
          <w:sz w:val="28"/>
          <w:szCs w:val="28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  <w:t xml:space="preserve">Štatutárnym orgánom spoločnosti Orémusz spol. s r. o. je konateľ spoločnosti. Spoločnosť nemá povinnosť ani dobrovoľne nezriadila dozornú radu.  </w:t>
      </w:r>
    </w:p>
    <w:p>
      <w:pPr>
        <w:pStyle w:val="style0"/>
        <w:ind w:hanging="7365" w:left="7791" w:right="0"/>
        <w:jc w:val="both"/>
      </w:pPr>
      <w:r>
        <w:rPr>
          <w:b/>
          <w:sz w:val="28"/>
          <w:szCs w:val="28"/>
        </w:rPr>
      </w:r>
    </w:p>
    <w:p>
      <w:pPr>
        <w:pStyle w:val="style0"/>
        <w:ind w:hanging="0" w:left="0" w:right="0"/>
        <w:jc w:val="both"/>
      </w:pPr>
      <w:r>
        <w:rPr>
          <w:b/>
          <w:sz w:val="28"/>
          <w:szCs w:val="28"/>
        </w:rPr>
        <w:t>Identifikačné údaje – doplňujúce informácie</w:t>
      </w:r>
    </w:p>
    <w:p>
      <w:pPr>
        <w:pStyle w:val="style0"/>
        <w:ind w:hanging="0" w:left="0" w:right="0"/>
        <w:jc w:val="both"/>
      </w:pPr>
      <w:r>
        <w:rPr>
          <w:b/>
          <w:sz w:val="28"/>
          <w:szCs w:val="28"/>
        </w:rPr>
      </w:r>
    </w:p>
    <w:tbl>
      <w:tblPr>
        <w:jc w:val="left"/>
        <w:tblInd w:type="dxa" w:w="-108"/>
        <w:tblBorders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tblBorders>
      </w:tblPr>
      <w:tblGrid>
        <w:gridCol w:w="4076"/>
        <w:gridCol w:w="5135"/>
      </w:tblGrid>
      <w:tr>
        <w:trPr>
          <w:cantSplit w:val="false"/>
        </w:trPr>
        <w:tc>
          <w:tcPr>
            <w:tcW w:type="dxa" w:w="40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Výsledok hospodárenia 2016</w:t>
            </w:r>
          </w:p>
        </w:tc>
        <w:tc>
          <w:tcPr>
            <w:tcW w:type="dxa" w:w="51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Zisk  7 480 eur</w:t>
            </w:r>
          </w:p>
        </w:tc>
      </w:tr>
      <w:tr>
        <w:trPr>
          <w:cantSplit w:val="false"/>
        </w:trPr>
        <w:tc>
          <w:tcPr>
            <w:tcW w:type="dxa" w:w="40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Splatené základné imanie (účet 411)</w:t>
            </w:r>
          </w:p>
        </w:tc>
        <w:tc>
          <w:tcPr>
            <w:tcW w:type="dxa" w:w="51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23 236 eur</w:t>
            </w:r>
          </w:p>
        </w:tc>
      </w:tr>
      <w:tr>
        <w:trPr>
          <w:cantSplit w:val="false"/>
        </w:trPr>
        <w:tc>
          <w:tcPr>
            <w:tcW w:type="dxa" w:w="40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type="dxa" w:w="51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2 324 eur</w:t>
            </w:r>
          </w:p>
        </w:tc>
      </w:tr>
      <w:tr>
        <w:trPr>
          <w:cantSplit w:val="false"/>
        </w:trPr>
        <w:tc>
          <w:tcPr>
            <w:tcW w:type="dxa" w:w="40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type="dxa" w:w="51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4</w:t>
            </w:r>
          </w:p>
        </w:tc>
      </w:tr>
      <w:tr>
        <w:trPr>
          <w:cantSplit w:val="false"/>
        </w:trPr>
        <w:tc>
          <w:tcPr>
            <w:tcW w:type="dxa" w:w="407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Hlavná činnosť</w:t>
            </w:r>
          </w:p>
        </w:tc>
        <w:tc>
          <w:tcPr>
            <w:tcW w:type="dxa" w:w="513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rStyle w:val="style16"/>
              </w:rPr>
              <w:t>služby v rámci lesníctva a ťažby dreva</w:t>
            </w:r>
          </w:p>
        </w:tc>
      </w:tr>
    </w:tbl>
    <w:p>
      <w:pPr>
        <w:pStyle w:val="style0"/>
        <w:ind w:hanging="0" w:left="0" w:right="0"/>
        <w:jc w:val="both"/>
      </w:pPr>
      <w:r>
        <w:rPr>
          <w:b/>
          <w:sz w:val="28"/>
          <w:szCs w:val="28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  <w:t>Účtovným obdobím spoločnosti je kalendárny rok. Spoločnosť nemá odštepný závod ani organizačnú zložku v tuzemsku. Spoločnosť nevlastní obchodný podiel v inej spoločnosti, ani nie je vlastnená inou spoločnosťou.</w:t>
      </w:r>
    </w:p>
    <w:p>
      <w:pPr>
        <w:pStyle w:val="style0"/>
        <w:ind w:hanging="0" w:left="0" w:right="0"/>
        <w:jc w:val="both"/>
      </w:pPr>
      <w:r>
        <w:rPr/>
      </w:r>
    </w:p>
    <w:p>
      <w:pPr>
        <w:pStyle w:val="style0"/>
        <w:ind w:hanging="0" w:left="0" w:right="0"/>
        <w:jc w:val="both"/>
      </w:pPr>
      <w:r>
        <w:rPr>
          <w:b/>
          <w:sz w:val="28"/>
          <w:szCs w:val="28"/>
        </w:rPr>
        <w:t>2) Povinné informácie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spacing w:after="120" w:before="0"/>
        <w:ind w:hanging="0" w:left="0" w:right="0"/>
        <w:jc w:val="both"/>
      </w:pPr>
      <w:r>
        <w:rPr>
          <w:sz w:val="24"/>
          <w:szCs w:val="24"/>
          <w:u w:val="single"/>
        </w:rPr>
        <w:t>a) Informácie o vývoji účtovnej jednotky</w:t>
      </w:r>
    </w:p>
    <w:p>
      <w:pPr>
        <w:pStyle w:val="style38"/>
      </w:pPr>
      <w:r>
        <w:rPr>
          <w:rFonts w:ascii="Calibri" w:cs="Calibri" w:hAnsi="Calibri"/>
          <w:color w:val="auto"/>
          <w:sz w:val="24"/>
          <w:szCs w:val="24"/>
          <w:shd w:fill="auto" w:val="clear"/>
        </w:rPr>
        <w:t>Obchodná spoločnosť Orémusz spol. s r.o. bola založená spoločenskou zmluvou</w:t>
      </w:r>
    </w:p>
    <w:p>
      <w:pPr>
        <w:pStyle w:val="style38"/>
      </w:pPr>
      <w:r>
        <w:rPr>
          <w:rFonts w:ascii="Calibri" w:cs="Calibri" w:hAnsi="Calibri"/>
          <w:color w:val="auto"/>
          <w:sz w:val="24"/>
          <w:szCs w:val="24"/>
          <w:shd w:fill="auto" w:val="clear"/>
        </w:rPr>
        <w:t>zo dňa 7.8.2007 s nasledovným predmetom činnosti:</w:t>
      </w:r>
    </w:p>
    <w:p>
      <w:pPr>
        <w:pStyle w:val="style38"/>
        <w:numPr>
          <w:ilvl w:val="0"/>
          <w:numId w:val="2"/>
        </w:numPr>
      </w:pPr>
      <w:r>
        <w:rPr>
          <w:rFonts w:ascii="Calibri" w:cs="Arial CE;Helvetica CE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prenájom strojov a zariadení v rozsahu voľných živností</w:t>
      </w:r>
    </w:p>
    <w:p>
      <w:pPr>
        <w:pStyle w:val="style38"/>
        <w:numPr>
          <w:ilvl w:val="0"/>
          <w:numId w:val="2"/>
        </w:numPr>
      </w:pPr>
      <w:r>
        <w:rPr>
          <w:rFonts w:ascii="Calibri" w:cs="Arial CE;Helvetica CE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podnikateľské poradenstvo</w:t>
      </w:r>
      <w:r>
        <w:rPr>
          <w:rFonts w:ascii="Calibri" w:hAnsi="Calibri"/>
          <w:b w:val="false"/>
          <w:bCs w:val="false"/>
          <w:sz w:val="24"/>
          <w:szCs w:val="24"/>
        </w:rPr>
        <w:t xml:space="preserve"> </w:t>
      </w:r>
    </w:p>
    <w:p>
      <w:pPr>
        <w:pStyle w:val="style38"/>
        <w:numPr>
          <w:ilvl w:val="0"/>
          <w:numId w:val="2"/>
        </w:numPr>
      </w:pPr>
      <w:r>
        <w:rPr>
          <w:rFonts w:ascii="Calibri" w:cs="Arial CE;Helvetica CE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sprostredkovanie obchodu v rozsahu voľných živností</w:t>
      </w:r>
      <w:r>
        <w:rPr>
          <w:rFonts w:ascii="Calibri" w:hAnsi="Calibri"/>
          <w:b w:val="false"/>
          <w:bCs w:val="false"/>
          <w:sz w:val="24"/>
          <w:szCs w:val="24"/>
        </w:rPr>
        <w:t xml:space="preserve"> </w:t>
      </w:r>
    </w:p>
    <w:p>
      <w:pPr>
        <w:pStyle w:val="style38"/>
        <w:numPr>
          <w:ilvl w:val="0"/>
          <w:numId w:val="2"/>
        </w:numPr>
      </w:pPr>
      <w:r>
        <w:rPr>
          <w:rFonts w:ascii="Calibri" w:cs="Arial CE;Helvetica CE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služby v rámci lesníctva a ťažby dreva </w:t>
      </w:r>
      <w:r>
        <w:rPr>
          <w:rFonts w:ascii="Calibri" w:hAnsi="Calibri"/>
          <w:b w:val="false"/>
          <w:bCs w:val="false"/>
          <w:sz w:val="24"/>
          <w:szCs w:val="24"/>
        </w:rPr>
        <w:t xml:space="preserve"> </w:t>
      </w:r>
    </w:p>
    <w:p>
      <w:pPr>
        <w:pStyle w:val="style38"/>
        <w:numPr>
          <w:ilvl w:val="0"/>
          <w:numId w:val="2"/>
        </w:numPr>
      </w:pPr>
      <w:r>
        <w:rPr>
          <w:rFonts w:ascii="Calibri" w:cs="Arial CE;Helvetica CE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kúpa tovaru na účely jeho predaja konečnému spotrebiteľovi (maloobchod) v rozsahu voľných živností</w:t>
      </w:r>
      <w:r>
        <w:rPr>
          <w:rFonts w:ascii="Calibri" w:hAnsi="Calibri"/>
          <w:b w:val="false"/>
          <w:bCs w:val="false"/>
          <w:sz w:val="24"/>
          <w:szCs w:val="24"/>
        </w:rPr>
        <w:t xml:space="preserve"> </w:t>
      </w:r>
    </w:p>
    <w:p>
      <w:pPr>
        <w:pStyle w:val="style38"/>
        <w:numPr>
          <w:ilvl w:val="0"/>
          <w:numId w:val="2"/>
        </w:numPr>
      </w:pPr>
      <w:r>
        <w:rPr>
          <w:rFonts w:ascii="Calibri" w:cs="Arial CE;Helvetica CE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kúpa tovaru na účely jeho predaja iným prevádzkovateľom živnosti (veľkoobchod) v rozsahu voľných živností</w:t>
      </w:r>
      <w:r>
        <w:rPr>
          <w:rFonts w:ascii="Calibri" w:hAnsi="Calibri"/>
          <w:b w:val="false"/>
          <w:bCs w:val="false"/>
          <w:sz w:val="24"/>
          <w:szCs w:val="24"/>
        </w:rPr>
        <w:t xml:space="preserve"> </w:t>
      </w:r>
    </w:p>
    <w:p>
      <w:pPr>
        <w:pStyle w:val="style38"/>
        <w:numPr>
          <w:ilvl w:val="0"/>
          <w:numId w:val="2"/>
        </w:numPr>
      </w:pPr>
      <w:r>
        <w:rPr>
          <w:rFonts w:ascii="Calibri" w:cs="Arial CE;Helvetica CE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výroba výrobkov z dreva v rozsahu voľných živností </w:t>
      </w:r>
      <w:r>
        <w:rPr>
          <w:rFonts w:ascii="Calibri" w:hAnsi="Calibri"/>
          <w:b w:val="false"/>
          <w:bCs w:val="false"/>
          <w:sz w:val="24"/>
          <w:szCs w:val="24"/>
        </w:rPr>
        <w:t xml:space="preserve"> </w:t>
      </w:r>
    </w:p>
    <w:p>
      <w:pPr>
        <w:pStyle w:val="style38"/>
        <w:numPr>
          <w:ilvl w:val="0"/>
          <w:numId w:val="2"/>
        </w:numPr>
      </w:pPr>
      <w:r>
        <w:rPr>
          <w:rFonts w:ascii="Calibri" w:cs="Arial CE;Helvetica CE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úpravy dreva (prirodzené a umelé sušenie dreva, nátery a morenie dreva, impregnácia dreva) </w:t>
      </w:r>
      <w:r>
        <w:rPr>
          <w:rFonts w:ascii="Calibri" w:hAnsi="Calibri"/>
          <w:b w:val="false"/>
          <w:bCs w:val="false"/>
          <w:sz w:val="24"/>
          <w:szCs w:val="24"/>
        </w:rPr>
        <w:t xml:space="preserve"> </w:t>
      </w:r>
    </w:p>
    <w:p>
      <w:pPr>
        <w:pStyle w:val="style38"/>
        <w:numPr>
          <w:ilvl w:val="0"/>
          <w:numId w:val="2"/>
        </w:numPr>
      </w:pPr>
      <w:r>
        <w:rPr>
          <w:rFonts w:ascii="Calibri" w:cs="Arial CE;Helvetica CE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výroba dýhy, preglejky, latovky, drevotrieskovej dosky, drevovláknitej dosky a iných panelov a dosiek </w:t>
      </w:r>
      <w:r>
        <w:rPr>
          <w:rFonts w:ascii="Calibri" w:hAnsi="Calibri"/>
          <w:b w:val="false"/>
          <w:bCs w:val="false"/>
          <w:sz w:val="24"/>
          <w:szCs w:val="24"/>
        </w:rPr>
        <w:t xml:space="preserve"> </w:t>
      </w:r>
    </w:p>
    <w:p>
      <w:pPr>
        <w:pStyle w:val="style38"/>
        <w:numPr>
          <w:ilvl w:val="0"/>
          <w:numId w:val="2"/>
        </w:numPr>
      </w:pPr>
      <w:r>
        <w:rPr>
          <w:rFonts w:ascii="Calibri" w:cs="Arial CE;Helvetica CE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nákladná cestná doprava vykonávaná vozidlami do celkovej hmotnosti 3,5 t vrátane prípojného vozidla </w:t>
      </w:r>
      <w:r>
        <w:rPr>
          <w:rFonts w:ascii="Calibri" w:hAnsi="Calibri"/>
          <w:b w:val="false"/>
          <w:bCs w:val="false"/>
          <w:sz w:val="24"/>
          <w:szCs w:val="24"/>
        </w:rPr>
        <w:t xml:space="preserve"> </w:t>
      </w:r>
    </w:p>
    <w:p>
      <w:pPr>
        <w:pStyle w:val="style38"/>
        <w:numPr>
          <w:ilvl w:val="0"/>
          <w:numId w:val="2"/>
        </w:numPr>
      </w:pPr>
      <w:r>
        <w:rPr>
          <w:rFonts w:ascii="Calibri" w:cs="Arial CE;Helvetica CE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prenájom nehnuteľností spojený s poskytovaním iných než základných služieb spojených s prenájmom</w:t>
      </w:r>
      <w:r>
        <w:rPr>
          <w:rFonts w:ascii="Calibri" w:hAnsi="Calibri"/>
          <w:b w:val="false"/>
          <w:bCs w:val="false"/>
          <w:sz w:val="24"/>
          <w:szCs w:val="24"/>
        </w:rPr>
        <w:t xml:space="preserve"> </w:t>
      </w:r>
    </w:p>
    <w:p>
      <w:pPr>
        <w:pStyle w:val="style38"/>
        <w:numPr>
          <w:ilvl w:val="0"/>
          <w:numId w:val="2"/>
        </w:numPr>
      </w:pPr>
      <w:r>
        <w:rPr>
          <w:rFonts w:ascii="Calibri" w:cs="Arial CE;Helvetica CE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manipulácia s nákladom a tovarom </w:t>
      </w:r>
      <w:r>
        <w:rPr>
          <w:rFonts w:ascii="Calibri" w:hAnsi="Calibri"/>
          <w:b w:val="false"/>
          <w:bCs w:val="false"/>
          <w:sz w:val="24"/>
          <w:szCs w:val="24"/>
        </w:rPr>
        <w:t xml:space="preserve"> </w:t>
      </w:r>
    </w:p>
    <w:p>
      <w:pPr>
        <w:pStyle w:val="style38"/>
        <w:numPr>
          <w:ilvl w:val="0"/>
          <w:numId w:val="2"/>
        </w:numPr>
      </w:pPr>
      <w:r>
        <w:rPr>
          <w:rFonts w:ascii="Calibri" w:cs="Arial CE;Helvetica CE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skladovanie a uskladňovanie dreva</w:t>
      </w:r>
      <w:r>
        <w:rPr>
          <w:rFonts w:ascii="Calibri" w:hAnsi="Calibri"/>
          <w:b w:val="false"/>
          <w:bCs w:val="false"/>
          <w:sz w:val="24"/>
          <w:szCs w:val="24"/>
        </w:rPr>
        <w:t xml:space="preserve"> </w:t>
      </w:r>
    </w:p>
    <w:p>
      <w:pPr>
        <w:pStyle w:val="style38"/>
        <w:numPr>
          <w:ilvl w:val="0"/>
          <w:numId w:val="2"/>
        </w:numPr>
      </w:pPr>
      <w:r>
        <w:rPr>
          <w:rFonts w:ascii="Calibri" w:cs="Arial CE;Helvetica CE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vnútroštátna nákladná cestná doprava </w:t>
      </w:r>
      <w:r>
        <w:rPr>
          <w:rFonts w:ascii="Calibri" w:hAnsi="Calibri"/>
          <w:b w:val="false"/>
          <w:bCs w:val="false"/>
          <w:sz w:val="24"/>
          <w:szCs w:val="24"/>
        </w:rPr>
        <w:t xml:space="preserve"> </w:t>
      </w:r>
    </w:p>
    <w:p>
      <w:pPr>
        <w:pStyle w:val="style38"/>
        <w:numPr>
          <w:ilvl w:val="0"/>
          <w:numId w:val="2"/>
        </w:numPr>
      </w:pPr>
      <w:r>
        <w:rPr>
          <w:rFonts w:ascii="Calibri" w:cs="Arial CE;Helvetica CE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poľnohospodárstvo a lesníctvo vrátane predaja nespracovaných poľnohospodárskych a lesných výrobkov za účelom spracovania alebo ďalšieho predaja</w:t>
      </w:r>
      <w:r>
        <w:rPr>
          <w:rFonts w:ascii="Calibri" w:hAnsi="Calibri"/>
          <w:b w:val="false"/>
          <w:bCs w:val="false"/>
          <w:sz w:val="24"/>
          <w:szCs w:val="24"/>
        </w:rPr>
        <w:t xml:space="preserve"> </w:t>
      </w:r>
    </w:p>
    <w:p>
      <w:pPr>
        <w:pStyle w:val="style38"/>
      </w:pPr>
      <w:r>
        <w:rPr/>
      </w:r>
    </w:p>
    <w:p>
      <w:pPr>
        <w:pStyle w:val="style0"/>
        <w:spacing w:after="120" w:before="0"/>
        <w:ind w:hanging="0" w:left="0" w:right="0"/>
        <w:jc w:val="both"/>
      </w:pPr>
      <w:r>
        <w:rPr>
          <w:color w:val="000000"/>
          <w:sz w:val="24"/>
          <w:szCs w:val="24"/>
        </w:rPr>
        <w:t>Spoločnosť vykonáva podnikateľskú činnosť na tuzemskom aj zahraničnom trhu</w:t>
      </w:r>
      <w:r>
        <w:rPr>
          <w:color w:val="0F243E"/>
          <w:sz w:val="24"/>
          <w:szCs w:val="24"/>
        </w:rPr>
        <w:t>.</w:t>
      </w:r>
    </w:p>
    <w:p>
      <w:pPr>
        <w:pStyle w:val="style38"/>
        <w:ind w:hanging="0" w:left="0" w:right="0"/>
      </w:pPr>
      <w:r>
        <w:rPr>
          <w:rFonts w:ascii="Calibri" w:hAnsi="Calibri"/>
          <w:sz w:val="24"/>
          <w:szCs w:val="24"/>
        </w:rPr>
        <w:t xml:space="preserve">Od svojho založenia si spoločnosť relatívne stabilne udržiava svoje postavenie vo svojej oblasti pôsobenia. Vývoj na trhu však prináša zvýšenú konkurenciu a požiadavky, ktorým sa musíme neustále prispôsobovať. </w:t>
      </w:r>
    </w:p>
    <w:p>
      <w:pPr>
        <w:pStyle w:val="style0"/>
        <w:spacing w:after="120" w:before="0"/>
        <w:ind w:hanging="0" w:left="0" w:right="0"/>
        <w:jc w:val="both"/>
      </w:pPr>
      <w:r>
        <w:rPr>
          <w:sz w:val="24"/>
          <w:szCs w:val="24"/>
        </w:rPr>
        <w:t>Spoločnosť neidentifikovala žiadne špecifické významné riziká a neistoty, okrem všeobecne známych rizík podnikania alebo prípadných udalostí vyššej moci. Prognóza pre ďalšie obdobie je stabilná, resp. dajú sa očakávať výkyvy v odbyte z dôvodu cyklických výkyvov na trhu a v kúpyschopnosti obyvateľstva. Aj z</w:t>
      </w:r>
      <w:r>
        <w:rPr>
          <w:color w:val="000000"/>
          <w:sz w:val="24"/>
          <w:szCs w:val="24"/>
        </w:rPr>
        <w:t> tohto dôvodu sa spoločnosť chystá rozšíriť podnikanie o ťažbu drevnej hmoty a zakúpiť lesnú techniku.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  <w:t>Spoločnosť svojou obchodnou činnosťou nemá významný vplyv na životné prostredie, nevypúšťa exhaláty do vzduchu ani nevytvára znečistenie vody, či nebezpečné odpady. Spoločnosť stabilne a dlhodobo zamestnáva 4 zamestnancov na HPP a 2 na dohodu. Vytvára ďalsie pracovné priležitosti drobným SZČO po celom Slovensku formou poddodávok, čím prispieva k lokálnej zamestnanosti. Spoločnosť zamestnáva aj 1 zamestnanca so zdravotným postihnutím.</w:t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pBdr>
        <w:ind w:hanging="0" w:left="0" w:right="0"/>
        <w:jc w:val="center"/>
      </w:pPr>
      <w:r>
        <w:rPr>
          <w:b/>
          <w:sz w:val="24"/>
          <w:szCs w:val="24"/>
        </w:rPr>
        <w:t>SÚVAHA</w:t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pBdr>
        <w:ind w:hanging="0" w:left="0" w:right="0"/>
        <w:jc w:val="center"/>
      </w:pPr>
      <w:r>
        <w:rPr>
          <w:b/>
          <w:sz w:val="24"/>
          <w:szCs w:val="24"/>
        </w:rPr>
        <w:t>Vybrané ukazovatele o majetku a záväzkoch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tbl>
      <w:tblPr>
        <w:jc w:val="left"/>
        <w:tblInd w:type="dxa" w:w="-108"/>
        <w:tblBorders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tblBorders>
      </w:tblPr>
      <w:tblGrid>
        <w:gridCol w:w="4898"/>
        <w:gridCol w:w="1478"/>
        <w:gridCol w:w="1391"/>
        <w:gridCol w:w="1294"/>
      </w:tblGrid>
      <w:tr>
        <w:trPr>
          <w:cantSplit w:val="false"/>
        </w:trPr>
        <w:tc>
          <w:tcPr>
            <w:tcW w:type="dxa" w:w="48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center"/>
            </w:pPr>
            <w:r>
              <w:rPr>
                <w:b/>
                <w:sz w:val="24"/>
                <w:szCs w:val="24"/>
              </w:rPr>
              <w:t>STRANA AKTÍV SÚVAHY</w:t>
            </w:r>
          </w:p>
          <w:p>
            <w:pPr>
              <w:pStyle w:val="style0"/>
              <w:ind w:hanging="0" w:left="0" w:right="0"/>
              <w:jc w:val="center"/>
            </w:pPr>
            <w:r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type="dxa" w:w="14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center"/>
            </w:pPr>
            <w:r>
              <w:rPr>
                <w:b/>
                <w:sz w:val="24"/>
                <w:szCs w:val="24"/>
              </w:rPr>
              <w:t>ROK 2015</w:t>
            </w:r>
          </w:p>
        </w:tc>
        <w:tc>
          <w:tcPr>
            <w:tcW w:type="dxa" w:w="1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center"/>
            </w:pPr>
            <w:r>
              <w:rPr>
                <w:b/>
                <w:sz w:val="24"/>
                <w:szCs w:val="24"/>
              </w:rPr>
              <w:t>ROK 2016</w:t>
            </w:r>
          </w:p>
        </w:tc>
        <w:tc>
          <w:tcPr>
            <w:tcW w:type="dxa" w:w="1294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48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</w:pPr>
            <w:r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type="dxa" w:w="14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874 112</w:t>
            </w:r>
          </w:p>
        </w:tc>
        <w:tc>
          <w:tcPr>
            <w:tcW w:type="dxa" w:w="1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791 515</w:t>
            </w:r>
          </w:p>
        </w:tc>
        <w:tc>
          <w:tcPr>
            <w:tcW w:type="dxa" w:w="1294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8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A. Neobežný majetok</w:t>
            </w:r>
          </w:p>
        </w:tc>
        <w:tc>
          <w:tcPr>
            <w:tcW w:type="dxa" w:w="14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355 649</w:t>
            </w:r>
          </w:p>
        </w:tc>
        <w:tc>
          <w:tcPr>
            <w:tcW w:type="dxa" w:w="1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271 153</w:t>
            </w:r>
          </w:p>
        </w:tc>
        <w:tc>
          <w:tcPr>
            <w:tcW w:type="dxa" w:w="1294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8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type="dxa" w:w="14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type="dxa" w:w="1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94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8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type="dxa" w:w="14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355 649</w:t>
            </w:r>
          </w:p>
        </w:tc>
        <w:tc>
          <w:tcPr>
            <w:tcW w:type="dxa" w:w="1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271 153</w:t>
            </w:r>
          </w:p>
        </w:tc>
        <w:tc>
          <w:tcPr>
            <w:tcW w:type="dxa" w:w="1294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8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type="dxa" w:w="14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94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8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B. Obežný majetok</w:t>
            </w:r>
          </w:p>
        </w:tc>
        <w:tc>
          <w:tcPr>
            <w:tcW w:type="dxa" w:w="14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468 546</w:t>
            </w:r>
          </w:p>
        </w:tc>
        <w:tc>
          <w:tcPr>
            <w:tcW w:type="dxa" w:w="1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507 952</w:t>
            </w:r>
          </w:p>
        </w:tc>
        <w:tc>
          <w:tcPr>
            <w:tcW w:type="dxa" w:w="1294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8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B.I Zásoby</w:t>
            </w:r>
          </w:p>
        </w:tc>
        <w:tc>
          <w:tcPr>
            <w:tcW w:type="dxa" w:w="14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91 685</w:t>
            </w:r>
          </w:p>
        </w:tc>
        <w:tc>
          <w:tcPr>
            <w:tcW w:type="dxa" w:w="1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76 721</w:t>
            </w:r>
          </w:p>
        </w:tc>
        <w:tc>
          <w:tcPr>
            <w:tcW w:type="dxa" w:w="1294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8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B.II Dlhodobé pohľadávky</w:t>
            </w:r>
          </w:p>
        </w:tc>
        <w:tc>
          <w:tcPr>
            <w:tcW w:type="dxa" w:w="14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94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8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type="dxa" w:w="14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247 065</w:t>
            </w:r>
          </w:p>
        </w:tc>
        <w:tc>
          <w:tcPr>
            <w:tcW w:type="dxa" w:w="1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249 637</w:t>
            </w:r>
          </w:p>
        </w:tc>
        <w:tc>
          <w:tcPr>
            <w:tcW w:type="dxa" w:w="1294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8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type="dxa" w:w="14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94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8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B. V Finančné účty</w:t>
            </w:r>
          </w:p>
        </w:tc>
        <w:tc>
          <w:tcPr>
            <w:tcW w:type="dxa" w:w="14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129 796</w:t>
            </w:r>
          </w:p>
        </w:tc>
        <w:tc>
          <w:tcPr>
            <w:tcW w:type="dxa" w:w="1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181 594</w:t>
            </w:r>
          </w:p>
        </w:tc>
        <w:tc>
          <w:tcPr>
            <w:tcW w:type="dxa" w:w="1294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89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C. Časové rozlíšenie</w:t>
            </w:r>
          </w:p>
        </w:tc>
        <w:tc>
          <w:tcPr>
            <w:tcW w:type="dxa" w:w="147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49 917</w:t>
            </w:r>
          </w:p>
        </w:tc>
        <w:tc>
          <w:tcPr>
            <w:tcW w:type="dxa" w:w="139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12 410</w:t>
            </w:r>
          </w:p>
        </w:tc>
        <w:tc>
          <w:tcPr>
            <w:tcW w:type="dxa" w:w="1294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tbl>
      <w:tblPr>
        <w:jc w:val="left"/>
        <w:tblInd w:type="dxa" w:w="-108"/>
        <w:tblBorders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tblBorders>
      </w:tblPr>
      <w:tblGrid>
        <w:gridCol w:w="4917"/>
        <w:gridCol w:w="1471"/>
        <w:gridCol w:w="1387"/>
        <w:gridCol w:w="1286"/>
      </w:tblGrid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center"/>
            </w:pPr>
            <w:r>
              <w:rPr>
                <w:b/>
                <w:sz w:val="24"/>
                <w:szCs w:val="24"/>
              </w:rPr>
              <w:t>STRANA PASÍV SÚVAHY</w:t>
            </w:r>
          </w:p>
          <w:p>
            <w:pPr>
              <w:pStyle w:val="style0"/>
              <w:ind w:hanging="0" w:left="0" w:right="0"/>
              <w:jc w:val="center"/>
            </w:pPr>
            <w:r>
              <w:rPr>
                <w:sz w:val="24"/>
                <w:szCs w:val="24"/>
              </w:rPr>
              <w:t>(údaje v celých eurách)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center"/>
            </w:pPr>
            <w:r>
              <w:rPr>
                <w:b/>
                <w:sz w:val="24"/>
                <w:szCs w:val="24"/>
              </w:rPr>
              <w:t>ROK 2015</w:t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center"/>
            </w:pPr>
            <w:r>
              <w:rPr>
                <w:b/>
                <w:sz w:val="24"/>
                <w:szCs w:val="24"/>
              </w:rPr>
              <w:t>ROK 2016</w:t>
            </w:r>
          </w:p>
        </w:tc>
        <w:tc>
          <w:tcPr>
            <w:tcW w:type="dxa" w:w="1286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</w:pPr>
            <w:r>
              <w:rPr>
                <w:b/>
                <w:sz w:val="24"/>
                <w:szCs w:val="24"/>
              </w:rPr>
              <w:t>VLASTNÉ IMANIE A ZÁV</w:t>
            </w:r>
            <w:r>
              <w:rPr>
                <w:rFonts w:cs="Calibri"/>
                <w:b/>
                <w:sz w:val="24"/>
                <w:szCs w:val="24"/>
              </w:rPr>
              <w:t>Ä</w:t>
            </w:r>
            <w:r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874 112</w:t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791 515</w:t>
            </w:r>
          </w:p>
        </w:tc>
        <w:tc>
          <w:tcPr>
            <w:tcW w:type="dxa" w:w="1286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A. Vlastné imanie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262 976</w:t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270 456</w:t>
            </w:r>
          </w:p>
        </w:tc>
        <w:tc>
          <w:tcPr>
            <w:tcW w:type="dxa" w:w="1286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A.1 Základné imanie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23 236</w:t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23 236</w:t>
            </w:r>
          </w:p>
        </w:tc>
        <w:tc>
          <w:tcPr>
            <w:tcW w:type="dxa" w:w="1286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A.II Emisné ážio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86"/>
            <w:tcBorders/>
            <w:shd w:fill="auto" w:val="clear"/>
            <w:tcMar>
              <w:top w:type="dxa" w:w="55"/>
              <w:left w:type="dxa" w:w="55"/>
              <w:bottom w:type="dxa" w:w="55"/>
              <w:right w:type="dxa" w:w="55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200 000 </w:t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200 000</w:t>
            </w:r>
          </w:p>
        </w:tc>
        <w:tc>
          <w:tcPr>
            <w:tcW w:type="dxa" w:w="1286"/>
            <w:tcBorders/>
            <w:shd w:fill="auto" w:val="clear"/>
            <w:tcMar>
              <w:top w:type="dxa" w:w="55"/>
              <w:left w:type="dxa" w:w="55"/>
              <w:bottom w:type="dxa" w:w="55"/>
              <w:right w:type="dxa" w:w="55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1 030</w:t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2 324</w:t>
            </w:r>
          </w:p>
        </w:tc>
        <w:tc>
          <w:tcPr>
            <w:tcW w:type="dxa" w:w="1286"/>
            <w:tcBorders/>
            <w:shd w:fill="auto" w:val="clear"/>
            <w:tcMar>
              <w:top w:type="dxa" w:w="55"/>
              <w:left w:type="dxa" w:w="55"/>
              <w:bottom w:type="dxa" w:w="55"/>
              <w:right w:type="dxa" w:w="55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A.V Ostatné fondy zo zisku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86"/>
            <w:tcBorders/>
            <w:shd w:fill="auto" w:val="clear"/>
            <w:tcMar>
              <w:top w:type="dxa" w:w="55"/>
              <w:left w:type="dxa" w:w="55"/>
              <w:bottom w:type="dxa" w:w="55"/>
              <w:right w:type="dxa" w:w="55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86"/>
            <w:tcBorders/>
            <w:shd w:fill="auto" w:val="clear"/>
            <w:tcMar>
              <w:top w:type="dxa" w:w="55"/>
              <w:left w:type="dxa" w:w="55"/>
              <w:bottom w:type="dxa" w:w="55"/>
              <w:right w:type="dxa" w:w="55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21 552</w:t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37 416</w:t>
            </w:r>
          </w:p>
        </w:tc>
        <w:tc>
          <w:tcPr>
            <w:tcW w:type="dxa" w:w="1286"/>
            <w:tcBorders/>
            <w:shd w:fill="auto" w:val="clear"/>
            <w:tcMar>
              <w:top w:type="dxa" w:w="55"/>
              <w:left w:type="dxa" w:w="55"/>
              <w:bottom w:type="dxa" w:w="55"/>
              <w:right w:type="dxa" w:w="55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17 158</w:t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7 480</w:t>
            </w:r>
          </w:p>
        </w:tc>
        <w:tc>
          <w:tcPr>
            <w:tcW w:type="dxa" w:w="1286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B. Záväzky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611 136</w:t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521 059</w:t>
            </w:r>
          </w:p>
        </w:tc>
        <w:tc>
          <w:tcPr>
            <w:tcW w:type="dxa" w:w="1286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B.I Dlhodobé záväzky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133 849</w:t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7 811</w:t>
            </w:r>
          </w:p>
        </w:tc>
        <w:tc>
          <w:tcPr>
            <w:tcW w:type="dxa" w:w="1286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B.II Dlhodobé rezervy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86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86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338 541</w:t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375 217</w:t>
            </w:r>
          </w:p>
        </w:tc>
        <w:tc>
          <w:tcPr>
            <w:tcW w:type="dxa" w:w="1286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B.V Krátkodobé rezervy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3 922</w:t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4 217</w:t>
            </w:r>
          </w:p>
        </w:tc>
        <w:tc>
          <w:tcPr>
            <w:tcW w:type="dxa" w:w="1286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134 827</w:t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133 814</w:t>
            </w:r>
          </w:p>
        </w:tc>
        <w:tc>
          <w:tcPr>
            <w:tcW w:type="dxa" w:w="1286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86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1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C. Časové rozlíšenie</w:t>
            </w:r>
          </w:p>
        </w:tc>
        <w:tc>
          <w:tcPr>
            <w:tcW w:type="dxa" w:w="147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38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86"/>
            <w:tcBorders/>
            <w:shd w:fill="auto" w:val="clear"/>
            <w:tcMar>
              <w:top w:type="dxa" w:w="108"/>
              <w:left w:type="dxa" w:w="108"/>
              <w:bottom w:type="dxa" w:w="108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spacing w:after="120" w:before="0"/>
        <w:ind w:hanging="0" w:left="0" w:right="0"/>
        <w:jc w:val="both"/>
      </w:pPr>
      <w:r>
        <w:rPr>
          <w:sz w:val="24"/>
          <w:szCs w:val="24"/>
          <w:u w:val="single"/>
        </w:rPr>
        <w:t>Komentár k súvahe - aktíva:</w:t>
      </w:r>
    </w:p>
    <w:p>
      <w:pPr>
        <w:pStyle w:val="style0"/>
        <w:spacing w:after="120" w:before="0"/>
        <w:ind w:hanging="0" w:left="0" w:right="0"/>
        <w:jc w:val="both"/>
      </w:pPr>
      <w:r>
        <w:rPr>
          <w:sz w:val="24"/>
          <w:szCs w:val="24"/>
        </w:rPr>
        <w:t xml:space="preserve">Spoločnosť hospodári s vlastným dlhodobým hmotným majetkom (nie prenajatým).  </w:t>
      </w:r>
    </w:p>
    <w:p>
      <w:pPr>
        <w:pStyle w:val="style0"/>
        <w:spacing w:after="120" w:before="0"/>
        <w:ind w:hanging="0" w:left="0" w:right="0"/>
        <w:jc w:val="both"/>
      </w:pPr>
      <w:r>
        <w:rPr>
          <w:sz w:val="24"/>
          <w:szCs w:val="24"/>
        </w:rPr>
        <w:t>Spoločnosť nevlastní akcie ani obchodný podiel v inej spoločnosti</w:t>
      </w:r>
    </w:p>
    <w:p>
      <w:pPr>
        <w:pStyle w:val="style0"/>
        <w:spacing w:after="120" w:before="0"/>
        <w:ind w:hanging="0" w:left="0" w:right="0"/>
        <w:jc w:val="both"/>
      </w:pPr>
      <w:r>
        <w:rPr>
          <w:sz w:val="24"/>
          <w:szCs w:val="24"/>
        </w:rPr>
        <w:t xml:space="preserve">Vývoj stavu zásob je priaznivý, nedošlo k zvýšeniu ich stavu ani nárastu </w:t>
      </w:r>
      <w:r>
        <w:rPr>
          <w:color w:val="0F243E"/>
          <w:sz w:val="24"/>
          <w:szCs w:val="24"/>
        </w:rPr>
        <w:t xml:space="preserve">pomaly obrátkových zásob bez pohybu nad jeden rok. Opravná položka k zásobám nebola tvorená.  </w:t>
      </w:r>
    </w:p>
    <w:p>
      <w:pPr>
        <w:pStyle w:val="style0"/>
        <w:spacing w:after="120" w:before="0"/>
        <w:ind w:hanging="0" w:left="0" w:right="0"/>
        <w:jc w:val="both"/>
      </w:pPr>
      <w:r>
        <w:rPr>
          <w:color w:val="000000"/>
          <w:sz w:val="24"/>
          <w:szCs w:val="24"/>
        </w:rPr>
        <w:t xml:space="preserve">Vývoj stavu krátkodobých pohľadávok je  priaznivý,  klesol ich celkový objem, ako aj objem pohľadávok nezaplatených po lehote splatnosti. Pohľadávky po lehote splatnosti sú v sume  56 564 eur, a preto spoločnosť vytvorila k nim opravnú položku v sume 27 841 eur. </w:t>
      </w:r>
    </w:p>
    <w:p>
      <w:pPr>
        <w:pStyle w:val="style0"/>
        <w:spacing w:after="120" w:before="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spacing w:after="120" w:before="0"/>
        <w:ind w:hanging="0" w:left="0" w:right="0"/>
        <w:jc w:val="both"/>
      </w:pPr>
      <w:r>
        <w:rPr>
          <w:sz w:val="24"/>
          <w:szCs w:val="24"/>
          <w:u w:val="single"/>
        </w:rPr>
        <w:t>Komentár k súvahe - pasíva:</w:t>
      </w:r>
    </w:p>
    <w:p>
      <w:pPr>
        <w:pStyle w:val="style0"/>
        <w:spacing w:after="120" w:before="0"/>
        <w:ind w:hanging="0" w:left="0" w:right="0"/>
        <w:jc w:val="both"/>
      </w:pPr>
      <w:r>
        <w:rPr>
          <w:sz w:val="24"/>
          <w:szCs w:val="24"/>
        </w:rPr>
        <w:t xml:space="preserve">Celé základné imanie spoločnosti v sume </w:t>
      </w:r>
      <w:r>
        <w:rPr>
          <w:rStyle w:val="style16"/>
          <w:color w:val="000000"/>
        </w:rPr>
        <w:t>23 235,74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eur zapísané v obchodnom registri je splatené. Vlastné imanie spoločnosti je v sume 270 456 eur.  </w:t>
      </w:r>
      <w:r>
        <w:rPr>
          <w:color w:val="000000"/>
          <w:sz w:val="24"/>
          <w:szCs w:val="24"/>
        </w:rPr>
        <w:t>Spoločnosť vytvára zákonný rezervný fond v súlade so Stanovami spoločnosti a Obchodným zákonníkom.</w:t>
      </w:r>
    </w:p>
    <w:p>
      <w:pPr>
        <w:pStyle w:val="style0"/>
        <w:spacing w:after="120" w:before="0"/>
        <w:ind w:hanging="0" w:left="0" w:right="0"/>
        <w:jc w:val="both"/>
      </w:pPr>
      <w:r>
        <w:rPr>
          <w:color w:val="000000"/>
          <w:sz w:val="24"/>
          <w:szCs w:val="24"/>
        </w:rPr>
        <w:t>Krátkodobé rezervy v sume 3922 eur sú najmä –  rezerva na audit a rezerva na nevyčerpané dovolenky a fondy.</w:t>
      </w:r>
    </w:p>
    <w:p>
      <w:pPr>
        <w:pStyle w:val="style0"/>
        <w:spacing w:after="120" w:before="0"/>
        <w:ind w:hanging="0" w:left="0" w:right="0"/>
        <w:jc w:val="both"/>
      </w:pPr>
      <w:r>
        <w:rPr>
          <w:color w:val="000000"/>
          <w:sz w:val="24"/>
          <w:szCs w:val="24"/>
        </w:rPr>
        <w:t>Spoločnosť má bankové úvery v sume 133 814 eur od VUB banky.</w:t>
      </w:r>
    </w:p>
    <w:p>
      <w:pPr>
        <w:pStyle w:val="style0"/>
        <w:spacing w:after="120" w:before="0"/>
        <w:ind w:hanging="0" w:left="0" w:right="0"/>
        <w:jc w:val="both"/>
      </w:pPr>
      <w:r>
        <w:rPr/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pBdr>
        <w:ind w:hanging="0" w:left="0" w:right="0"/>
        <w:jc w:val="center"/>
      </w:pPr>
      <w:r>
        <w:rPr>
          <w:b/>
          <w:sz w:val="24"/>
          <w:szCs w:val="24"/>
        </w:rPr>
        <w:t>VÝKAZ ZISKOV A STRÁT</w:t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pBdr>
        <w:ind w:hanging="0" w:left="0" w:right="0"/>
        <w:jc w:val="center"/>
      </w:pPr>
      <w:r>
        <w:rPr>
          <w:b/>
          <w:sz w:val="24"/>
          <w:szCs w:val="24"/>
        </w:rPr>
        <w:t>Vybrané ukazovatele o výsledku hospodárenia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tbl>
      <w:tblPr>
        <w:jc w:val="left"/>
        <w:tblInd w:type="dxa" w:w="-108"/>
        <w:tblBorders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tblBorders>
      </w:tblPr>
      <w:tblGrid>
        <w:gridCol w:w="4961"/>
        <w:gridCol w:w="1458"/>
        <w:gridCol w:w="1267"/>
        <w:gridCol w:w="1375"/>
      </w:tblGrid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center"/>
            </w:pPr>
            <w:r>
              <w:rPr>
                <w:sz w:val="24"/>
                <w:szCs w:val="24"/>
              </w:rPr>
              <w:t>(údaje v celých eurách)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center"/>
            </w:pPr>
            <w:r>
              <w:rPr>
                <w:b/>
                <w:sz w:val="24"/>
                <w:szCs w:val="24"/>
              </w:rPr>
              <w:t>ROK 2015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center"/>
            </w:pPr>
            <w:r>
              <w:rPr>
                <w:b/>
                <w:sz w:val="24"/>
                <w:szCs w:val="24"/>
              </w:rPr>
              <w:t>ROK 2016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center"/>
            </w:pPr>
            <w:r>
              <w:rPr/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</w:pPr>
            <w:r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2 581 388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2 856 916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2 612 634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2 876 138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I. Tržby z predaja tovaru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1 683 677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2 179 219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897 711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677 697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V. Aktivácia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>7 000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>7 500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24 246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11 722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2 573 060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2 846 598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1 404 576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1 806 408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43 878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41 515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D. Služby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973 518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837 301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E. Osobné náklady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37 702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36 882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86 188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83 649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2 915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>2 904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>619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14 397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27 497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39 574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29 540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>4 672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4 404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17 101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17 118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- 12 429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- 12 714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27 145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16 826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Daň z príjmov splatná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>9 987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1 963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>Daň z príjmov odložená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7 383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type="dxa" w:w="496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type="dxa" w:w="145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17 158</w:t>
            </w:r>
          </w:p>
        </w:tc>
        <w:tc>
          <w:tcPr>
            <w:tcW w:type="dxa" w:w="1267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7 480</w:t>
            </w:r>
          </w:p>
        </w:tc>
        <w:tc>
          <w:tcPr>
            <w:tcW w:type="dxa" w:w="137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ind w:hanging="0" w:left="0" w:right="0"/>
              <w:jc w:val="both"/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spacing w:after="120" w:before="0"/>
        <w:ind w:hanging="0" w:left="0" w:right="0"/>
        <w:jc w:val="both"/>
      </w:pPr>
      <w:r>
        <w:rPr>
          <w:sz w:val="24"/>
          <w:szCs w:val="24"/>
          <w:u w:val="single"/>
        </w:rPr>
        <w:t>Komentár k výkazu ziskov a strát (výsledovka):</w:t>
      </w:r>
    </w:p>
    <w:p>
      <w:pPr>
        <w:pStyle w:val="style0"/>
        <w:spacing w:after="120" w:before="0"/>
        <w:ind w:hanging="0" w:left="0" w:right="0"/>
        <w:jc w:val="both"/>
      </w:pPr>
      <w:r>
        <w:rPr>
          <w:color w:val="000000"/>
          <w:sz w:val="24"/>
          <w:szCs w:val="24"/>
        </w:rPr>
        <w:t>Spoločnosť zaznamenala mierny nárast výnosov z hospodárskej činnosti. Celkový výsledok hospodárenia v sume 7 480 eur je tvorený najmä v hospodárskej oblasti. Vo finančnej oblasti spoločnosť dosiahla stratu spôsobenú najmä kurzovými rozdielmi a úrokmi.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  <w:u w:val="single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  <w:u w:val="single"/>
        </w:rPr>
        <w:t>b) Informácie o udalostiach osobitného významu, ktoré nastali po skončení účtovného obdobia.</w:t>
      </w:r>
      <w:r>
        <w:rPr>
          <w:sz w:val="24"/>
          <w:szCs w:val="24"/>
        </w:rPr>
        <w:t xml:space="preserve"> 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  <w:t>Spoločnosť neidentifikovala žiadne významné následné udalosti (do dňa podpísania výkazov účtovnej závierky).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  <w:u w:val="single"/>
        </w:rPr>
        <w:t>c) Informácie o predpokladanom budúcom vývoji účtovnej jednotky.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  <w:t xml:space="preserve">Budúci vývoj spoločnosti bude ovplyvnený požiadavkami trhu, na ktoré musíme primerane pružne reagovať. Očakávané celkové oživenie ekonomiky môže priaznivo ovplyvniť aj kúpyschopnosť obyvateľstva a tým aj odbyt v našom segmente obchodu. </w:t>
      </w:r>
      <w:r>
        <w:rPr>
          <w:color w:val="000000"/>
          <w:sz w:val="24"/>
          <w:szCs w:val="24"/>
        </w:rPr>
        <w:t>Spoločnosť plánuje rozšíriť podnikanie v oblasti ťažby dreva a plánuje nakúpiť lesnú techniku- harvestor.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  <w:u w:val="single"/>
        </w:rPr>
        <w:t>d) Informácie o nákladoch na činnosť v oblasti výskumu a vývoja</w:t>
      </w:r>
      <w:r>
        <w:rPr>
          <w:sz w:val="24"/>
          <w:szCs w:val="24"/>
        </w:rPr>
        <w:t xml:space="preserve"> – </w:t>
      </w:r>
      <w:r>
        <w:rPr>
          <w:b w:val="false"/>
          <w:bCs w:val="false"/>
          <w:i/>
          <w:iCs/>
          <w:sz w:val="24"/>
          <w:szCs w:val="24"/>
        </w:rPr>
        <w:t>bez náplne.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  <w:r>
        <w:rPr>
          <w:sz w:val="24"/>
          <w:szCs w:val="24"/>
        </w:rPr>
        <w:t xml:space="preserve"> – </w:t>
      </w:r>
      <w:r>
        <w:rPr>
          <w:b w:val="false"/>
          <w:bCs w:val="false"/>
          <w:i/>
          <w:sz w:val="24"/>
          <w:szCs w:val="24"/>
        </w:rPr>
        <w:t>bez náplne</w:t>
      </w:r>
      <w:r>
        <w:rPr>
          <w:i/>
          <w:sz w:val="24"/>
          <w:szCs w:val="24"/>
        </w:rPr>
        <w:t>.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  <w:u w:val="single"/>
        </w:rPr>
        <w:t>f) Informácie o návrhu na rozdelenie zisku alebo vyrovnanie straty.</w:t>
      </w:r>
    </w:p>
    <w:p>
      <w:pPr>
        <w:pStyle w:val="style0"/>
        <w:ind w:hanging="0" w:left="0" w:right="0"/>
        <w:jc w:val="both"/>
      </w:pPr>
      <w:r>
        <w:rPr>
          <w:color w:val="000000"/>
          <w:sz w:val="24"/>
          <w:szCs w:val="24"/>
        </w:rPr>
        <w:t xml:space="preserve">Spoločnosť vytvorila za rok 2016 účtovný zisk po zdanení vo výške 7 480 eur. Rezervný fond je už vytvorený v maximálnej výške podľa Spoločenskej zmluvy. Preto na valné zhromaždenie bude predložený návrh na nasledovné použitie zisku – preúčtovanie na </w:t>
      </w:r>
      <w:r>
        <w:rPr>
          <w:i/>
          <w:color w:val="000000"/>
          <w:sz w:val="24"/>
          <w:szCs w:val="24"/>
        </w:rPr>
        <w:t xml:space="preserve">účet 428-Nerozdelený zisk minulých rokov. 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  <w:u w:val="single"/>
        </w:rPr>
        <w:t>g) Informácie o údajoch požadovaných podľa osobitných predpisov</w:t>
      </w:r>
      <w:r>
        <w:rPr>
          <w:sz w:val="24"/>
          <w:szCs w:val="24"/>
        </w:rPr>
        <w:t xml:space="preserve"> – </w:t>
      </w:r>
      <w:r>
        <w:rPr>
          <w:b w:val="false"/>
          <w:bCs w:val="false"/>
          <w:i/>
          <w:sz w:val="24"/>
          <w:szCs w:val="24"/>
        </w:rPr>
        <w:t>bez náplne.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  <w:u w:val="single"/>
        </w:rPr>
        <w:t>h) Informácie o tom, či účtovná jednotka má organizačnú zložku v zahraničí.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  <w:t>Spoločnosť nemá organizačnú zložku v zahraničí.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  <w:u w:val="single"/>
        </w:rPr>
        <w:t>i) Informácie o ročnej správe o platbách orgánom verejnej moci (§ 20 ods. 2 zákona o účtovníctve)</w:t>
      </w:r>
      <w:r>
        <w:rPr>
          <w:sz w:val="24"/>
          <w:szCs w:val="24"/>
        </w:rPr>
        <w:t xml:space="preserve"> – </w:t>
      </w:r>
      <w:r>
        <w:rPr>
          <w:b w:val="false"/>
          <w:bCs w:val="false"/>
          <w:i/>
          <w:sz w:val="24"/>
          <w:szCs w:val="24"/>
        </w:rPr>
        <w:t>bez náplne.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  <w:u w:val="single"/>
        </w:rPr>
        <w:t>j) Finančné nástroje (§ 20 ods. 5 zákona o účtovníctve)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>
        <w:rPr>
          <w:b w:val="false"/>
          <w:bCs w:val="false"/>
          <w:sz w:val="24"/>
          <w:szCs w:val="24"/>
        </w:rPr>
        <w:t>informácie o cieľoch a metódach riadenia rizík.</w:t>
      </w:r>
    </w:p>
    <w:p>
      <w:pPr>
        <w:pStyle w:val="style0"/>
        <w:ind w:hanging="0" w:left="0" w:right="0"/>
        <w:jc w:val="both"/>
      </w:pPr>
      <w:r>
        <w:rPr>
          <w:b w:val="false"/>
          <w:bCs w:val="false"/>
          <w:sz w:val="24"/>
          <w:szCs w:val="24"/>
        </w:rPr>
      </w:r>
    </w:p>
    <w:p>
      <w:pPr>
        <w:pStyle w:val="style0"/>
        <w:ind w:hanging="0" w:left="0" w:right="0"/>
        <w:jc w:val="both"/>
      </w:pPr>
      <w:r>
        <w:rPr>
          <w:sz w:val="24"/>
          <w:szCs w:val="24"/>
          <w:u w:val="single"/>
        </w:rPr>
        <w:t>k) Cenné papiere obchodované na regulovanom trhu (§ 20 ods. 6 a 7 zákona o účtovníctve).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 štruktúrované informácie podľa § 20 ods. 6 a 7 zákona o účtovníctve, napríklad – </w:t>
      </w:r>
      <w:r>
        <w:rPr>
          <w:b w:val="false"/>
          <w:bCs w:val="false"/>
          <w:sz w:val="24"/>
          <w:szCs w:val="24"/>
        </w:rPr>
        <w:t>vyhlásenie o správe a riadení.</w:t>
      </w:r>
      <w:r>
        <w:rPr>
          <w:sz w:val="24"/>
          <w:szCs w:val="24"/>
        </w:rPr>
        <w:t xml:space="preserve"> </w:t>
      </w:r>
    </w:p>
    <w:p>
      <w:pPr>
        <w:pStyle w:val="style0"/>
        <w:ind w:hanging="0" w:left="0" w:right="0"/>
        <w:jc w:val="both"/>
      </w:pPr>
      <w:r>
        <w:rPr/>
      </w:r>
    </w:p>
    <w:p>
      <w:pPr>
        <w:pStyle w:val="style0"/>
        <w:ind w:hanging="0" w:left="0" w:right="0"/>
        <w:jc w:val="both"/>
      </w:pPr>
      <w:r>
        <w:rPr>
          <w:sz w:val="24"/>
          <w:szCs w:val="24"/>
          <w:u w:val="single"/>
        </w:rPr>
        <w:t>l) Subjekt verejného záujmu (§ 20 ods. 9 až 14 zákona o účtovníctve).</w:t>
      </w:r>
    </w:p>
    <w:p>
      <w:pPr>
        <w:pStyle w:val="style0"/>
        <w:ind w:hanging="0" w:left="0" w:right="0"/>
        <w:jc w:val="both"/>
      </w:pPr>
      <w:r>
        <w:rPr>
          <w:sz w:val="24"/>
          <w:szCs w:val="24"/>
        </w:rPr>
        <w:t xml:space="preserve">Spoločnosť </w:t>
      </w:r>
      <w:r>
        <w:rPr>
          <w:b w:val="false"/>
          <w:bCs w:val="false"/>
          <w:sz w:val="24"/>
          <w:szCs w:val="24"/>
        </w:rPr>
        <w:t>nie je subjektom verejného záujmu</w:t>
      </w:r>
      <w:r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>
      <w:pPr>
        <w:pStyle w:val="style0"/>
        <w:ind w:hanging="0" w:left="0" w:right="0"/>
        <w:jc w:val="both"/>
      </w:pPr>
      <w:r>
        <w:rPr/>
      </w:r>
    </w:p>
    <w:p>
      <w:pPr>
        <w:pStyle w:val="style0"/>
        <w:ind w:hanging="0" w:left="0" w:right="0"/>
        <w:jc w:val="both"/>
      </w:pPr>
      <w:r>
        <w:rPr/>
      </w:r>
    </w:p>
    <w:p>
      <w:pPr>
        <w:pStyle w:val="style0"/>
        <w:ind w:hanging="0" w:left="0" w:right="0"/>
        <w:jc w:val="both"/>
      </w:pPr>
      <w:r>
        <w:rPr/>
      </w:r>
    </w:p>
    <w:p>
      <w:pPr>
        <w:pStyle w:val="style0"/>
        <w:ind w:hanging="0" w:left="0" w:right="0"/>
        <w:jc w:val="both"/>
      </w:pPr>
      <w:r>
        <w:rPr/>
      </w:r>
    </w:p>
    <w:p>
      <w:pPr>
        <w:pStyle w:val="style0"/>
        <w:ind w:hanging="0" w:left="0" w:right="0"/>
        <w:jc w:val="both"/>
      </w:pPr>
      <w:r>
        <w:rPr/>
      </w:r>
    </w:p>
    <w:p>
      <w:pPr>
        <w:pStyle w:val="style0"/>
        <w:numPr>
          <w:ilvl w:val="0"/>
          <w:numId w:val="3"/>
        </w:numPr>
        <w:ind w:hanging="0" w:left="0" w:right="0"/>
        <w:jc w:val="both"/>
      </w:pPr>
      <w:r>
        <w:rPr>
          <w:b/>
          <w:sz w:val="28"/>
          <w:szCs w:val="28"/>
        </w:rPr>
        <w:t>Ďalšie informácie</w:t>
      </w:r>
    </w:p>
    <w:p>
      <w:pPr>
        <w:pStyle w:val="style0"/>
        <w:ind w:hanging="0" w:left="0" w:right="0"/>
        <w:jc w:val="both"/>
      </w:pPr>
      <w:r>
        <w:rPr/>
      </w:r>
    </w:p>
    <w:p>
      <w:pPr>
        <w:pStyle w:val="style0"/>
        <w:ind w:hanging="0" w:left="0" w:right="0"/>
        <w:jc w:val="both"/>
      </w:pPr>
      <w:r>
        <w:rPr>
          <w:color w:val="000000"/>
          <w:sz w:val="24"/>
          <w:szCs w:val="24"/>
        </w:rPr>
        <w:t>- Zamestnanosť v roku 2016 zostala na úrovni predchádzajúceho roka. Spoločnosť zamestná-vala v priemere 4 pracovníkov.</w:t>
      </w:r>
    </w:p>
    <w:p>
      <w:pPr>
        <w:pStyle w:val="style0"/>
        <w:ind w:hanging="0" w:left="0" w:right="0"/>
        <w:jc w:val="both"/>
      </w:pPr>
      <w:r>
        <w:rPr>
          <w:color w:val="000000"/>
          <w:sz w:val="24"/>
          <w:szCs w:val="24"/>
        </w:rPr>
        <w:t>Mzdové náklady ostali na približne tej istej úrovni ako v predchádzajúcom období.</w:t>
      </w:r>
    </w:p>
    <w:p>
      <w:pPr>
        <w:pStyle w:val="style0"/>
        <w:spacing w:after="120" w:before="0"/>
        <w:ind w:hanging="0" w:left="0" w:right="0"/>
        <w:jc w:val="both"/>
      </w:pPr>
      <w:r>
        <w:rPr>
          <w:rStyle w:val="style16"/>
          <w:color w:val="000000"/>
          <w:sz w:val="24"/>
          <w:szCs w:val="24"/>
        </w:rPr>
        <w:t>V štruktúre zamestnancov nedošlo v rámci uplynulého roka ku zmenám.</w:t>
      </w:r>
    </w:p>
    <w:p>
      <w:pPr>
        <w:pStyle w:val="style0"/>
        <w:spacing w:after="120" w:before="0"/>
        <w:ind w:hanging="0" w:left="0" w:right="0"/>
        <w:jc w:val="both"/>
      </w:pPr>
      <w:r>
        <w:rPr>
          <w:rStyle w:val="style16"/>
          <w:color w:val="000000"/>
          <w:sz w:val="24"/>
          <w:szCs w:val="24"/>
        </w:rPr>
        <w:t>- Spoločnosť vlastní certifikáty:</w:t>
      </w:r>
    </w:p>
    <w:p>
      <w:pPr>
        <w:pStyle w:val="style0"/>
        <w:spacing w:after="120" w:before="0"/>
        <w:ind w:hanging="357" w:left="357" w:right="0"/>
        <w:jc w:val="both"/>
      </w:pPr>
      <w:r>
        <w:rPr>
          <w:rStyle w:val="style16"/>
          <w:color w:val="000000"/>
          <w:sz w:val="24"/>
          <w:szCs w:val="24"/>
        </w:rPr>
        <w:t xml:space="preserve">STN EN ISO 9001:2009/ EN ISO 9001:2008 </w:t>
      </w:r>
    </w:p>
    <w:p>
      <w:pPr>
        <w:pStyle w:val="style0"/>
        <w:spacing w:after="120" w:before="0"/>
        <w:ind w:hanging="357" w:left="357" w:right="0"/>
        <w:jc w:val="both"/>
      </w:pPr>
      <w:r>
        <w:rPr>
          <w:rStyle w:val="style16"/>
          <w:color w:val="000000"/>
          <w:sz w:val="24"/>
          <w:szCs w:val="24"/>
        </w:rPr>
        <w:t>STN EN ISI 14001:2005/ EN ISO 14001:2004</w:t>
      </w:r>
    </w:p>
    <w:p>
      <w:pPr>
        <w:pStyle w:val="style0"/>
        <w:spacing w:after="120" w:before="0"/>
        <w:ind w:hanging="357" w:left="357" w:right="0"/>
        <w:jc w:val="both"/>
      </w:pPr>
      <w:r>
        <w:rPr>
          <w:rStyle w:val="style16"/>
          <w:color w:val="000000"/>
          <w:sz w:val="24"/>
          <w:szCs w:val="24"/>
        </w:rPr>
        <w:t>TD SFCS 1004:2013- časť 6.2 príloha 1 (PEFC ST 2002:2013 Section 6.2 Appendix 1)</w:t>
      </w:r>
    </w:p>
    <w:p>
      <w:pPr>
        <w:pStyle w:val="style0"/>
        <w:spacing w:after="120" w:before="0"/>
        <w:ind w:hanging="0" w:left="0" w:right="0"/>
        <w:jc w:val="both"/>
      </w:pPr>
      <w:r>
        <w:rPr>
          <w:rStyle w:val="style16"/>
          <w:sz w:val="24"/>
          <w:szCs w:val="24"/>
        </w:rPr>
        <w:t xml:space="preserve">- Spoločnosť si včas plní svoje daňové záväzky voči štátu a záväzky voči sociálnej a zdravotnej poisťovni </w:t>
      </w:r>
    </w:p>
    <w:p>
      <w:pPr>
        <w:pStyle w:val="style0"/>
        <w:spacing w:after="120" w:before="0"/>
        <w:ind w:hanging="357" w:left="357" w:right="0"/>
        <w:jc w:val="both"/>
      </w:pPr>
      <w:r>
        <w:rPr/>
      </w:r>
    </w:p>
    <w:p>
      <w:pPr>
        <w:pStyle w:val="style0"/>
        <w:ind w:hanging="0" w:left="0" w:right="0"/>
        <w:jc w:val="both"/>
      </w:pPr>
      <w:r>
        <w:rPr>
          <w:b/>
          <w:sz w:val="28"/>
          <w:szCs w:val="28"/>
        </w:rPr>
        <w:t>4) Povinné prílohy</w:t>
      </w:r>
    </w:p>
    <w:p>
      <w:pPr>
        <w:pStyle w:val="style0"/>
        <w:ind w:hanging="0" w:left="0" w:right="0"/>
        <w:jc w:val="both"/>
      </w:pPr>
      <w:r>
        <w:rPr>
          <w:rStyle w:val="style16"/>
          <w:sz w:val="24"/>
          <w:szCs w:val="24"/>
        </w:rPr>
        <w:t>Prílohou tejto výročnej správy sú:</w:t>
      </w:r>
    </w:p>
    <w:p>
      <w:pPr>
        <w:pStyle w:val="style0"/>
        <w:ind w:hanging="0" w:left="0" w:right="0"/>
        <w:jc w:val="both"/>
      </w:pPr>
      <w:r>
        <w:rPr>
          <w:rStyle w:val="style16"/>
          <w:b w:val="false"/>
          <w:bCs w:val="false"/>
          <w:sz w:val="24"/>
          <w:szCs w:val="24"/>
        </w:rPr>
        <w:t>Účtovná závierka spoločnosti za rok 2016 (Súvaha, Výkaz ziskov a strát a Poznámky)</w:t>
      </w:r>
    </w:p>
    <w:p>
      <w:pPr>
        <w:pStyle w:val="style0"/>
        <w:ind w:hanging="0" w:left="0" w:right="0"/>
        <w:jc w:val="both"/>
      </w:pPr>
      <w:r>
        <w:rPr>
          <w:rStyle w:val="style16"/>
          <w:b w:val="false"/>
          <w:bCs w:val="false"/>
          <w:sz w:val="24"/>
          <w:szCs w:val="24"/>
        </w:rPr>
        <w:t>Správa audítora z overenia účtovnej závierky za rok 2016</w:t>
      </w:r>
    </w:p>
    <w:p>
      <w:pPr>
        <w:pStyle w:val="style0"/>
        <w:ind w:hanging="0" w:left="0" w:right="0"/>
        <w:jc w:val="both"/>
      </w:pPr>
      <w:r>
        <w:rPr/>
      </w:r>
    </w:p>
    <w:p>
      <w:pPr>
        <w:pStyle w:val="style0"/>
        <w:ind w:hanging="0" w:left="0" w:right="0"/>
        <w:jc w:val="both"/>
      </w:pPr>
      <w:r>
        <w:rPr/>
      </w:r>
    </w:p>
    <w:p>
      <w:pPr>
        <w:pStyle w:val="style0"/>
        <w:jc w:val="both"/>
      </w:pPr>
      <w:r>
        <w:rPr/>
      </w:r>
    </w:p>
    <w:p>
      <w:pPr>
        <w:pStyle w:val="style0"/>
        <w:jc w:val="both"/>
      </w:pPr>
      <w:r>
        <w:rPr/>
      </w:r>
    </w:p>
    <w:p>
      <w:pPr>
        <w:pStyle w:val="style0"/>
        <w:jc w:val="both"/>
      </w:pPr>
      <w:r>
        <w:rPr/>
      </w:r>
    </w:p>
    <w:p>
      <w:pPr>
        <w:pStyle w:val="style0"/>
        <w:jc w:val="both"/>
      </w:pPr>
      <w:r>
        <w:rPr/>
      </w:r>
    </w:p>
    <w:sectPr>
      <w:type w:val="nextPage"/>
      <w:pgSz w:h="16838" w:w="11906"/>
      <w:pgMar w:bottom="708" w:footer="0" w:gutter="0" w:header="0" w:left="1417" w:right="1417" w:top="1417"/>
      <w:pgNumType w:fmt="decimal"/>
      <w:formProt w:val="false"/>
      <w:titlePg/>
      <w:textDirection w:val="lrTb"/>
      <w:docGrid w:charSpace="4096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Wingdings">
    <w:charset w:val="02"/>
    <w:family w:val="auto"/>
    <w:pitch w:val="variable"/>
  </w:font>
  <w:font w:name="Courier New">
    <w:charset w:val="80"/>
    <w:family w:val="modern"/>
    <w:pitch w:val="fixed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>
  <w:abstractNum w:abstractNumId="1">
    <w:lvl w:ilvl="0">
      <w:start w:val="1"/>
      <w:numFmt w:val="bullet"/>
      <w:lvlText w:val=""/>
      <w:lvlJc w:val="left"/>
      <w:pPr>
        <w:ind w:hanging="360" w:left="360"/>
      </w:pPr>
      <w:rPr>
        <w:rFonts w:ascii="Wingdings" w:cs="Wingdings" w:hAnsi="Wingdings" w:hint="default"/>
      </w:rPr>
    </w:lvl>
    <w:lvl w:ilvl="1">
      <w:start w:val="1"/>
      <w:numFmt w:val="bullet"/>
      <w:lvlText w:val="o"/>
      <w:lvlJc w:val="left"/>
      <w:pPr>
        <w:ind w:hanging="360" w:left="1080"/>
      </w:pPr>
      <w:rPr>
        <w:rFonts w:ascii="Courier New" w:cs="Courier New" w:hAnsi="Courier New" w:hint="default"/>
      </w:rPr>
    </w:lvl>
    <w:lvl w:ilvl="2">
      <w:start w:val="1"/>
      <w:numFmt w:val="bullet"/>
      <w:lvlText w:val=""/>
      <w:lvlJc w:val="left"/>
      <w:pPr>
        <w:ind w:hanging="360" w:left="1800"/>
      </w:pPr>
      <w:rPr>
        <w:rFonts w:ascii="Wingdings" w:cs="Wingdings" w:hAnsi="Wingdings" w:hint="default"/>
      </w:rPr>
    </w:lvl>
    <w:lvl w:ilvl="3">
      <w:start w:val="1"/>
      <w:numFmt w:val="bullet"/>
      <w:lvlText w:val=""/>
      <w:lvlJc w:val="left"/>
      <w:pPr>
        <w:ind w:hanging="360" w:left="2520"/>
      </w:pPr>
      <w:rPr>
        <w:rFonts w:ascii="Symbol" w:cs="Symbol" w:hAnsi="Symbol" w:hint="default"/>
      </w:rPr>
    </w:lvl>
    <w:lvl w:ilvl="4">
      <w:start w:val="1"/>
      <w:numFmt w:val="bullet"/>
      <w:lvlText w:val="o"/>
      <w:lvlJc w:val="left"/>
      <w:pPr>
        <w:ind w:hanging="360" w:left="3240"/>
      </w:pPr>
      <w:rPr>
        <w:rFonts w:ascii="Courier New" w:cs="Courier New" w:hAnsi="Courier New" w:hint="default"/>
      </w:rPr>
    </w:lvl>
    <w:lvl w:ilvl="5">
      <w:start w:val="1"/>
      <w:numFmt w:val="bullet"/>
      <w:lvlText w:val=""/>
      <w:lvlJc w:val="left"/>
      <w:pPr>
        <w:ind w:hanging="360" w:left="3960"/>
      </w:pPr>
      <w:rPr>
        <w:rFonts w:ascii="Wingdings" w:cs="Wingdings" w:hAnsi="Wingdings" w:hint="default"/>
      </w:rPr>
    </w:lvl>
    <w:lvl w:ilvl="6">
      <w:start w:val="1"/>
      <w:numFmt w:val="bullet"/>
      <w:lvlText w:val=""/>
      <w:lvlJc w:val="left"/>
      <w:pPr>
        <w:ind w:hanging="360" w:left="4680"/>
      </w:pPr>
      <w:rPr>
        <w:rFonts w:ascii="Symbol" w:cs="Symbol" w:hAnsi="Symbol" w:hint="default"/>
      </w:rPr>
    </w:lvl>
    <w:lvl w:ilvl="7">
      <w:start w:val="1"/>
      <w:numFmt w:val="bullet"/>
      <w:lvlText w:val="o"/>
      <w:lvlJc w:val="left"/>
      <w:pPr>
        <w:ind w:hanging="360" w:left="5400"/>
      </w:pPr>
      <w:rPr>
        <w:rFonts w:ascii="Courier New" w:cs="Courier New" w:hAnsi="Courier New" w:hint="default"/>
      </w:rPr>
    </w:lvl>
    <w:lvl w:ilvl="8">
      <w:start w:val="1"/>
      <w:numFmt w:val="bullet"/>
      <w:lvlText w:val=""/>
      <w:lvlJc w:val="left"/>
      <w:pPr>
        <w:ind w:hanging="360" w:left="6120"/>
      </w:pPr>
      <w:rPr>
        <w:rFonts w:ascii="Wingdings" w:cs="Wingdings" w:hAnsi="Wingdings" w:hint="default"/>
      </w:rPr>
    </w:lvl>
  </w:abstractNum>
  <w:abstractNum w:abstractNumId="2">
    <w:lvl w:ilvl="0">
      <w:start w:val="1"/>
      <w:numFmt w:val="bullet"/>
      <w:lvlText w:val=""/>
      <w:lvlJc w:val="left"/>
      <w:pPr>
        <w:tabs>
          <w:tab w:pos="720" w:val="num"/>
        </w:tabs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Text w:val=""/>
      <w:lvlJc w:val="left"/>
      <w:pPr>
        <w:tabs>
          <w:tab w:pos="1080" w:val="num"/>
        </w:tabs>
        <w:ind w:hanging="360" w:left="1080"/>
      </w:pPr>
      <w:rPr>
        <w:rFonts w:ascii="Symbol" w:cs="Symbol" w:hAnsi="Symbol" w:hint="default"/>
      </w:rPr>
    </w:lvl>
    <w:lvl w:ilvl="2">
      <w:start w:val="1"/>
      <w:numFmt w:val="bullet"/>
      <w:lvlText w:val=""/>
      <w:lvlJc w:val="left"/>
      <w:pPr>
        <w:tabs>
          <w:tab w:pos="1440" w:val="num"/>
        </w:tabs>
        <w:ind w:hanging="360" w:left="1440"/>
      </w:pPr>
      <w:rPr>
        <w:rFonts w:ascii="Symbol" w:cs="Symbol" w:hAnsi="Symbol" w:hint="default"/>
      </w:rPr>
    </w:lvl>
    <w:lvl w:ilvl="3">
      <w:start w:val="1"/>
      <w:numFmt w:val="bullet"/>
      <w:lvlText w:val=""/>
      <w:lvlJc w:val="left"/>
      <w:pPr>
        <w:tabs>
          <w:tab w:pos="1800" w:val="num"/>
        </w:tabs>
        <w:ind w:hanging="360" w:left="1800"/>
      </w:pPr>
      <w:rPr>
        <w:rFonts w:ascii="Symbol" w:cs="Symbol" w:hAnsi="Symbol" w:hint="default"/>
      </w:rPr>
    </w:lvl>
    <w:lvl w:ilvl="4">
      <w:start w:val="1"/>
      <w:numFmt w:val="bullet"/>
      <w:lvlText w:val=""/>
      <w:lvlJc w:val="left"/>
      <w:pPr>
        <w:tabs>
          <w:tab w:pos="2160" w:val="num"/>
        </w:tabs>
        <w:ind w:hanging="360" w:left="2160"/>
      </w:pPr>
      <w:rPr>
        <w:rFonts w:ascii="Symbol" w:cs="Symbol" w:hAnsi="Symbol" w:hint="default"/>
      </w:rPr>
    </w:lvl>
    <w:lvl w:ilvl="5">
      <w:start w:val="1"/>
      <w:numFmt w:val="bullet"/>
      <w:lvlText w:val=""/>
      <w:lvlJc w:val="left"/>
      <w:pPr>
        <w:tabs>
          <w:tab w:pos="2520" w:val="num"/>
        </w:tabs>
        <w:ind w:hanging="360" w:left="2520"/>
      </w:pPr>
      <w:rPr>
        <w:rFonts w:ascii="Symbol" w:cs="Symbol" w:hAnsi="Symbol" w:hint="default"/>
      </w:rPr>
    </w:lvl>
    <w:lvl w:ilvl="6">
      <w:start w:val="1"/>
      <w:numFmt w:val="bullet"/>
      <w:lvlText w:val=""/>
      <w:lvlJc w:val="left"/>
      <w:pPr>
        <w:tabs>
          <w:tab w:pos="2880" w:val="num"/>
        </w:tabs>
        <w:ind w:hanging="360" w:left="2880"/>
      </w:pPr>
      <w:rPr>
        <w:rFonts w:ascii="Symbol" w:cs="Symbol" w:hAnsi="Symbol" w:hint="default"/>
      </w:rPr>
    </w:lvl>
    <w:lvl w:ilvl="7">
      <w:start w:val="1"/>
      <w:numFmt w:val="bullet"/>
      <w:lvlText w:val=""/>
      <w:lvlJc w:val="left"/>
      <w:pPr>
        <w:tabs>
          <w:tab w:pos="3240" w:val="num"/>
        </w:tabs>
        <w:ind w:hanging="360" w:left="3240"/>
      </w:pPr>
      <w:rPr>
        <w:rFonts w:ascii="Symbol" w:cs="Symbol" w:hAnsi="Symbol" w:hint="default"/>
      </w:rPr>
    </w:lvl>
    <w:lvl w:ilvl="8">
      <w:start w:val="1"/>
      <w:numFmt w:val="bullet"/>
      <w:lvlText w:val=""/>
      <w:lvlJc w:val="left"/>
      <w:pPr>
        <w:tabs>
          <w:tab w:pos="3600" w:val="num"/>
        </w:tabs>
        <w:ind w:hanging="360" w:left="3600"/>
      </w:pPr>
      <w:rPr>
        <w:rFonts w:ascii="Symbol" w:cs="Symbol" w:hAnsi="Symbol" w:hint="default"/>
      </w:rPr>
    </w:lvl>
  </w:abstractNum>
  <w:abstractNum w:abstractNumId="3">
    <w:lvl w:ilvl="0">
      <w:start w:val="3"/>
      <w:numFmt w:val="decimal"/>
      <w:lvlText w:val="%1)"/>
      <w:lvlJc w:val="left"/>
      <w:pPr>
        <w:tabs>
          <w:tab w:pos="720" w:val="num"/>
        </w:tabs>
        <w:ind w:hanging="360" w:left="720"/>
      </w:pPr>
      <w:rPr/>
    </w:lvl>
    <w:lvl w:ilvl="1">
      <w:start w:val="1"/>
      <w:numFmt w:val="decimal"/>
      <w:lvlText w:val="%2."/>
      <w:lvlJc w:val="left"/>
      <w:pPr>
        <w:tabs>
          <w:tab w:pos="1080" w:val="num"/>
        </w:tabs>
        <w:ind w:hanging="360" w:left="1080"/>
      </w:pPr>
    </w:lvl>
    <w:lvl w:ilvl="2">
      <w:start w:val="1"/>
      <w:numFmt w:val="decimal"/>
      <w:lvlText w:val="%3."/>
      <w:lvlJc w:val="left"/>
      <w:pPr>
        <w:tabs>
          <w:tab w:pos="1440" w:val="num"/>
        </w:tabs>
        <w:ind w:hanging="360" w:left="1440"/>
      </w:pPr>
    </w:lvl>
    <w:lvl w:ilvl="3">
      <w:start w:val="1"/>
      <w:numFmt w:val="decimal"/>
      <w:lvlText w:val="%4."/>
      <w:lvlJc w:val="left"/>
      <w:pPr>
        <w:tabs>
          <w:tab w:pos="1800" w:val="num"/>
        </w:tabs>
        <w:ind w:hanging="360" w:left="1800"/>
      </w:pPr>
    </w:lvl>
    <w:lvl w:ilvl="4">
      <w:start w:val="1"/>
      <w:numFmt w:val="decimal"/>
      <w:lvlText w:val="%5."/>
      <w:lvlJc w:val="left"/>
      <w:pPr>
        <w:tabs>
          <w:tab w:pos="2160" w:val="num"/>
        </w:tabs>
        <w:ind w:hanging="360" w:left="2160"/>
      </w:pPr>
    </w:lvl>
    <w:lvl w:ilvl="5">
      <w:start w:val="1"/>
      <w:numFmt w:val="decimal"/>
      <w:lvlText w:val="%6."/>
      <w:lvlJc w:val="left"/>
      <w:pPr>
        <w:tabs>
          <w:tab w:pos="2520" w:val="num"/>
        </w:tabs>
        <w:ind w:hanging="360" w:left="2520"/>
      </w:pPr>
    </w:lvl>
    <w:lvl w:ilvl="6">
      <w:start w:val="1"/>
      <w:numFmt w:val="decimal"/>
      <w:lvlText w:val="%7."/>
      <w:lvlJc w:val="left"/>
      <w:pPr>
        <w:tabs>
          <w:tab w:pos="2880" w:val="num"/>
        </w:tabs>
        <w:ind w:hanging="360" w:left="2880"/>
      </w:pPr>
    </w:lvl>
    <w:lvl w:ilvl="7">
      <w:start w:val="1"/>
      <w:numFmt w:val="decimal"/>
      <w:lvlText w:val="%8."/>
      <w:lvlJc w:val="left"/>
      <w:pPr>
        <w:tabs>
          <w:tab w:pos="3240" w:val="num"/>
        </w:tabs>
        <w:ind w:hanging="360" w:left="3240"/>
      </w:pPr>
    </w:lvl>
    <w:lvl w:ilvl="8">
      <w:start w:val="1"/>
      <w:numFmt w:val="decimal"/>
      <w:lvlText w:val="%9."/>
      <w:lvlJc w:val="left"/>
      <w:pPr>
        <w:tabs>
          <w:tab w:pos="3600" w:val="num"/>
        </w:tabs>
        <w:ind w:hanging="360" w:left="360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tyles.xml><?xml version="1.0" encoding="utf-8"?>
<w:styles xmlns:w="http://schemas.openxmlformats.org/wordprocessingml/2006/main">
  <w:style w:styleId="style0" w:type="paragraph">
    <w:name w:val="Východzie"/>
    <w:next w:val="style0"/>
    <w:pPr>
      <w:widowControl/>
      <w:tabs>
        <w:tab w:leader="none" w:pos="8499" w:val="left"/>
      </w:tabs>
      <w:suppressAutoHyphens w:val="true"/>
      <w:ind w:firstLine="709" w:left="7791" w:right="0"/>
    </w:pPr>
    <w:rPr>
      <w:rFonts w:ascii="Calibri" w:cs="Times New Roman" w:eastAsia="Calibri" w:hAnsi="Calibri"/>
      <w:color w:val="auto"/>
      <w:sz w:val="22"/>
      <w:szCs w:val="22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ra"/>
    <w:basedOn w:val="style15"/>
    <w:next w:val="style16"/>
    <w:rPr/>
  </w:style>
  <w:style w:styleId="style17" w:type="character">
    <w:name w:val="Hlavička Char"/>
    <w:next w:val="style17"/>
    <w:rPr>
      <w:sz w:val="22"/>
      <w:szCs w:val="22"/>
      <w:lang w:eastAsia="en-US"/>
    </w:rPr>
  </w:style>
  <w:style w:styleId="style18" w:type="character">
    <w:name w:val="Päta Char"/>
    <w:next w:val="style18"/>
    <w:rPr>
      <w:sz w:val="22"/>
      <w:szCs w:val="22"/>
      <w:lang w:eastAsia="en-US"/>
    </w:rPr>
  </w:style>
  <w:style w:styleId="style19" w:type="character">
    <w:name w:val="Text bubliny Char"/>
    <w:next w:val="style19"/>
    <w:rPr>
      <w:rFonts w:ascii="Tahoma" w:cs="Tahoma" w:hAnsi="Tahoma"/>
      <w:sz w:val="16"/>
      <w:szCs w:val="16"/>
      <w:lang w:eastAsia="en-US"/>
    </w:rPr>
  </w:style>
  <w:style w:styleId="style20" w:type="character">
    <w:name w:val="Bez riadkovania Char"/>
    <w:next w:val="style20"/>
    <w:rPr>
      <w:rFonts w:eastAsia="Times New Roman"/>
      <w:sz w:val="22"/>
      <w:szCs w:val="22"/>
      <w:lang w:bidi="ar-SA" w:eastAsia="en-US" w:val="sk-SK"/>
    </w:rPr>
  </w:style>
  <w:style w:styleId="style21" w:type="character">
    <w:name w:val="ListLabel 1"/>
    <w:next w:val="style21"/>
    <w:rPr>
      <w:rFonts w:cs="Courier New"/>
    </w:rPr>
  </w:style>
  <w:style w:styleId="style22" w:type="character">
    <w:name w:val="ListLabel 2"/>
    <w:next w:val="style22"/>
    <w:rPr>
      <w:rFonts w:cs="Times New Roman" w:eastAsia="Calibri"/>
    </w:rPr>
  </w:style>
  <w:style w:styleId="style23" w:type="character">
    <w:name w:val="ListLabel 3"/>
    <w:next w:val="style23"/>
    <w:rPr>
      <w:color w:val="00000A"/>
    </w:rPr>
  </w:style>
  <w:style w:styleId="style24" w:type="character">
    <w:name w:val="ListLabel 4"/>
    <w:next w:val="style24"/>
    <w:rPr>
      <w:sz w:val="20"/>
    </w:rPr>
  </w:style>
  <w:style w:styleId="style25" w:type="character">
    <w:name w:val="ListLabel 5"/>
    <w:next w:val="style25"/>
    <w:rPr>
      <w:rFonts w:cs="Calibri" w:eastAsia="Calibri"/>
    </w:rPr>
  </w:style>
  <w:style w:styleId="style26" w:type="character">
    <w:name w:val="WW8Num3z0"/>
    <w:next w:val="style26"/>
    <w:rPr>
      <w:rFonts w:ascii="Symbol" w:cs="Symbol" w:hAnsi="Symbol"/>
    </w:rPr>
  </w:style>
  <w:style w:styleId="style27" w:type="character">
    <w:name w:val="Symboly pre číslovanie"/>
    <w:next w:val="style27"/>
    <w:rPr/>
  </w:style>
  <w:style w:styleId="style28" w:type="paragraph">
    <w:name w:val="Nadpis"/>
    <w:basedOn w:val="style0"/>
    <w:next w:val="style29"/>
    <w:pPr>
      <w:keepNext/>
      <w:spacing w:after="120" w:before="240"/>
    </w:pPr>
    <w:rPr>
      <w:rFonts w:ascii="Arial" w:cs="Mangal" w:eastAsia="Microsoft YaHei" w:hAnsi="Arial"/>
      <w:sz w:val="28"/>
      <w:szCs w:val="28"/>
    </w:rPr>
  </w:style>
  <w:style w:styleId="style29" w:type="paragraph">
    <w:name w:val="Telo textu"/>
    <w:basedOn w:val="style0"/>
    <w:next w:val="style29"/>
    <w:pPr>
      <w:spacing w:after="120" w:before="0"/>
    </w:pPr>
    <w:rPr/>
  </w:style>
  <w:style w:styleId="style30" w:type="paragraph">
    <w:name w:val="Zoznam"/>
    <w:basedOn w:val="style29"/>
    <w:next w:val="style30"/>
    <w:pPr/>
    <w:rPr>
      <w:rFonts w:cs="Mangal"/>
    </w:rPr>
  </w:style>
  <w:style w:styleId="style31" w:type="paragraph">
    <w:name w:val="Popis"/>
    <w:basedOn w:val="style0"/>
    <w:next w:val="style31"/>
    <w:pPr>
      <w:suppressLineNumbers/>
      <w:spacing w:after="120" w:before="120"/>
    </w:pPr>
    <w:rPr>
      <w:rFonts w:cs="Mangal"/>
      <w:i/>
      <w:iCs/>
      <w:sz w:val="24"/>
      <w:szCs w:val="24"/>
    </w:rPr>
  </w:style>
  <w:style w:styleId="style32" w:type="paragraph">
    <w:name w:val="Index"/>
    <w:basedOn w:val="style0"/>
    <w:next w:val="style32"/>
    <w:pPr>
      <w:suppressLineNumbers/>
    </w:pPr>
    <w:rPr>
      <w:rFonts w:cs="Mangal"/>
    </w:rPr>
  </w:style>
  <w:style w:styleId="style33" w:type="paragraph">
    <w:name w:val="Normal (Web)"/>
    <w:basedOn w:val="style0"/>
    <w:next w:val="style33"/>
    <w:pPr>
      <w:spacing w:after="28" w:before="28"/>
      <w:ind w:hanging="0" w:left="0" w:right="0"/>
    </w:pPr>
    <w:rPr>
      <w:rFonts w:ascii="Times New Roman" w:eastAsia="Times New Roman" w:hAnsi="Times New Roman"/>
      <w:sz w:val="24"/>
      <w:szCs w:val="24"/>
      <w:lang w:eastAsia="cs-CZ" w:val="cs-CZ"/>
    </w:rPr>
  </w:style>
  <w:style w:styleId="style34" w:type="paragraph">
    <w:name w:val="Hlavička"/>
    <w:basedOn w:val="style0"/>
    <w:next w:val="style34"/>
    <w:pPr>
      <w:suppressLineNumbers/>
      <w:tabs>
        <w:tab w:leader="none" w:pos="12327" w:val="center"/>
        <w:tab w:leader="none" w:pos="16863" w:val="right"/>
      </w:tabs>
    </w:pPr>
    <w:rPr/>
  </w:style>
  <w:style w:styleId="style35" w:type="paragraph">
    <w:name w:val="Päta"/>
    <w:basedOn w:val="style0"/>
    <w:next w:val="style35"/>
    <w:pPr>
      <w:suppressLineNumbers/>
      <w:tabs>
        <w:tab w:leader="none" w:pos="12327" w:val="center"/>
        <w:tab w:leader="none" w:pos="16863" w:val="right"/>
      </w:tabs>
    </w:pPr>
    <w:rPr/>
  </w:style>
  <w:style w:styleId="style36" w:type="paragraph">
    <w:name w:val="Balloon Text"/>
    <w:basedOn w:val="style0"/>
    <w:next w:val="style36"/>
    <w:pPr/>
    <w:rPr>
      <w:rFonts w:ascii="Tahoma" w:cs="Tahoma" w:hAnsi="Tahoma"/>
      <w:sz w:val="16"/>
      <w:szCs w:val="16"/>
    </w:rPr>
  </w:style>
  <w:style w:styleId="style37" w:type="paragraph">
    <w:name w:val="No Spacing"/>
    <w:next w:val="style37"/>
    <w:pPr>
      <w:widowControl/>
      <w:tabs>
        <w:tab w:leader="none" w:pos="708" w:val="left"/>
      </w:tabs>
      <w:suppressAutoHyphens w:val="true"/>
    </w:pPr>
    <w:rPr>
      <w:rFonts w:ascii="Calibri" w:cs="Times New Roman" w:eastAsia="Times New Roman" w:hAnsi="Calibri"/>
      <w:color w:val="auto"/>
      <w:sz w:val="22"/>
      <w:szCs w:val="22"/>
      <w:lang w:bidi="ar-SA" w:eastAsia="en-US" w:val="sk-SK"/>
    </w:rPr>
  </w:style>
  <w:style w:styleId="style38" w:type="paragraph">
    <w:name w:val="ODSAD"/>
    <w:basedOn w:val="style0"/>
    <w:next w:val="style38"/>
    <w:pPr>
      <w:widowControl w:val="false"/>
      <w:tabs>
        <w:tab w:leader="none" w:pos="1134" w:val="left"/>
      </w:tabs>
      <w:autoSpaceDE w:val="false"/>
      <w:spacing w:after="40" w:before="40"/>
      <w:ind w:hanging="567" w:left="567" w:right="0"/>
      <w:jc w:val="both"/>
    </w:pPr>
    <w:rPr>
      <w:rFonts w:ascii="Arial" w:cs="Arial" w:eastAsia="Times New Roman" w:hAnsi="Arial"/>
      <w:sz w:val="20"/>
      <w:szCs w:val="20"/>
      <w:lang w:val="sk-SK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21.jpeg"/><Relationship Id="rId3" Type="http://schemas.openxmlformats.org/officeDocument/2006/relationships/numbering" Target="numbering.xml"/><Relationship Id="rId4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Application>LibreOffice/3.5$Windows_x86 LibreOffice_project/235ab8a-3802056-4a8fed3-2d66ea8-e241b80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2017-07-30T10:24:00.00Z</dcterms:created>
  <dc:creator>Administrator</dc:creator>
  <cp:lastModifiedBy>polacekova</cp:lastModifiedBy>
  <cp:lastPrinted>2016-04-05T10:36:00.00Z</cp:lastPrinted>
  <dcterms:modified xsi:type="dcterms:W3CDTF">2017-08-14T10:07:00.00Z</dcterms:modified>
  <cp:revision>4</cp:revision>
  <dc:subject>ALFA s.r.o.</dc:subject>
  <dc:title>Výročná správa 2014</dc:title>
</cp:coreProperties>
</file>