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CCA" w:rsidRPr="005D0ADD" w:rsidRDefault="00534CCA" w:rsidP="00534CCA">
      <w:pPr>
        <w:ind w:left="-180"/>
        <w:jc w:val="center"/>
        <w:rPr>
          <w:rFonts w:ascii="Arial Narrow" w:hAnsi="Arial Narrow"/>
        </w:rPr>
      </w:pPr>
    </w:p>
    <w:p w:rsidR="00534CCA" w:rsidRPr="005D0ADD" w:rsidRDefault="00534CCA" w:rsidP="00534CCA">
      <w:pPr>
        <w:ind w:left="-180"/>
        <w:jc w:val="center"/>
        <w:rPr>
          <w:rFonts w:ascii="Arial Narrow" w:hAnsi="Arial Narrow"/>
        </w:rPr>
      </w:pPr>
    </w:p>
    <w:p w:rsidR="00534CCA" w:rsidRPr="005D0ADD" w:rsidRDefault="00534CCA" w:rsidP="00534CCA">
      <w:pPr>
        <w:ind w:left="-180"/>
        <w:jc w:val="center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D0ADD" w:rsidRDefault="00534CCA" w:rsidP="00534CCA">
      <w:pPr>
        <w:ind w:left="900" w:right="1080"/>
        <w:jc w:val="center"/>
        <w:rPr>
          <w:rFonts w:ascii="Arial Narrow" w:hAnsi="Arial Narrow"/>
          <w:b/>
          <w:sz w:val="44"/>
          <w:szCs w:val="44"/>
        </w:rPr>
      </w:pPr>
      <w:r w:rsidRPr="005D0ADD">
        <w:rPr>
          <w:rFonts w:ascii="Arial Narrow" w:hAnsi="Arial Narrow"/>
          <w:b/>
          <w:sz w:val="44"/>
          <w:szCs w:val="44"/>
        </w:rPr>
        <w:t xml:space="preserve">Výročná správa za rok </w:t>
      </w:r>
      <w:r w:rsidR="005D0ADD" w:rsidRPr="005D0ADD">
        <w:rPr>
          <w:rFonts w:ascii="Arial Narrow" w:hAnsi="Arial Narrow"/>
          <w:b/>
          <w:sz w:val="44"/>
          <w:szCs w:val="44"/>
        </w:rPr>
        <w:t>201</w:t>
      </w:r>
      <w:r w:rsidR="00104B57">
        <w:rPr>
          <w:rFonts w:ascii="Arial Narrow" w:hAnsi="Arial Narrow"/>
          <w:b/>
          <w:sz w:val="44"/>
          <w:szCs w:val="44"/>
        </w:rPr>
        <w:t>6</w:t>
      </w:r>
      <w:r w:rsidRPr="005D0ADD">
        <w:rPr>
          <w:rFonts w:ascii="Arial Narrow" w:hAnsi="Arial Narrow"/>
          <w:b/>
          <w:sz w:val="44"/>
          <w:szCs w:val="44"/>
        </w:rPr>
        <w:t xml:space="preserve"> </w:t>
      </w:r>
    </w:p>
    <w:p w:rsidR="005D0ADD" w:rsidRDefault="005D0ADD" w:rsidP="00534CCA">
      <w:pPr>
        <w:ind w:left="900" w:right="1080"/>
        <w:jc w:val="center"/>
        <w:rPr>
          <w:rFonts w:ascii="Arial Narrow" w:hAnsi="Arial Narrow"/>
          <w:b/>
          <w:sz w:val="44"/>
          <w:szCs w:val="44"/>
        </w:rPr>
      </w:pPr>
    </w:p>
    <w:p w:rsidR="005D0ADD" w:rsidRDefault="005D0ADD" w:rsidP="00534CCA">
      <w:pPr>
        <w:ind w:left="900" w:right="1080"/>
        <w:jc w:val="center"/>
        <w:rPr>
          <w:rFonts w:ascii="Arial Narrow" w:hAnsi="Arial Narrow"/>
          <w:b/>
          <w:sz w:val="44"/>
          <w:szCs w:val="44"/>
        </w:rPr>
      </w:pPr>
    </w:p>
    <w:p w:rsidR="005D0ADD" w:rsidRPr="005D0ADD" w:rsidRDefault="005D0ADD" w:rsidP="005D0ADD">
      <w:pPr>
        <w:rPr>
          <w:rFonts w:ascii="Arial Narrow" w:hAnsi="Arial Narrow" w:cs="Calibri"/>
          <w:sz w:val="32"/>
          <w:szCs w:val="32"/>
        </w:rPr>
      </w:pPr>
    </w:p>
    <w:p w:rsidR="005D0ADD" w:rsidRPr="005D0ADD" w:rsidRDefault="00EA20FA" w:rsidP="005D0ADD">
      <w:pPr>
        <w:tabs>
          <w:tab w:val="num" w:pos="0"/>
        </w:tabs>
        <w:jc w:val="center"/>
        <w:rPr>
          <w:rFonts w:ascii="Arial Narrow" w:hAnsi="Arial Narrow" w:cs="Calibri"/>
          <w:b/>
          <w:sz w:val="32"/>
          <w:szCs w:val="32"/>
        </w:rPr>
      </w:pPr>
      <w:r>
        <w:rPr>
          <w:rFonts w:ascii="Arial Narrow" w:hAnsi="Arial Narrow" w:cs="Calibri"/>
          <w:b/>
          <w:sz w:val="32"/>
          <w:szCs w:val="32"/>
        </w:rPr>
        <w:t>A</w:t>
      </w:r>
      <w:r w:rsidR="009B4D8F">
        <w:rPr>
          <w:rFonts w:ascii="Arial Narrow" w:hAnsi="Arial Narrow" w:cs="Calibri"/>
          <w:b/>
          <w:sz w:val="32"/>
          <w:szCs w:val="32"/>
        </w:rPr>
        <w:t>MG,</w:t>
      </w:r>
      <w:r w:rsidR="005D0ADD" w:rsidRPr="005D0ADD">
        <w:rPr>
          <w:rFonts w:ascii="Arial Narrow" w:hAnsi="Arial Narrow" w:cs="Calibri"/>
          <w:b/>
          <w:sz w:val="32"/>
          <w:szCs w:val="32"/>
        </w:rPr>
        <w:t xml:space="preserve"> s.r.o.</w:t>
      </w:r>
    </w:p>
    <w:p w:rsidR="005D0ADD" w:rsidRPr="005D0ADD" w:rsidRDefault="005D0ADD" w:rsidP="005D0ADD">
      <w:pPr>
        <w:tabs>
          <w:tab w:val="num" w:pos="0"/>
        </w:tabs>
        <w:jc w:val="center"/>
        <w:rPr>
          <w:rFonts w:ascii="Arial Narrow" w:hAnsi="Arial Narrow" w:cs="Calibri"/>
          <w:b/>
          <w:sz w:val="32"/>
          <w:szCs w:val="32"/>
        </w:rPr>
      </w:pPr>
      <w:r w:rsidRPr="005D0ADD">
        <w:rPr>
          <w:rFonts w:ascii="Arial Narrow" w:hAnsi="Arial Narrow" w:cs="Calibri"/>
          <w:b/>
          <w:sz w:val="32"/>
          <w:szCs w:val="32"/>
        </w:rPr>
        <w:t xml:space="preserve">so sídlom </w:t>
      </w:r>
      <w:r w:rsidR="009B4D8F">
        <w:rPr>
          <w:rFonts w:ascii="Arial Narrow" w:hAnsi="Arial Narrow" w:cs="Calibri"/>
          <w:b/>
          <w:sz w:val="32"/>
          <w:szCs w:val="32"/>
        </w:rPr>
        <w:t>Timravina 1</w:t>
      </w:r>
      <w:r w:rsidRPr="005D0ADD">
        <w:rPr>
          <w:rFonts w:ascii="Arial Narrow" w:hAnsi="Arial Narrow" w:cs="Calibri"/>
          <w:b/>
          <w:sz w:val="32"/>
          <w:szCs w:val="32"/>
        </w:rPr>
        <w:t>, 8</w:t>
      </w:r>
      <w:r w:rsidR="009B4D8F">
        <w:rPr>
          <w:rFonts w:ascii="Arial Narrow" w:hAnsi="Arial Narrow" w:cs="Calibri"/>
          <w:b/>
          <w:sz w:val="32"/>
          <w:szCs w:val="32"/>
        </w:rPr>
        <w:t>1</w:t>
      </w:r>
      <w:r w:rsidRPr="005D0ADD">
        <w:rPr>
          <w:rFonts w:ascii="Arial Narrow" w:hAnsi="Arial Narrow" w:cs="Calibri"/>
          <w:b/>
          <w:sz w:val="32"/>
          <w:szCs w:val="32"/>
        </w:rPr>
        <w:t>1 0</w:t>
      </w:r>
      <w:r w:rsidR="009B4D8F">
        <w:rPr>
          <w:rFonts w:ascii="Arial Narrow" w:hAnsi="Arial Narrow" w:cs="Calibri"/>
          <w:b/>
          <w:sz w:val="32"/>
          <w:szCs w:val="32"/>
        </w:rPr>
        <w:t>6</w:t>
      </w:r>
      <w:r w:rsidRPr="005D0ADD">
        <w:rPr>
          <w:rFonts w:ascii="Arial Narrow" w:hAnsi="Arial Narrow" w:cs="Calibri"/>
          <w:b/>
          <w:sz w:val="32"/>
          <w:szCs w:val="32"/>
        </w:rPr>
        <w:t xml:space="preserve"> Bratislava</w:t>
      </w:r>
    </w:p>
    <w:p w:rsidR="00534CCA" w:rsidRPr="005D0ADD" w:rsidRDefault="00534CCA" w:rsidP="005D0ADD">
      <w:pPr>
        <w:ind w:left="900" w:right="1080"/>
        <w:jc w:val="center"/>
        <w:rPr>
          <w:rFonts w:ascii="Arial Narrow" w:hAnsi="Arial Narrow"/>
          <w:b/>
          <w:sz w:val="32"/>
          <w:szCs w:val="32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  <w:r w:rsidRPr="005D0ADD">
        <w:rPr>
          <w:rFonts w:ascii="Arial Narrow" w:hAnsi="Arial Narrow"/>
        </w:rPr>
        <w:t xml:space="preserve">                                                                                                                                                                                                    </w:t>
      </w: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9A341E" w:rsidP="00534CCA">
      <w:pPr>
        <w:ind w:left="900" w:right="1080"/>
        <w:rPr>
          <w:rFonts w:ascii="Arial Narrow" w:hAnsi="Arial Narrow"/>
          <w:b/>
          <w:sz w:val="32"/>
          <w:szCs w:val="32"/>
        </w:rPr>
      </w:pPr>
      <w:r w:rsidRPr="005D0ADD">
        <w:rPr>
          <w:rFonts w:ascii="Arial Narrow" w:hAnsi="Arial Narrow"/>
          <w:b/>
          <w:sz w:val="32"/>
          <w:szCs w:val="32"/>
        </w:rPr>
        <w:t>OBSAH</w:t>
      </w:r>
    </w:p>
    <w:p w:rsidR="00366C6A" w:rsidRPr="005D0ADD" w:rsidRDefault="00366C6A" w:rsidP="00534CCA">
      <w:pPr>
        <w:ind w:left="900" w:right="1080"/>
        <w:rPr>
          <w:rFonts w:ascii="Arial Narrow" w:hAnsi="Arial Narrow"/>
          <w:b/>
          <w:sz w:val="32"/>
          <w:szCs w:val="32"/>
        </w:rPr>
      </w:pPr>
    </w:p>
    <w:p w:rsidR="00366C6A" w:rsidRPr="005D0ADD" w:rsidRDefault="00366C6A" w:rsidP="00534CCA">
      <w:pPr>
        <w:ind w:left="900" w:right="1080"/>
        <w:rPr>
          <w:rFonts w:ascii="Arial Narrow" w:hAnsi="Arial Narrow"/>
          <w:b/>
          <w:sz w:val="32"/>
          <w:szCs w:val="32"/>
        </w:rPr>
      </w:pPr>
    </w:p>
    <w:p w:rsidR="00790B41" w:rsidRPr="005D0ADD" w:rsidRDefault="00790B41" w:rsidP="00534CCA">
      <w:pPr>
        <w:ind w:left="900" w:right="1080"/>
        <w:rPr>
          <w:rFonts w:ascii="Arial Narrow" w:hAnsi="Arial Narrow"/>
          <w:b/>
          <w:sz w:val="32"/>
          <w:szCs w:val="32"/>
        </w:rPr>
      </w:pPr>
    </w:p>
    <w:p w:rsidR="00790B41" w:rsidRPr="005D0ADD" w:rsidRDefault="00790B41" w:rsidP="00534CCA">
      <w:pPr>
        <w:ind w:left="900" w:right="1080"/>
        <w:rPr>
          <w:rFonts w:ascii="Arial Narrow" w:hAnsi="Arial Narrow"/>
          <w:b/>
          <w:sz w:val="32"/>
          <w:szCs w:val="32"/>
        </w:rPr>
      </w:pPr>
    </w:p>
    <w:p w:rsidR="00366C6A" w:rsidRPr="005D0ADD" w:rsidRDefault="00366C6A" w:rsidP="00534CCA">
      <w:pPr>
        <w:ind w:left="900" w:right="1080"/>
        <w:rPr>
          <w:rFonts w:ascii="Arial Narrow" w:hAnsi="Arial Narrow"/>
          <w:b/>
          <w:sz w:val="32"/>
          <w:szCs w:val="32"/>
        </w:rPr>
      </w:pPr>
    </w:p>
    <w:p w:rsidR="00366C6A" w:rsidRPr="005D0ADD" w:rsidRDefault="00366C6A" w:rsidP="00534CCA">
      <w:pPr>
        <w:ind w:left="900" w:right="1080"/>
        <w:rPr>
          <w:rFonts w:ascii="Arial Narrow" w:hAnsi="Arial Narrow"/>
          <w:b/>
          <w:sz w:val="32"/>
          <w:szCs w:val="32"/>
        </w:rPr>
      </w:pPr>
      <w:r w:rsidRPr="005D0ADD">
        <w:rPr>
          <w:rFonts w:ascii="Arial Narrow" w:hAnsi="Arial Narrow"/>
          <w:b/>
          <w:sz w:val="32"/>
          <w:szCs w:val="32"/>
        </w:rPr>
        <w:t>Výročná správa</w:t>
      </w:r>
    </w:p>
    <w:p w:rsidR="00366C6A" w:rsidRPr="005D0ADD" w:rsidRDefault="00366C6A" w:rsidP="00534CCA">
      <w:pPr>
        <w:ind w:left="900" w:right="1080"/>
        <w:rPr>
          <w:rFonts w:ascii="Arial Narrow" w:hAnsi="Arial Narrow"/>
          <w:b/>
          <w:sz w:val="32"/>
          <w:szCs w:val="32"/>
        </w:rPr>
      </w:pPr>
    </w:p>
    <w:p w:rsidR="00366C6A" w:rsidRPr="005D0ADD" w:rsidRDefault="00366C6A" w:rsidP="00534CCA">
      <w:pPr>
        <w:ind w:left="900" w:right="1080"/>
        <w:rPr>
          <w:rFonts w:ascii="Arial Narrow" w:hAnsi="Arial Narrow"/>
          <w:b/>
          <w:sz w:val="32"/>
          <w:szCs w:val="32"/>
        </w:rPr>
      </w:pPr>
      <w:r w:rsidRPr="005D0ADD">
        <w:rPr>
          <w:rFonts w:ascii="Arial Narrow" w:hAnsi="Arial Narrow"/>
          <w:b/>
          <w:sz w:val="32"/>
          <w:szCs w:val="32"/>
        </w:rPr>
        <w:t xml:space="preserve">Správa audítora </w:t>
      </w:r>
    </w:p>
    <w:p w:rsidR="00366C6A" w:rsidRPr="005D0ADD" w:rsidRDefault="00366C6A" w:rsidP="00534CCA">
      <w:pPr>
        <w:ind w:left="900" w:right="1080"/>
        <w:rPr>
          <w:rFonts w:ascii="Arial Narrow" w:hAnsi="Arial Narrow"/>
          <w:b/>
          <w:sz w:val="32"/>
          <w:szCs w:val="32"/>
        </w:rPr>
      </w:pPr>
    </w:p>
    <w:p w:rsidR="00366C6A" w:rsidRPr="005D0ADD" w:rsidRDefault="00366C6A" w:rsidP="00534CCA">
      <w:pPr>
        <w:ind w:left="900" w:right="1080"/>
        <w:rPr>
          <w:rFonts w:ascii="Arial Narrow" w:hAnsi="Arial Narrow"/>
          <w:b/>
          <w:sz w:val="32"/>
          <w:szCs w:val="32"/>
        </w:rPr>
      </w:pPr>
      <w:r w:rsidRPr="005D0ADD">
        <w:rPr>
          <w:rFonts w:ascii="Arial Narrow" w:hAnsi="Arial Narrow"/>
          <w:b/>
          <w:sz w:val="32"/>
          <w:szCs w:val="32"/>
        </w:rPr>
        <w:t>Účtovná závierka k 31.12.</w:t>
      </w:r>
      <w:r w:rsidR="005D0ADD" w:rsidRPr="005D0ADD">
        <w:rPr>
          <w:rFonts w:ascii="Arial Narrow" w:hAnsi="Arial Narrow"/>
          <w:b/>
          <w:sz w:val="32"/>
          <w:szCs w:val="32"/>
        </w:rPr>
        <w:t>201</w:t>
      </w:r>
      <w:r w:rsidR="00104B57">
        <w:rPr>
          <w:rFonts w:ascii="Arial Narrow" w:hAnsi="Arial Narrow"/>
          <w:b/>
          <w:sz w:val="32"/>
          <w:szCs w:val="32"/>
        </w:rPr>
        <w:t>6</w:t>
      </w:r>
    </w:p>
    <w:p w:rsidR="005E19AC" w:rsidRPr="005D0ADD" w:rsidRDefault="005E19AC" w:rsidP="00534CCA">
      <w:pPr>
        <w:ind w:left="900" w:right="1080"/>
        <w:rPr>
          <w:rFonts w:ascii="Arial Narrow" w:hAnsi="Arial Narrow"/>
          <w:b/>
          <w:sz w:val="32"/>
          <w:szCs w:val="32"/>
        </w:rPr>
      </w:pPr>
    </w:p>
    <w:p w:rsidR="00366C6A" w:rsidRPr="005D0ADD" w:rsidRDefault="00366C6A" w:rsidP="00534CCA">
      <w:pPr>
        <w:ind w:left="900" w:right="1080"/>
        <w:rPr>
          <w:rFonts w:ascii="Arial Narrow" w:hAnsi="Arial Narrow"/>
          <w:b/>
          <w:sz w:val="32"/>
          <w:szCs w:val="32"/>
        </w:rPr>
      </w:pPr>
    </w:p>
    <w:p w:rsidR="00366C6A" w:rsidRPr="005D0ADD" w:rsidRDefault="00366C6A" w:rsidP="00534CCA">
      <w:pPr>
        <w:ind w:left="900" w:right="1080"/>
        <w:rPr>
          <w:rFonts w:ascii="Arial Narrow" w:hAnsi="Arial Narrow"/>
        </w:rPr>
      </w:pPr>
      <w:r w:rsidRPr="005D0ADD">
        <w:rPr>
          <w:rFonts w:ascii="Arial Narrow" w:hAnsi="Arial Narrow"/>
          <w:b/>
          <w:sz w:val="32"/>
          <w:szCs w:val="32"/>
        </w:rPr>
        <w:t xml:space="preserve"> </w:t>
      </w: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900" w:right="1080"/>
        <w:rPr>
          <w:rFonts w:ascii="Arial Narrow" w:hAnsi="Arial Narrow"/>
        </w:rPr>
      </w:pPr>
    </w:p>
    <w:p w:rsidR="00534CCA" w:rsidRPr="005D0ADD" w:rsidRDefault="00534CCA" w:rsidP="00534CCA">
      <w:pPr>
        <w:ind w:left="720" w:right="1080"/>
        <w:rPr>
          <w:rFonts w:ascii="Arial Narrow" w:hAnsi="Arial Narrow"/>
          <w:b/>
          <w:sz w:val="28"/>
          <w:szCs w:val="28"/>
        </w:rPr>
      </w:pPr>
    </w:p>
    <w:p w:rsidR="00534CCA" w:rsidRPr="005D0ADD" w:rsidRDefault="00534CCA" w:rsidP="00534CCA">
      <w:pPr>
        <w:ind w:right="1080"/>
        <w:rPr>
          <w:rFonts w:ascii="Arial Narrow" w:hAnsi="Arial Narrow"/>
          <w:b/>
          <w:sz w:val="28"/>
          <w:szCs w:val="28"/>
        </w:rPr>
      </w:pPr>
    </w:p>
    <w:p w:rsidR="00534CCA" w:rsidRPr="005D0ADD" w:rsidRDefault="00534CCA" w:rsidP="00534CCA">
      <w:pPr>
        <w:ind w:right="1080"/>
        <w:rPr>
          <w:rFonts w:ascii="Arial Narrow" w:hAnsi="Arial Narrow"/>
          <w:b/>
          <w:sz w:val="28"/>
          <w:szCs w:val="28"/>
        </w:rPr>
      </w:pPr>
    </w:p>
    <w:p w:rsidR="00534CCA" w:rsidRPr="005D0ADD" w:rsidRDefault="00534CCA" w:rsidP="00534CCA">
      <w:pPr>
        <w:ind w:left="900" w:right="720"/>
        <w:rPr>
          <w:rFonts w:ascii="Arial Narrow" w:hAnsi="Arial Narrow"/>
          <w:b/>
          <w:sz w:val="28"/>
          <w:szCs w:val="28"/>
        </w:rPr>
      </w:pPr>
    </w:p>
    <w:p w:rsidR="00534CCA" w:rsidRPr="005D0ADD" w:rsidRDefault="00534CCA" w:rsidP="00534CCA">
      <w:pPr>
        <w:rPr>
          <w:rFonts w:ascii="Arial Narrow" w:hAnsi="Arial Narrow"/>
        </w:rPr>
      </w:pPr>
      <w:r w:rsidRPr="005D0ADD">
        <w:rPr>
          <w:rFonts w:ascii="Arial Narrow" w:hAnsi="Arial Narrow"/>
          <w:b/>
          <w:bCs/>
          <w:sz w:val="28"/>
        </w:rPr>
        <w:tab/>
      </w:r>
    </w:p>
    <w:p w:rsidR="00534CCA" w:rsidRPr="005D0ADD" w:rsidRDefault="00534CCA" w:rsidP="009A341E">
      <w:pPr>
        <w:pStyle w:val="Nadpis2"/>
        <w:rPr>
          <w:rFonts w:ascii="Arial Narrow" w:hAnsi="Arial Narrow"/>
          <w:b w:val="0"/>
          <w:bCs/>
          <w:sz w:val="28"/>
        </w:rPr>
      </w:pPr>
      <w:r w:rsidRPr="005D0ADD">
        <w:rPr>
          <w:rFonts w:ascii="Arial Narrow" w:hAnsi="Arial Narrow"/>
          <w:b w:val="0"/>
          <w:bCs/>
          <w:sz w:val="28"/>
        </w:rPr>
        <w:tab/>
      </w:r>
    </w:p>
    <w:p w:rsidR="009A341E" w:rsidRPr="005D0ADD" w:rsidRDefault="009A341E" w:rsidP="009A341E">
      <w:pPr>
        <w:rPr>
          <w:rFonts w:ascii="Arial Narrow" w:hAnsi="Arial Narrow"/>
          <w:lang w:val="cs-CZ" w:eastAsia="cs-CZ"/>
        </w:rPr>
      </w:pPr>
    </w:p>
    <w:p w:rsidR="009A341E" w:rsidRPr="005D0ADD" w:rsidRDefault="009A341E" w:rsidP="009A341E">
      <w:pPr>
        <w:rPr>
          <w:rFonts w:ascii="Arial Narrow" w:hAnsi="Arial Narrow"/>
          <w:lang w:val="cs-CZ" w:eastAsia="cs-CZ"/>
        </w:rPr>
      </w:pPr>
    </w:p>
    <w:p w:rsidR="009A341E" w:rsidRPr="005D0ADD" w:rsidRDefault="009A341E" w:rsidP="009A341E">
      <w:pPr>
        <w:rPr>
          <w:rFonts w:ascii="Arial Narrow" w:hAnsi="Arial Narrow"/>
          <w:lang w:val="cs-CZ" w:eastAsia="cs-CZ"/>
        </w:rPr>
      </w:pPr>
    </w:p>
    <w:p w:rsidR="009A341E" w:rsidRPr="005D0ADD" w:rsidRDefault="009A341E" w:rsidP="009A341E">
      <w:pPr>
        <w:rPr>
          <w:rFonts w:ascii="Arial Narrow" w:hAnsi="Arial Narrow"/>
          <w:lang w:val="cs-CZ" w:eastAsia="cs-CZ"/>
        </w:rPr>
      </w:pPr>
    </w:p>
    <w:p w:rsidR="007631E6" w:rsidRPr="005D0ADD" w:rsidRDefault="007631E6" w:rsidP="009A341E">
      <w:pPr>
        <w:rPr>
          <w:rFonts w:ascii="Arial Narrow" w:hAnsi="Arial Narrow"/>
          <w:lang w:val="cs-CZ" w:eastAsia="cs-CZ"/>
        </w:rPr>
      </w:pPr>
    </w:p>
    <w:p w:rsidR="007631E6" w:rsidRPr="005D0ADD" w:rsidRDefault="007631E6" w:rsidP="009A341E">
      <w:pPr>
        <w:rPr>
          <w:rFonts w:ascii="Arial Narrow" w:hAnsi="Arial Narrow"/>
          <w:lang w:val="cs-CZ" w:eastAsia="cs-CZ"/>
        </w:rPr>
      </w:pPr>
    </w:p>
    <w:p w:rsidR="007631E6" w:rsidRPr="005D0ADD" w:rsidRDefault="007631E6" w:rsidP="009A341E">
      <w:pPr>
        <w:rPr>
          <w:rFonts w:ascii="Arial Narrow" w:hAnsi="Arial Narrow"/>
          <w:lang w:val="cs-CZ" w:eastAsia="cs-CZ"/>
        </w:rPr>
      </w:pPr>
    </w:p>
    <w:p w:rsidR="007631E6" w:rsidRPr="005D0ADD" w:rsidRDefault="007631E6" w:rsidP="009A341E">
      <w:pPr>
        <w:rPr>
          <w:rFonts w:ascii="Arial Narrow" w:hAnsi="Arial Narrow"/>
          <w:lang w:val="cs-CZ" w:eastAsia="cs-CZ"/>
        </w:rPr>
      </w:pPr>
    </w:p>
    <w:p w:rsidR="007631E6" w:rsidRPr="005D0ADD" w:rsidRDefault="007631E6" w:rsidP="009A341E">
      <w:pPr>
        <w:rPr>
          <w:rFonts w:ascii="Arial Narrow" w:hAnsi="Arial Narrow"/>
          <w:lang w:val="cs-CZ" w:eastAsia="cs-CZ"/>
        </w:rPr>
      </w:pPr>
    </w:p>
    <w:p w:rsidR="007631E6" w:rsidRPr="005D0ADD" w:rsidRDefault="007631E6" w:rsidP="009A341E">
      <w:pPr>
        <w:rPr>
          <w:rFonts w:ascii="Arial Narrow" w:hAnsi="Arial Narrow"/>
          <w:lang w:val="cs-CZ" w:eastAsia="cs-CZ"/>
        </w:rPr>
      </w:pPr>
    </w:p>
    <w:p w:rsidR="007631E6" w:rsidRPr="005D0ADD" w:rsidRDefault="007631E6" w:rsidP="009A341E">
      <w:pPr>
        <w:rPr>
          <w:rFonts w:ascii="Arial Narrow" w:hAnsi="Arial Narrow"/>
          <w:lang w:val="cs-CZ" w:eastAsia="cs-CZ"/>
        </w:rPr>
      </w:pPr>
    </w:p>
    <w:p w:rsidR="007631E6" w:rsidRPr="005D0ADD" w:rsidRDefault="007631E6" w:rsidP="009A341E">
      <w:pPr>
        <w:rPr>
          <w:rFonts w:ascii="Arial Narrow" w:hAnsi="Arial Narrow"/>
          <w:lang w:val="cs-CZ" w:eastAsia="cs-CZ"/>
        </w:rPr>
      </w:pPr>
    </w:p>
    <w:p w:rsidR="007631E6" w:rsidRPr="005D0ADD" w:rsidRDefault="007631E6" w:rsidP="009A341E">
      <w:pPr>
        <w:rPr>
          <w:rFonts w:ascii="Arial Narrow" w:hAnsi="Arial Narrow"/>
          <w:lang w:val="cs-CZ" w:eastAsia="cs-CZ"/>
        </w:rPr>
      </w:pPr>
    </w:p>
    <w:p w:rsidR="007631E6" w:rsidRPr="005D0ADD" w:rsidRDefault="007631E6" w:rsidP="009A341E">
      <w:pPr>
        <w:rPr>
          <w:rFonts w:ascii="Arial Narrow" w:hAnsi="Arial Narrow"/>
          <w:lang w:val="cs-CZ" w:eastAsia="cs-CZ"/>
        </w:rPr>
      </w:pPr>
    </w:p>
    <w:p w:rsidR="0064714C" w:rsidRPr="005D0ADD" w:rsidRDefault="0064714C" w:rsidP="0064714C">
      <w:pPr>
        <w:pStyle w:val="Nadpis7"/>
        <w:jc w:val="both"/>
        <w:rPr>
          <w:rFonts w:ascii="Arial Narrow" w:hAnsi="Arial Narrow"/>
          <w:caps/>
          <w:color w:val="auto"/>
          <w:sz w:val="22"/>
          <w:szCs w:val="22"/>
        </w:rPr>
      </w:pPr>
      <w:r w:rsidRPr="005D0ADD">
        <w:rPr>
          <w:rFonts w:ascii="Arial Narrow" w:hAnsi="Arial Narrow"/>
          <w:caps/>
          <w:color w:val="auto"/>
          <w:sz w:val="22"/>
          <w:szCs w:val="22"/>
        </w:rPr>
        <w:lastRenderedPageBreak/>
        <w:t>Charakteristika spoločnosti</w:t>
      </w:r>
    </w:p>
    <w:p w:rsidR="005D0ADD" w:rsidRDefault="007631E6" w:rsidP="0064714C">
      <w:pPr>
        <w:jc w:val="both"/>
        <w:rPr>
          <w:rFonts w:ascii="Arial Narrow" w:hAnsi="Arial Narrow" w:cs="Tahoma"/>
          <w:iCs/>
          <w:sz w:val="22"/>
          <w:szCs w:val="22"/>
        </w:rPr>
      </w:pPr>
      <w:r w:rsidRPr="005D0ADD">
        <w:rPr>
          <w:rFonts w:ascii="Arial Narrow" w:hAnsi="Arial Narrow" w:cs="Tahoma"/>
          <w:iCs/>
          <w:sz w:val="22"/>
          <w:szCs w:val="22"/>
        </w:rPr>
        <w:t>S</w:t>
      </w:r>
      <w:r w:rsidR="0064714C" w:rsidRPr="005D0ADD">
        <w:rPr>
          <w:rFonts w:ascii="Arial Narrow" w:hAnsi="Arial Narrow" w:cs="Tahoma"/>
          <w:iCs/>
          <w:sz w:val="22"/>
          <w:szCs w:val="22"/>
        </w:rPr>
        <w:t xml:space="preserve">poločnosť </w:t>
      </w:r>
      <w:r w:rsidR="00EA20FA">
        <w:rPr>
          <w:rFonts w:ascii="Arial Narrow" w:hAnsi="Arial Narrow" w:cs="Tahoma"/>
          <w:iCs/>
          <w:sz w:val="22"/>
          <w:szCs w:val="22"/>
        </w:rPr>
        <w:t>A</w:t>
      </w:r>
      <w:r w:rsidR="009B4D8F">
        <w:rPr>
          <w:rFonts w:ascii="Arial Narrow" w:hAnsi="Arial Narrow" w:cs="Tahoma"/>
          <w:iCs/>
          <w:sz w:val="22"/>
          <w:szCs w:val="22"/>
        </w:rPr>
        <w:t>MG,</w:t>
      </w:r>
      <w:r w:rsidR="00B537B2">
        <w:rPr>
          <w:rFonts w:ascii="Arial Narrow" w:hAnsi="Arial Narrow" w:cs="Tahoma"/>
          <w:iCs/>
          <w:sz w:val="22"/>
          <w:szCs w:val="22"/>
        </w:rPr>
        <w:t xml:space="preserve"> s.r.o. </w:t>
      </w:r>
      <w:r w:rsidR="0064714C" w:rsidRPr="005D0ADD">
        <w:rPr>
          <w:rFonts w:ascii="Arial Narrow" w:hAnsi="Arial Narrow" w:cs="Tahoma"/>
          <w:iCs/>
          <w:sz w:val="22"/>
          <w:szCs w:val="22"/>
        </w:rPr>
        <w:t xml:space="preserve">bola </w:t>
      </w:r>
      <w:r w:rsidR="00B537B2">
        <w:rPr>
          <w:rFonts w:ascii="Arial Narrow" w:hAnsi="Arial Narrow" w:cs="Tahoma"/>
          <w:iCs/>
          <w:sz w:val="22"/>
          <w:szCs w:val="22"/>
        </w:rPr>
        <w:t>založená spoločenskou zmluvou dňa 14.08.2001</w:t>
      </w:r>
      <w:r w:rsidR="0032180A">
        <w:rPr>
          <w:rFonts w:ascii="Arial Narrow" w:hAnsi="Arial Narrow" w:cs="Tahoma"/>
          <w:iCs/>
          <w:sz w:val="22"/>
          <w:szCs w:val="22"/>
        </w:rPr>
        <w:t>. D</w:t>
      </w:r>
      <w:r w:rsidR="00B537B2">
        <w:rPr>
          <w:rFonts w:ascii="Arial Narrow" w:hAnsi="Arial Narrow" w:cs="Tahoma"/>
          <w:iCs/>
          <w:sz w:val="22"/>
          <w:szCs w:val="22"/>
        </w:rPr>
        <w:t>o Obchodného registra Okresného súdu Bratislava I v</w:t>
      </w:r>
      <w:r w:rsidR="0032180A">
        <w:rPr>
          <w:rFonts w:ascii="Arial Narrow" w:hAnsi="Arial Narrow" w:cs="Tahoma"/>
          <w:iCs/>
          <w:sz w:val="22"/>
          <w:szCs w:val="22"/>
        </w:rPr>
        <w:t> </w:t>
      </w:r>
      <w:r w:rsidR="00B537B2">
        <w:rPr>
          <w:rFonts w:ascii="Arial Narrow" w:hAnsi="Arial Narrow" w:cs="Tahoma"/>
          <w:iCs/>
          <w:sz w:val="22"/>
          <w:szCs w:val="22"/>
        </w:rPr>
        <w:t>Bratislave</w:t>
      </w:r>
      <w:r w:rsidR="0032180A">
        <w:rPr>
          <w:rFonts w:ascii="Arial Narrow" w:hAnsi="Arial Narrow" w:cs="Tahoma"/>
          <w:iCs/>
          <w:sz w:val="22"/>
          <w:szCs w:val="22"/>
        </w:rPr>
        <w:t xml:space="preserve"> bola</w:t>
      </w:r>
      <w:r w:rsidR="00B537B2">
        <w:rPr>
          <w:rFonts w:ascii="Arial Narrow" w:hAnsi="Arial Narrow" w:cs="Tahoma"/>
          <w:iCs/>
          <w:sz w:val="22"/>
          <w:szCs w:val="22"/>
        </w:rPr>
        <w:t xml:space="preserve"> </w:t>
      </w:r>
      <w:r w:rsidRPr="005D0ADD">
        <w:rPr>
          <w:rFonts w:ascii="Arial Narrow" w:hAnsi="Arial Narrow" w:cs="Tahoma"/>
          <w:iCs/>
          <w:sz w:val="22"/>
          <w:szCs w:val="22"/>
        </w:rPr>
        <w:t xml:space="preserve">zapísaná </w:t>
      </w:r>
      <w:r w:rsidR="001E6992">
        <w:rPr>
          <w:rFonts w:ascii="Arial Narrow" w:hAnsi="Arial Narrow" w:cs="Tahoma"/>
          <w:iCs/>
          <w:sz w:val="22"/>
          <w:szCs w:val="22"/>
        </w:rPr>
        <w:t xml:space="preserve">dňa </w:t>
      </w:r>
      <w:r w:rsidRPr="005D0ADD">
        <w:rPr>
          <w:rFonts w:ascii="Arial Narrow" w:hAnsi="Arial Narrow" w:cs="Tahoma"/>
          <w:iCs/>
          <w:sz w:val="22"/>
          <w:szCs w:val="22"/>
        </w:rPr>
        <w:t xml:space="preserve"> </w:t>
      </w:r>
      <w:r w:rsidR="009B4D8F">
        <w:rPr>
          <w:rFonts w:ascii="Arial Narrow" w:hAnsi="Arial Narrow" w:cs="Tahoma"/>
          <w:iCs/>
          <w:sz w:val="22"/>
          <w:szCs w:val="22"/>
        </w:rPr>
        <w:t>02</w:t>
      </w:r>
      <w:r w:rsidR="005D0ADD">
        <w:rPr>
          <w:rFonts w:ascii="Arial Narrow" w:hAnsi="Arial Narrow" w:cs="Tahoma"/>
          <w:iCs/>
          <w:sz w:val="22"/>
          <w:szCs w:val="22"/>
        </w:rPr>
        <w:t>.</w:t>
      </w:r>
      <w:r w:rsidR="009B4D8F">
        <w:rPr>
          <w:rFonts w:ascii="Arial Narrow" w:hAnsi="Arial Narrow" w:cs="Tahoma"/>
          <w:iCs/>
          <w:sz w:val="22"/>
          <w:szCs w:val="22"/>
        </w:rPr>
        <w:t>10</w:t>
      </w:r>
      <w:r w:rsidR="005D0ADD">
        <w:rPr>
          <w:rFonts w:ascii="Arial Narrow" w:hAnsi="Arial Narrow" w:cs="Tahoma"/>
          <w:iCs/>
          <w:sz w:val="22"/>
          <w:szCs w:val="22"/>
        </w:rPr>
        <w:t>.</w:t>
      </w:r>
      <w:r w:rsidR="009B4D8F">
        <w:rPr>
          <w:rFonts w:ascii="Arial Narrow" w:hAnsi="Arial Narrow" w:cs="Tahoma"/>
          <w:iCs/>
          <w:sz w:val="22"/>
          <w:szCs w:val="22"/>
        </w:rPr>
        <w:t>2001</w:t>
      </w:r>
      <w:r w:rsidR="0064714C" w:rsidRPr="005D0ADD">
        <w:rPr>
          <w:rFonts w:ascii="Arial Narrow" w:hAnsi="Arial Narrow" w:cs="Tahoma"/>
          <w:iCs/>
          <w:sz w:val="22"/>
          <w:szCs w:val="22"/>
        </w:rPr>
        <w:t>, oddiel S</w:t>
      </w:r>
      <w:r w:rsidRPr="005D0ADD">
        <w:rPr>
          <w:rFonts w:ascii="Arial Narrow" w:hAnsi="Arial Narrow" w:cs="Tahoma"/>
          <w:iCs/>
          <w:sz w:val="22"/>
          <w:szCs w:val="22"/>
        </w:rPr>
        <w:t>ro</w:t>
      </w:r>
      <w:r w:rsidR="0032180A">
        <w:rPr>
          <w:rFonts w:ascii="Arial Narrow" w:hAnsi="Arial Narrow" w:cs="Tahoma"/>
          <w:iCs/>
          <w:sz w:val="22"/>
          <w:szCs w:val="22"/>
        </w:rPr>
        <w:t>,</w:t>
      </w:r>
      <w:r w:rsidR="0064714C" w:rsidRPr="005D0ADD">
        <w:rPr>
          <w:rFonts w:ascii="Arial Narrow" w:hAnsi="Arial Narrow" w:cs="Tahoma"/>
          <w:iCs/>
          <w:sz w:val="22"/>
          <w:szCs w:val="22"/>
        </w:rPr>
        <w:t xml:space="preserve"> vložka </w:t>
      </w:r>
      <w:r w:rsidR="009B4D8F">
        <w:rPr>
          <w:rFonts w:ascii="Arial Narrow" w:hAnsi="Arial Narrow" w:cs="Tahoma"/>
          <w:iCs/>
          <w:sz w:val="22"/>
          <w:szCs w:val="22"/>
        </w:rPr>
        <w:t>25022</w:t>
      </w:r>
      <w:r w:rsidR="005D0ADD">
        <w:rPr>
          <w:rFonts w:ascii="Arial Narrow" w:hAnsi="Arial Narrow" w:cs="Tahoma"/>
          <w:iCs/>
          <w:sz w:val="22"/>
          <w:szCs w:val="22"/>
        </w:rPr>
        <w:t>/B.</w:t>
      </w:r>
    </w:p>
    <w:p w:rsidR="005D0ADD" w:rsidRDefault="005D0ADD" w:rsidP="0064714C">
      <w:pPr>
        <w:jc w:val="both"/>
        <w:rPr>
          <w:rFonts w:ascii="Arial Narrow" w:hAnsi="Arial Narrow" w:cs="Tahoma"/>
          <w:iCs/>
          <w:sz w:val="22"/>
          <w:szCs w:val="22"/>
        </w:rPr>
      </w:pPr>
    </w:p>
    <w:p w:rsidR="005D0ADD" w:rsidRPr="001E6992" w:rsidRDefault="005D0ADD" w:rsidP="0064714C">
      <w:pPr>
        <w:jc w:val="both"/>
        <w:rPr>
          <w:rFonts w:ascii="Arial Narrow" w:hAnsi="Arial Narrow" w:cs="Tahoma"/>
          <w:b/>
          <w:iCs/>
          <w:sz w:val="22"/>
          <w:szCs w:val="22"/>
        </w:rPr>
      </w:pPr>
      <w:r w:rsidRPr="001E6992">
        <w:rPr>
          <w:rFonts w:ascii="Arial Narrow" w:hAnsi="Arial Narrow" w:cs="Tahoma"/>
          <w:b/>
          <w:iCs/>
          <w:sz w:val="22"/>
          <w:szCs w:val="22"/>
        </w:rPr>
        <w:t>Základné údaje o spoločnosti:</w:t>
      </w:r>
    </w:p>
    <w:p w:rsidR="005D0ADD" w:rsidRDefault="005D0ADD" w:rsidP="0064714C">
      <w:pPr>
        <w:jc w:val="both"/>
        <w:rPr>
          <w:rFonts w:ascii="Arial Narrow" w:hAnsi="Arial Narrow" w:cs="Tahoma"/>
          <w:iCs/>
          <w:sz w:val="22"/>
          <w:szCs w:val="22"/>
        </w:rPr>
      </w:pPr>
    </w:p>
    <w:p w:rsidR="005D0ADD" w:rsidRDefault="00EA20FA" w:rsidP="0064714C">
      <w:pPr>
        <w:jc w:val="both"/>
        <w:rPr>
          <w:rFonts w:ascii="Arial Narrow" w:hAnsi="Arial Narrow" w:cs="Tahoma"/>
          <w:iCs/>
          <w:sz w:val="22"/>
          <w:szCs w:val="22"/>
        </w:rPr>
      </w:pPr>
      <w:r>
        <w:rPr>
          <w:rFonts w:ascii="Arial Narrow" w:hAnsi="Arial Narrow" w:cs="Tahoma"/>
          <w:iCs/>
          <w:sz w:val="22"/>
          <w:szCs w:val="22"/>
        </w:rPr>
        <w:t>A</w:t>
      </w:r>
      <w:r w:rsidR="009B4D8F">
        <w:rPr>
          <w:rFonts w:ascii="Arial Narrow" w:hAnsi="Arial Narrow" w:cs="Tahoma"/>
          <w:iCs/>
          <w:sz w:val="22"/>
          <w:szCs w:val="22"/>
        </w:rPr>
        <w:t>MG,</w:t>
      </w:r>
      <w:r w:rsidR="005D0ADD">
        <w:rPr>
          <w:rFonts w:ascii="Arial Narrow" w:hAnsi="Arial Narrow" w:cs="Tahoma"/>
          <w:iCs/>
          <w:sz w:val="22"/>
          <w:szCs w:val="22"/>
        </w:rPr>
        <w:t xml:space="preserve"> s.r.o.</w:t>
      </w:r>
    </w:p>
    <w:p w:rsidR="005D0ADD" w:rsidRDefault="009B4D8F" w:rsidP="0064714C">
      <w:pPr>
        <w:jc w:val="both"/>
        <w:rPr>
          <w:rFonts w:ascii="Arial Narrow" w:hAnsi="Arial Narrow" w:cs="Tahoma"/>
          <w:iCs/>
          <w:sz w:val="22"/>
          <w:szCs w:val="22"/>
        </w:rPr>
      </w:pPr>
      <w:r>
        <w:rPr>
          <w:rFonts w:ascii="Arial Narrow" w:hAnsi="Arial Narrow" w:cs="Tahoma"/>
          <w:iCs/>
          <w:sz w:val="22"/>
          <w:szCs w:val="22"/>
        </w:rPr>
        <w:t>Timravina 1</w:t>
      </w:r>
    </w:p>
    <w:p w:rsidR="005D0ADD" w:rsidRDefault="005D0ADD" w:rsidP="0064714C">
      <w:pPr>
        <w:jc w:val="both"/>
        <w:rPr>
          <w:rFonts w:ascii="Arial Narrow" w:hAnsi="Arial Narrow" w:cs="Tahoma"/>
          <w:iCs/>
          <w:sz w:val="22"/>
          <w:szCs w:val="22"/>
        </w:rPr>
      </w:pPr>
      <w:r>
        <w:rPr>
          <w:rFonts w:ascii="Arial Narrow" w:hAnsi="Arial Narrow" w:cs="Tahoma"/>
          <w:iCs/>
          <w:sz w:val="22"/>
          <w:szCs w:val="22"/>
        </w:rPr>
        <w:t>8</w:t>
      </w:r>
      <w:r w:rsidR="009B4D8F">
        <w:rPr>
          <w:rFonts w:ascii="Arial Narrow" w:hAnsi="Arial Narrow" w:cs="Tahoma"/>
          <w:iCs/>
          <w:sz w:val="22"/>
          <w:szCs w:val="22"/>
        </w:rPr>
        <w:t>1</w:t>
      </w:r>
      <w:r>
        <w:rPr>
          <w:rFonts w:ascii="Arial Narrow" w:hAnsi="Arial Narrow" w:cs="Tahoma"/>
          <w:iCs/>
          <w:sz w:val="22"/>
          <w:szCs w:val="22"/>
        </w:rPr>
        <w:t>1 0</w:t>
      </w:r>
      <w:r w:rsidR="009B4D8F">
        <w:rPr>
          <w:rFonts w:ascii="Arial Narrow" w:hAnsi="Arial Narrow" w:cs="Tahoma"/>
          <w:iCs/>
          <w:sz w:val="22"/>
          <w:szCs w:val="22"/>
        </w:rPr>
        <w:t>6</w:t>
      </w:r>
      <w:r>
        <w:rPr>
          <w:rFonts w:ascii="Arial Narrow" w:hAnsi="Arial Narrow" w:cs="Tahoma"/>
          <w:iCs/>
          <w:sz w:val="22"/>
          <w:szCs w:val="22"/>
        </w:rPr>
        <w:t xml:space="preserve"> Bratislava</w:t>
      </w:r>
    </w:p>
    <w:p w:rsidR="001E6992" w:rsidRDefault="001E6992" w:rsidP="0064714C">
      <w:pPr>
        <w:jc w:val="both"/>
        <w:rPr>
          <w:rFonts w:ascii="Arial Narrow" w:hAnsi="Arial Narrow" w:cs="Tahoma"/>
          <w:iCs/>
          <w:sz w:val="22"/>
          <w:szCs w:val="22"/>
        </w:rPr>
      </w:pPr>
    </w:p>
    <w:p w:rsidR="001E6992" w:rsidRDefault="001E6992" w:rsidP="0064714C">
      <w:pPr>
        <w:jc w:val="both"/>
        <w:rPr>
          <w:rFonts w:ascii="Arial Narrow" w:hAnsi="Arial Narrow" w:cs="Tahoma"/>
          <w:iCs/>
          <w:sz w:val="22"/>
          <w:szCs w:val="22"/>
        </w:rPr>
      </w:pPr>
      <w:r>
        <w:rPr>
          <w:rFonts w:ascii="Arial Narrow" w:hAnsi="Arial Narrow" w:cs="Tahoma"/>
          <w:iCs/>
          <w:sz w:val="22"/>
          <w:szCs w:val="22"/>
        </w:rPr>
        <w:t>V súčasnosti  spoločnosť  vykonáva svoju podnikateľskú činnosť v priestoroch, ktoré sa nachádzajú na ulici:</w:t>
      </w:r>
    </w:p>
    <w:p w:rsidR="001E6992" w:rsidRDefault="001E6992" w:rsidP="0064714C">
      <w:pPr>
        <w:jc w:val="both"/>
        <w:rPr>
          <w:rFonts w:ascii="Arial Narrow" w:hAnsi="Arial Narrow" w:cs="Tahoma"/>
          <w:iCs/>
          <w:sz w:val="22"/>
          <w:szCs w:val="22"/>
        </w:rPr>
      </w:pPr>
      <w:r>
        <w:rPr>
          <w:rFonts w:ascii="Arial Narrow" w:hAnsi="Arial Narrow" w:cs="Tahoma"/>
          <w:iCs/>
          <w:sz w:val="22"/>
          <w:szCs w:val="22"/>
        </w:rPr>
        <w:t>K</w:t>
      </w:r>
      <w:r w:rsidR="009B4D8F">
        <w:rPr>
          <w:rFonts w:ascii="Arial Narrow" w:hAnsi="Arial Narrow" w:cs="Tahoma"/>
          <w:iCs/>
          <w:sz w:val="22"/>
          <w:szCs w:val="22"/>
        </w:rPr>
        <w:t>opčianska</w:t>
      </w:r>
      <w:r>
        <w:rPr>
          <w:rFonts w:ascii="Arial Narrow" w:hAnsi="Arial Narrow" w:cs="Tahoma"/>
          <w:iCs/>
          <w:sz w:val="22"/>
          <w:szCs w:val="22"/>
        </w:rPr>
        <w:t xml:space="preserve"> č.</w:t>
      </w:r>
      <w:r w:rsidR="009B4D8F">
        <w:rPr>
          <w:rFonts w:ascii="Arial Narrow" w:hAnsi="Arial Narrow" w:cs="Tahoma"/>
          <w:iCs/>
          <w:sz w:val="22"/>
          <w:szCs w:val="22"/>
        </w:rPr>
        <w:t xml:space="preserve"> 16, 851 01  </w:t>
      </w:r>
      <w:r>
        <w:rPr>
          <w:rFonts w:ascii="Arial Narrow" w:hAnsi="Arial Narrow" w:cs="Tahoma"/>
          <w:iCs/>
          <w:sz w:val="22"/>
          <w:szCs w:val="22"/>
        </w:rPr>
        <w:t>Bratislava.</w:t>
      </w:r>
    </w:p>
    <w:p w:rsidR="001E6992" w:rsidRDefault="001E6992" w:rsidP="0064714C">
      <w:pPr>
        <w:jc w:val="both"/>
        <w:rPr>
          <w:rFonts w:ascii="Arial Narrow" w:hAnsi="Arial Narrow" w:cs="Tahoma"/>
          <w:iCs/>
          <w:sz w:val="22"/>
          <w:szCs w:val="22"/>
        </w:rPr>
      </w:pPr>
    </w:p>
    <w:p w:rsidR="00D958A4" w:rsidRDefault="00D958A4" w:rsidP="0064714C">
      <w:pPr>
        <w:jc w:val="both"/>
        <w:rPr>
          <w:rFonts w:ascii="Arial Narrow" w:hAnsi="Arial Narrow" w:cs="Tahoma"/>
          <w:iCs/>
          <w:sz w:val="22"/>
          <w:szCs w:val="22"/>
        </w:rPr>
      </w:pPr>
    </w:p>
    <w:p w:rsidR="005D0ADD" w:rsidRDefault="005D0ADD" w:rsidP="0064714C">
      <w:pPr>
        <w:jc w:val="both"/>
        <w:rPr>
          <w:rFonts w:ascii="Arial Narrow" w:hAnsi="Arial Narrow" w:cs="Tahoma"/>
          <w:iCs/>
          <w:sz w:val="22"/>
          <w:szCs w:val="22"/>
        </w:rPr>
      </w:pPr>
      <w:r>
        <w:rPr>
          <w:rFonts w:ascii="Arial Narrow" w:hAnsi="Arial Narrow" w:cs="Tahoma"/>
          <w:iCs/>
          <w:sz w:val="22"/>
          <w:szCs w:val="22"/>
        </w:rPr>
        <w:t xml:space="preserve">IČO: </w:t>
      </w:r>
      <w:r w:rsidR="009B4D8F">
        <w:rPr>
          <w:rFonts w:ascii="Arial Narrow" w:hAnsi="Arial Narrow" w:cs="Tahoma"/>
          <w:iCs/>
          <w:sz w:val="22"/>
          <w:szCs w:val="22"/>
        </w:rPr>
        <w:t>35 821 329</w:t>
      </w:r>
    </w:p>
    <w:p w:rsidR="005D0ADD" w:rsidRDefault="009B4D8F" w:rsidP="0064714C">
      <w:pPr>
        <w:jc w:val="both"/>
        <w:rPr>
          <w:rFonts w:ascii="Arial Narrow" w:hAnsi="Arial Narrow" w:cs="Tahoma"/>
          <w:iCs/>
          <w:sz w:val="22"/>
          <w:szCs w:val="22"/>
        </w:rPr>
      </w:pPr>
      <w:r>
        <w:rPr>
          <w:rFonts w:ascii="Arial Narrow" w:hAnsi="Arial Narrow" w:cs="Tahoma"/>
          <w:iCs/>
          <w:sz w:val="22"/>
          <w:szCs w:val="22"/>
        </w:rPr>
        <w:t xml:space="preserve">DIČ / </w:t>
      </w:r>
      <w:r w:rsidR="005D0ADD">
        <w:rPr>
          <w:rFonts w:ascii="Arial Narrow" w:hAnsi="Arial Narrow" w:cs="Tahoma"/>
          <w:iCs/>
          <w:sz w:val="22"/>
          <w:szCs w:val="22"/>
        </w:rPr>
        <w:t xml:space="preserve">IČDPH: </w:t>
      </w:r>
      <w:r>
        <w:rPr>
          <w:rFonts w:ascii="Arial Narrow" w:hAnsi="Arial Narrow" w:cs="Tahoma"/>
          <w:iCs/>
          <w:sz w:val="22"/>
          <w:szCs w:val="22"/>
        </w:rPr>
        <w:t>SK2021598007</w:t>
      </w:r>
    </w:p>
    <w:p w:rsidR="005D0ADD" w:rsidRDefault="005D0ADD" w:rsidP="0064714C">
      <w:pPr>
        <w:jc w:val="both"/>
        <w:rPr>
          <w:rFonts w:ascii="Arial Narrow" w:hAnsi="Arial Narrow" w:cs="Tahoma"/>
          <w:iCs/>
          <w:sz w:val="22"/>
          <w:szCs w:val="22"/>
        </w:rPr>
      </w:pPr>
    </w:p>
    <w:p w:rsidR="0064714C" w:rsidRDefault="0064714C" w:rsidP="0064714C">
      <w:pPr>
        <w:jc w:val="both"/>
        <w:rPr>
          <w:rFonts w:ascii="Arial Narrow" w:hAnsi="Arial Narrow" w:cs="Tahoma"/>
          <w:b/>
          <w:bCs/>
          <w:iCs/>
          <w:caps/>
          <w:sz w:val="22"/>
          <w:szCs w:val="22"/>
        </w:rPr>
      </w:pPr>
      <w:r w:rsidRPr="005D0ADD">
        <w:rPr>
          <w:rFonts w:ascii="Arial Narrow" w:hAnsi="Arial Narrow" w:cs="Tahoma"/>
          <w:b/>
          <w:bCs/>
          <w:iCs/>
          <w:caps/>
          <w:sz w:val="22"/>
          <w:szCs w:val="22"/>
        </w:rPr>
        <w:t>Hlavné činnosti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4"/>
        <w:gridCol w:w="3117"/>
      </w:tblGrid>
      <w:tr w:rsidR="00810F5B" w:rsidRPr="009B4D8F" w:rsidTr="00810F5B">
        <w:trPr>
          <w:tblCellSpacing w:w="15" w:type="dxa"/>
        </w:trPr>
        <w:tc>
          <w:tcPr>
            <w:tcW w:w="4968" w:type="pct"/>
            <w:gridSpan w:val="2"/>
            <w:vAlign w:val="center"/>
            <w:hideMark/>
          </w:tcPr>
          <w:p w:rsidR="00810F5B" w:rsidRPr="009B4D8F" w:rsidRDefault="00810F5B" w:rsidP="0032180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>
              <w:rPr>
                <w:rFonts w:ascii="Arial Narrow" w:hAnsi="Arial Narrow" w:cs="Tahoma"/>
                <w:iCs/>
                <w:sz w:val="22"/>
                <w:szCs w:val="22"/>
              </w:rPr>
              <w:t xml:space="preserve">Spoločnosť </w:t>
            </w: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>poskyt</w:t>
            </w:r>
            <w:r>
              <w:rPr>
                <w:rFonts w:ascii="Arial Narrow" w:hAnsi="Arial Narrow" w:cs="Tahoma"/>
                <w:iCs/>
                <w:sz w:val="22"/>
                <w:szCs w:val="22"/>
              </w:rPr>
              <w:t>uje predovšetkým</w:t>
            </w: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 technick</w:t>
            </w:r>
            <w:r>
              <w:rPr>
                <w:rFonts w:ascii="Arial Narrow" w:hAnsi="Arial Narrow" w:cs="Tahoma"/>
                <w:iCs/>
                <w:sz w:val="22"/>
                <w:szCs w:val="22"/>
              </w:rPr>
              <w:t>é</w:t>
            </w: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 služb</w:t>
            </w:r>
            <w:r>
              <w:rPr>
                <w:rFonts w:ascii="Arial Narrow" w:hAnsi="Arial Narrow" w:cs="Tahoma"/>
                <w:iCs/>
                <w:sz w:val="22"/>
                <w:szCs w:val="22"/>
              </w:rPr>
              <w:t>y</w:t>
            </w: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 v rozsahu: vývoj, výroba, predaj, montáž, údržba a opravy zabezpečovacích systémov alebo poplachových systémov slúžiacich na ochranu majetku a osoby pred neoprávnenými zásahmi vrátane systémov a zariadení umožňujúcich sledovanie pohybu a prejavu osoby v objekte a v jeho okolí </w:t>
            </w:r>
            <w:r>
              <w:rPr>
                <w:rFonts w:ascii="Arial Narrow" w:hAnsi="Arial Narrow" w:cs="Tahoma"/>
                <w:iCs/>
                <w:sz w:val="22"/>
                <w:szCs w:val="22"/>
              </w:rPr>
              <w:t>.</w:t>
            </w:r>
          </w:p>
        </w:tc>
      </w:tr>
      <w:tr w:rsidR="009B4D8F" w:rsidRPr="009B4D8F" w:rsidTr="00810F5B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810F5B" w:rsidRDefault="00810F5B" w:rsidP="00C14E02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</w:p>
          <w:p w:rsidR="00810F5B" w:rsidRDefault="00810F5B" w:rsidP="00C14E02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>
              <w:rPr>
                <w:rFonts w:ascii="Arial Narrow" w:hAnsi="Arial Narrow" w:cs="Tahoma"/>
                <w:iCs/>
                <w:sz w:val="22"/>
                <w:szCs w:val="22"/>
              </w:rPr>
              <w:t>Ďalšie činnosti zapísané v obchodnom registri:</w:t>
            </w:r>
          </w:p>
          <w:p w:rsidR="009B4D8F" w:rsidRPr="009B4D8F" w:rsidRDefault="009B4D8F" w:rsidP="00C14E02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kúpa tovaru za účelom jeho ďalšieho predaja konečnému spotrebiteľovi (maloobchod) </w:t>
            </w:r>
          </w:p>
        </w:tc>
        <w:tc>
          <w:tcPr>
            <w:tcW w:w="1634" w:type="pct"/>
            <w:hideMark/>
          </w:tcPr>
          <w:p w:rsidR="009B4D8F" w:rsidRPr="009B4D8F" w:rsidRDefault="009B4D8F" w:rsidP="00C14E02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9B4D8F">
              <w:rPr>
                <w:rFonts w:ascii="Arial Narrow" w:hAnsi="Arial Narrow" w:cs="Tahoma"/>
                <w:iCs/>
                <w:sz w:val="22"/>
                <w:szCs w:val="22"/>
              </w:rPr>
              <w:t xml:space="preserve">  </w:t>
            </w:r>
          </w:p>
        </w:tc>
      </w:tr>
    </w:tbl>
    <w:p w:rsidR="009B4D8F" w:rsidRPr="009B4D8F" w:rsidRDefault="009B4D8F" w:rsidP="00C14E02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C14E02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kúpa tovaru za účelom jeho predaja iným prevádzkovateľom živnosti (veľkoobchod) </w:t>
            </w:r>
          </w:p>
        </w:tc>
        <w:tc>
          <w:tcPr>
            <w:tcW w:w="1650" w:type="pct"/>
            <w:hideMark/>
          </w:tcPr>
          <w:p w:rsidR="009B4D8F" w:rsidRPr="009B4D8F" w:rsidRDefault="009B4D8F" w:rsidP="00C14E02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sprostredkovateľská činnosť </w:t>
            </w:r>
          </w:p>
        </w:tc>
        <w:tc>
          <w:tcPr>
            <w:tcW w:w="1650" w:type="pct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poradenská činnosť v oblasti nákupu a predaja tovaru </w:t>
            </w:r>
          </w:p>
        </w:tc>
        <w:tc>
          <w:tcPr>
            <w:tcW w:w="1650" w:type="pct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9B4D8F">
              <w:rPr>
                <w:rFonts w:ascii="Arial Narrow" w:hAnsi="Arial Narrow" w:cs="Tahoma"/>
                <w:iCs/>
                <w:sz w:val="22"/>
                <w:szCs w:val="22"/>
              </w:rPr>
              <w:t xml:space="preserve">  </w:t>
            </w: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reklamná a propagačná činnosť </w:t>
            </w:r>
          </w:p>
        </w:tc>
        <w:tc>
          <w:tcPr>
            <w:tcW w:w="1650" w:type="pct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9B4D8F">
              <w:rPr>
                <w:rFonts w:ascii="Arial Narrow" w:hAnsi="Arial Narrow" w:cs="Tahoma"/>
                <w:iCs/>
                <w:sz w:val="22"/>
                <w:szCs w:val="22"/>
              </w:rPr>
              <w:t xml:space="preserve">  </w:t>
            </w: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poradenstvo v oblasti reklamy </w:t>
            </w:r>
          </w:p>
        </w:tc>
        <w:tc>
          <w:tcPr>
            <w:tcW w:w="1650" w:type="pct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9B4D8F">
              <w:rPr>
                <w:rFonts w:ascii="Arial Narrow" w:hAnsi="Arial Narrow" w:cs="Tahoma"/>
                <w:iCs/>
                <w:sz w:val="22"/>
                <w:szCs w:val="22"/>
              </w:rPr>
              <w:t xml:space="preserve">  </w:t>
            </w: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sprostredkovanie nákupu, predaja a prenájmu nehnuteľností </w:t>
            </w:r>
          </w:p>
        </w:tc>
        <w:tc>
          <w:tcPr>
            <w:tcW w:w="1650" w:type="pct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prípravné práce pre stavbu - zemné, výkopové a demolačné práce </w:t>
            </w:r>
          </w:p>
        </w:tc>
        <w:tc>
          <w:tcPr>
            <w:tcW w:w="1650" w:type="pct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9B4D8F">
              <w:rPr>
                <w:rFonts w:ascii="Arial Narrow" w:hAnsi="Arial Narrow" w:cs="Tahoma"/>
                <w:iCs/>
                <w:sz w:val="22"/>
                <w:szCs w:val="22"/>
              </w:rPr>
              <w:t xml:space="preserve">  </w:t>
            </w: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leasingová činnosť </w:t>
            </w:r>
          </w:p>
        </w:tc>
        <w:tc>
          <w:tcPr>
            <w:tcW w:w="1650" w:type="pct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9B4D8F">
              <w:rPr>
                <w:rFonts w:ascii="Arial Narrow" w:hAnsi="Arial Narrow" w:cs="Tahoma"/>
                <w:iCs/>
                <w:sz w:val="22"/>
                <w:szCs w:val="22"/>
              </w:rPr>
              <w:t xml:space="preserve">  </w:t>
            </w: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montáž a opravy kancelárskej a reprodukčnej techniky </w:t>
            </w:r>
          </w:p>
        </w:tc>
        <w:tc>
          <w:tcPr>
            <w:tcW w:w="1650" w:type="pct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9B4D8F">
              <w:rPr>
                <w:rFonts w:ascii="Arial Narrow" w:hAnsi="Arial Narrow" w:cs="Tahoma"/>
                <w:iCs/>
                <w:sz w:val="22"/>
                <w:szCs w:val="22"/>
              </w:rPr>
              <w:t xml:space="preserve">  </w:t>
            </w: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výroby, montáž a opravy výrobkov a zariadení spotrebnej elektroniky </w:t>
            </w:r>
          </w:p>
        </w:tc>
        <w:tc>
          <w:tcPr>
            <w:tcW w:w="1650" w:type="pct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9B4D8F">
              <w:rPr>
                <w:rFonts w:ascii="Arial Narrow" w:hAnsi="Arial Narrow" w:cs="Tahoma"/>
                <w:iCs/>
                <w:sz w:val="22"/>
                <w:szCs w:val="22"/>
              </w:rPr>
              <w:t xml:space="preserve">  </w:t>
            </w: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výroby, inštalácia a opravy elektrických strojov a prístrojov </w:t>
            </w:r>
          </w:p>
        </w:tc>
        <w:tc>
          <w:tcPr>
            <w:tcW w:w="1650" w:type="pct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9B4D8F">
              <w:rPr>
                <w:rFonts w:ascii="Arial Narrow" w:hAnsi="Arial Narrow" w:cs="Tahoma"/>
                <w:iCs/>
                <w:sz w:val="22"/>
                <w:szCs w:val="22"/>
              </w:rPr>
              <w:t xml:space="preserve">  </w:t>
            </w: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36"/>
        <w:gridCol w:w="3095"/>
      </w:tblGrid>
      <w:tr w:rsidR="009B4D8F" w:rsidRPr="009B4D8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800E4A">
              <w:rPr>
                <w:rFonts w:ascii="Arial Narrow" w:hAnsi="Arial Narrow" w:cs="Tahoma"/>
                <w:iCs/>
                <w:sz w:val="22"/>
                <w:szCs w:val="22"/>
              </w:rPr>
              <w:t xml:space="preserve">inštalovanie, oprava a vykonávanie revízií elektrickej požiarnej signalizácie </w:t>
            </w:r>
          </w:p>
        </w:tc>
        <w:tc>
          <w:tcPr>
            <w:tcW w:w="1650" w:type="pct"/>
            <w:hideMark/>
          </w:tcPr>
          <w:p w:rsidR="009B4D8F" w:rsidRPr="009B4D8F" w:rsidRDefault="009B4D8F" w:rsidP="00800E4A">
            <w:pPr>
              <w:jc w:val="both"/>
              <w:rPr>
                <w:rFonts w:ascii="Arial Narrow" w:hAnsi="Arial Narrow" w:cs="Tahoma"/>
                <w:iCs/>
                <w:sz w:val="22"/>
                <w:szCs w:val="22"/>
              </w:rPr>
            </w:pPr>
            <w:r w:rsidRPr="009B4D8F">
              <w:rPr>
                <w:rFonts w:ascii="Arial Narrow" w:hAnsi="Arial Narrow" w:cs="Tahoma"/>
                <w:iCs/>
                <w:sz w:val="22"/>
                <w:szCs w:val="22"/>
              </w:rPr>
              <w:t xml:space="preserve">  </w:t>
            </w:r>
          </w:p>
        </w:tc>
      </w:tr>
    </w:tbl>
    <w:p w:rsidR="009B4D8F" w:rsidRPr="009B4D8F" w:rsidRDefault="009B4D8F" w:rsidP="00800E4A">
      <w:pPr>
        <w:jc w:val="both"/>
        <w:rPr>
          <w:rFonts w:ascii="Arial Narrow" w:hAnsi="Arial Narrow" w:cs="Tahoma"/>
          <w:iCs/>
          <w:sz w:val="22"/>
          <w:szCs w:val="22"/>
        </w:rPr>
      </w:pPr>
    </w:p>
    <w:p w:rsidR="0064714C" w:rsidRDefault="0064714C" w:rsidP="00C14E02">
      <w:pPr>
        <w:rPr>
          <w:rFonts w:ascii="Arial Narrow" w:hAnsi="Arial Narrow" w:cs="Tahoma"/>
          <w:b/>
          <w:bCs/>
          <w:iCs/>
          <w:caps/>
          <w:sz w:val="22"/>
          <w:szCs w:val="22"/>
        </w:rPr>
      </w:pPr>
      <w:r w:rsidRPr="005D0ADD">
        <w:rPr>
          <w:rFonts w:ascii="Arial Narrow" w:hAnsi="Arial Narrow" w:cs="Tahoma"/>
          <w:b/>
          <w:bCs/>
          <w:iCs/>
          <w:caps/>
          <w:sz w:val="22"/>
          <w:szCs w:val="22"/>
        </w:rPr>
        <w:t>Základné imanie Spoločnosti</w:t>
      </w:r>
    </w:p>
    <w:p w:rsidR="007631E6" w:rsidRPr="005D0ADD" w:rsidRDefault="0064714C" w:rsidP="00722977">
      <w:pPr>
        <w:pStyle w:val="Zarkazkladnhotextu"/>
        <w:ind w:firstLine="0"/>
        <w:jc w:val="both"/>
        <w:rPr>
          <w:rFonts w:ascii="Arial Narrow" w:hAnsi="Arial Narrow" w:cs="Tahoma"/>
          <w:color w:val="auto"/>
          <w:sz w:val="22"/>
          <w:szCs w:val="22"/>
        </w:rPr>
      </w:pPr>
      <w:r w:rsidRPr="005D0ADD">
        <w:rPr>
          <w:rFonts w:ascii="Arial Narrow" w:hAnsi="Arial Narrow" w:cs="Tahoma"/>
          <w:color w:val="auto"/>
          <w:sz w:val="22"/>
          <w:szCs w:val="22"/>
        </w:rPr>
        <w:t xml:space="preserve">Základné imanie spoločnosti </w:t>
      </w:r>
      <w:r w:rsidR="007631E6" w:rsidRPr="005D0ADD">
        <w:rPr>
          <w:rFonts w:ascii="Arial Narrow" w:hAnsi="Arial Narrow" w:cs="Tahoma"/>
          <w:color w:val="auto"/>
          <w:sz w:val="22"/>
          <w:szCs w:val="22"/>
        </w:rPr>
        <w:t xml:space="preserve">je </w:t>
      </w:r>
      <w:r w:rsidR="005D0ADD">
        <w:rPr>
          <w:rFonts w:ascii="Arial Narrow" w:hAnsi="Arial Narrow" w:cs="Tahoma"/>
          <w:color w:val="auto"/>
          <w:sz w:val="22"/>
          <w:szCs w:val="22"/>
        </w:rPr>
        <w:t xml:space="preserve"> </w:t>
      </w:r>
      <w:r w:rsidR="00C14E02" w:rsidRPr="00C14E02">
        <w:rPr>
          <w:rFonts w:ascii="Arial Narrow" w:hAnsi="Arial Narrow" w:cs="Tahoma"/>
          <w:color w:val="auto"/>
          <w:sz w:val="22"/>
          <w:szCs w:val="22"/>
        </w:rPr>
        <w:t>6 638,783775 EUR</w:t>
      </w:r>
      <w:r w:rsidR="00C14E02">
        <w:rPr>
          <w:rStyle w:val="ra"/>
        </w:rPr>
        <w:t xml:space="preserve"> </w:t>
      </w:r>
      <w:r w:rsidR="007631E6" w:rsidRPr="005D0ADD">
        <w:rPr>
          <w:rFonts w:ascii="Arial Narrow" w:hAnsi="Arial Narrow" w:cs="Tahoma"/>
          <w:color w:val="auto"/>
          <w:sz w:val="22"/>
          <w:szCs w:val="22"/>
        </w:rPr>
        <w:t>v plnom rozsahu splatené.</w:t>
      </w:r>
    </w:p>
    <w:p w:rsidR="005D0ADD" w:rsidRDefault="005D0ADD" w:rsidP="005021AC">
      <w:pPr>
        <w:ind w:left="1414" w:firstLine="11"/>
        <w:rPr>
          <w:rFonts w:ascii="Arial Narrow" w:hAnsi="Arial Narrow" w:cs="Tahoma"/>
          <w:iCs/>
          <w:sz w:val="22"/>
          <w:szCs w:val="22"/>
        </w:rPr>
      </w:pPr>
    </w:p>
    <w:p w:rsidR="005021AC" w:rsidRDefault="007631E6" w:rsidP="005021AC">
      <w:pPr>
        <w:ind w:firstLine="11"/>
        <w:rPr>
          <w:rFonts w:ascii="Arial Narrow" w:hAnsi="Arial Narrow" w:cs="Tahoma"/>
          <w:iCs/>
          <w:sz w:val="22"/>
          <w:szCs w:val="22"/>
        </w:rPr>
      </w:pPr>
      <w:r w:rsidRPr="005D0ADD">
        <w:rPr>
          <w:rFonts w:ascii="Arial Narrow" w:hAnsi="Arial Narrow" w:cs="Tahoma"/>
          <w:iCs/>
          <w:sz w:val="22"/>
          <w:szCs w:val="22"/>
        </w:rPr>
        <w:t>Spoločníkmi spoločnosti sú:</w:t>
      </w:r>
    </w:p>
    <w:p w:rsidR="005D0ADD" w:rsidRDefault="00C14E02" w:rsidP="005021AC">
      <w:pPr>
        <w:ind w:firstLine="11"/>
        <w:rPr>
          <w:rFonts w:ascii="Arial Narrow" w:hAnsi="Arial Narrow" w:cs="Tahoma"/>
          <w:iCs/>
        </w:rPr>
      </w:pPr>
      <w:r>
        <w:rPr>
          <w:rFonts w:ascii="Arial Narrow" w:hAnsi="Arial Narrow" w:cs="Tahoma"/>
          <w:iCs/>
        </w:rPr>
        <w:t>Martin Gvoth</w:t>
      </w:r>
    </w:p>
    <w:p w:rsidR="00C14E02" w:rsidRDefault="00C14E02" w:rsidP="005021AC">
      <w:pPr>
        <w:ind w:firstLine="11"/>
        <w:rPr>
          <w:rFonts w:ascii="Arial Narrow" w:hAnsi="Arial Narrow" w:cs="Tahoma"/>
          <w:iCs/>
        </w:rPr>
      </w:pPr>
      <w:r>
        <w:rPr>
          <w:rFonts w:ascii="Arial Narrow" w:hAnsi="Arial Narrow" w:cs="Tahoma"/>
          <w:iCs/>
        </w:rPr>
        <w:t>Timravina 1</w:t>
      </w:r>
    </w:p>
    <w:p w:rsidR="00C14E02" w:rsidRPr="005D0ADD" w:rsidRDefault="00C14E02" w:rsidP="005021AC">
      <w:pPr>
        <w:ind w:firstLine="11"/>
        <w:rPr>
          <w:rFonts w:ascii="Arial Narrow" w:hAnsi="Arial Narrow" w:cs="Tahoma"/>
          <w:iCs/>
        </w:rPr>
      </w:pPr>
      <w:r>
        <w:rPr>
          <w:rFonts w:ascii="Arial Narrow" w:hAnsi="Arial Narrow" w:cs="Tahoma"/>
          <w:iCs/>
        </w:rPr>
        <w:t>811 06  Bratislava</w:t>
      </w:r>
    </w:p>
    <w:p w:rsidR="0064714C" w:rsidRDefault="0064714C" w:rsidP="0064714C">
      <w:pPr>
        <w:pStyle w:val="Zarkazkladnhotextu"/>
        <w:ind w:firstLine="0"/>
        <w:rPr>
          <w:rFonts w:ascii="Arial Narrow" w:hAnsi="Arial Narrow" w:cs="Tahoma"/>
          <w:color w:val="auto"/>
          <w:sz w:val="22"/>
          <w:szCs w:val="22"/>
        </w:rPr>
      </w:pPr>
    </w:p>
    <w:p w:rsidR="0064714C" w:rsidRPr="005D0ADD" w:rsidRDefault="0064714C" w:rsidP="0064714C">
      <w:pPr>
        <w:pStyle w:val="Nadpis3"/>
        <w:rPr>
          <w:rFonts w:ascii="Arial Narrow" w:hAnsi="Arial Narrow" w:cs="Tahoma"/>
          <w:bCs/>
          <w:iCs/>
          <w:caps/>
          <w:color w:val="auto"/>
          <w:szCs w:val="22"/>
        </w:rPr>
      </w:pPr>
      <w:r w:rsidRPr="005D0ADD">
        <w:rPr>
          <w:rFonts w:ascii="Arial Narrow" w:hAnsi="Arial Narrow" w:cs="Tahoma"/>
          <w:bCs/>
          <w:iCs/>
          <w:caps/>
          <w:color w:val="auto"/>
          <w:szCs w:val="22"/>
        </w:rPr>
        <w:t xml:space="preserve">Štatutárne orgány a organizačná štruktúra Spoločnosti </w:t>
      </w:r>
    </w:p>
    <w:p w:rsidR="005D0ADD" w:rsidRPr="005D0ADD" w:rsidRDefault="0064714C" w:rsidP="0064714C">
      <w:pPr>
        <w:jc w:val="both"/>
        <w:rPr>
          <w:rFonts w:ascii="Arial Narrow" w:hAnsi="Arial Narrow" w:cs="Tahoma"/>
          <w:iCs/>
          <w:sz w:val="22"/>
          <w:szCs w:val="22"/>
        </w:rPr>
      </w:pPr>
      <w:r w:rsidRPr="005D0ADD">
        <w:rPr>
          <w:rFonts w:ascii="Arial Narrow" w:hAnsi="Arial Narrow" w:cs="Tahoma"/>
          <w:iCs/>
          <w:sz w:val="22"/>
          <w:szCs w:val="22"/>
        </w:rPr>
        <w:t xml:space="preserve">Najvyšším orgánom spoločnosti je </w:t>
      </w:r>
      <w:r w:rsidR="001E6992">
        <w:rPr>
          <w:rFonts w:ascii="Arial Narrow" w:hAnsi="Arial Narrow" w:cs="Tahoma"/>
          <w:iCs/>
          <w:sz w:val="22"/>
          <w:szCs w:val="22"/>
        </w:rPr>
        <w:t>v</w:t>
      </w:r>
      <w:r w:rsidRPr="005D0ADD">
        <w:rPr>
          <w:rFonts w:ascii="Arial Narrow" w:hAnsi="Arial Narrow" w:cs="Tahoma"/>
          <w:iCs/>
          <w:sz w:val="22"/>
          <w:szCs w:val="22"/>
        </w:rPr>
        <w:t xml:space="preserve">alné zhromaždenie. </w:t>
      </w:r>
      <w:r w:rsidR="00810F5B">
        <w:rPr>
          <w:rFonts w:ascii="Arial Narrow" w:hAnsi="Arial Narrow" w:cs="Tahoma"/>
          <w:iCs/>
          <w:sz w:val="22"/>
          <w:szCs w:val="22"/>
        </w:rPr>
        <w:t xml:space="preserve">Jediným spoločníkom a zároveň konateľom spoločnosti je pán </w:t>
      </w:r>
      <w:r w:rsidR="00C14E02">
        <w:rPr>
          <w:rFonts w:ascii="Arial Narrow" w:hAnsi="Arial Narrow" w:cs="Tahoma"/>
          <w:iCs/>
          <w:sz w:val="22"/>
          <w:szCs w:val="22"/>
        </w:rPr>
        <w:t>Martin Gvoth.</w:t>
      </w:r>
    </w:p>
    <w:tbl>
      <w:tblPr>
        <w:tblW w:w="8920" w:type="dxa"/>
        <w:tblCellMar>
          <w:left w:w="70" w:type="dxa"/>
          <w:right w:w="70" w:type="dxa"/>
        </w:tblCellMar>
        <w:tblLook w:val="04A0"/>
      </w:tblPr>
      <w:tblGrid>
        <w:gridCol w:w="8920"/>
      </w:tblGrid>
      <w:tr w:rsidR="005D0ADD" w:rsidRPr="005D0ADD" w:rsidTr="001E6992">
        <w:trPr>
          <w:trHeight w:val="300"/>
        </w:trPr>
        <w:tc>
          <w:tcPr>
            <w:tcW w:w="8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D0ADD" w:rsidRPr="005D0ADD" w:rsidRDefault="005D0ADD" w:rsidP="00EA20FA">
            <w:pPr>
              <w:rPr>
                <w:rFonts w:ascii="Arial Narrow" w:hAnsi="Arial Narrow" w:cs="Calibri"/>
              </w:rPr>
            </w:pPr>
          </w:p>
        </w:tc>
      </w:tr>
    </w:tbl>
    <w:p w:rsidR="0064714C" w:rsidRPr="005D0ADD" w:rsidRDefault="0064714C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5D0ADD">
        <w:rPr>
          <w:rFonts w:ascii="Arial Narrow" w:hAnsi="Arial Narrow" w:cs="Tahoma"/>
          <w:caps/>
          <w:color w:val="auto"/>
          <w:sz w:val="22"/>
          <w:szCs w:val="22"/>
        </w:rPr>
        <w:t>Informácie o vývoji účtovnej jednotky a o </w:t>
      </w:r>
      <w:proofErr w:type="gramStart"/>
      <w:r w:rsidRPr="005D0ADD">
        <w:rPr>
          <w:rFonts w:ascii="Arial Narrow" w:hAnsi="Arial Narrow" w:cs="Tahoma"/>
          <w:caps/>
          <w:color w:val="auto"/>
          <w:sz w:val="22"/>
          <w:szCs w:val="22"/>
        </w:rPr>
        <w:t>stave</w:t>
      </w:r>
      <w:proofErr w:type="gramEnd"/>
      <w:r w:rsidRPr="005D0ADD">
        <w:rPr>
          <w:rFonts w:ascii="Arial Narrow" w:hAnsi="Arial Narrow" w:cs="Tahoma"/>
          <w:caps/>
          <w:color w:val="auto"/>
          <w:sz w:val="22"/>
          <w:szCs w:val="22"/>
        </w:rPr>
        <w:t>, v ktorom sa nachádza</w:t>
      </w:r>
    </w:p>
    <w:p w:rsidR="004C4B7B" w:rsidRDefault="004C4B7B" w:rsidP="0064714C">
      <w:pPr>
        <w:rPr>
          <w:rFonts w:ascii="Arial Narrow" w:hAnsi="Arial Narrow" w:cs="Tahoma"/>
          <w:b/>
          <w:bCs/>
          <w:iCs/>
          <w:sz w:val="22"/>
          <w:szCs w:val="22"/>
        </w:rPr>
      </w:pPr>
    </w:p>
    <w:p w:rsidR="008329D4" w:rsidRDefault="00E96A0D" w:rsidP="00A5581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</w:t>
      </w:r>
      <w:r w:rsidR="00A5581B" w:rsidRPr="00A5581B">
        <w:rPr>
          <w:rFonts w:ascii="Arial Narrow" w:hAnsi="Arial Narrow"/>
          <w:sz w:val="22"/>
          <w:szCs w:val="22"/>
        </w:rPr>
        <w:t xml:space="preserve"> </w:t>
      </w:r>
      <w:r w:rsidR="00C14E02">
        <w:rPr>
          <w:rFonts w:ascii="Arial Narrow" w:hAnsi="Arial Narrow"/>
          <w:sz w:val="22"/>
          <w:szCs w:val="22"/>
        </w:rPr>
        <w:t>AMG,</w:t>
      </w:r>
      <w:r w:rsidR="00A5581B" w:rsidRPr="00A5581B">
        <w:rPr>
          <w:rFonts w:ascii="Arial Narrow" w:hAnsi="Arial Narrow"/>
          <w:sz w:val="22"/>
          <w:szCs w:val="22"/>
        </w:rPr>
        <w:t xml:space="preserve"> s.r.o. </w:t>
      </w:r>
      <w:r w:rsidR="00810F5B">
        <w:rPr>
          <w:rFonts w:ascii="Arial Narrow" w:hAnsi="Arial Narrow"/>
          <w:sz w:val="22"/>
          <w:szCs w:val="22"/>
        </w:rPr>
        <w:t>sa zameriava na elektronickú ochranu objektov pomocou elektronických bezpečnostných systémov</w:t>
      </w:r>
      <w:r>
        <w:rPr>
          <w:rFonts w:ascii="Arial Narrow" w:hAnsi="Arial Narrow"/>
          <w:sz w:val="22"/>
          <w:szCs w:val="22"/>
        </w:rPr>
        <w:t xml:space="preserve">. </w:t>
      </w:r>
    </w:p>
    <w:p w:rsidR="00DB133E" w:rsidRDefault="00B537B2" w:rsidP="00A5581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</w:t>
      </w:r>
      <w:r w:rsidR="00E96A0D">
        <w:rPr>
          <w:rFonts w:ascii="Arial Narrow" w:hAnsi="Arial Narrow"/>
          <w:sz w:val="22"/>
          <w:szCs w:val="22"/>
        </w:rPr>
        <w:t xml:space="preserve">lužby pokrývajú všetky fázy bezpečnostného riešenia od bezpečnostnej analýzy, cez návrh riešenia, projekt, realizáciu, správu a servis. </w:t>
      </w:r>
    </w:p>
    <w:p w:rsidR="00F772F5" w:rsidRDefault="00F772F5" w:rsidP="00A5581B">
      <w:pPr>
        <w:rPr>
          <w:rFonts w:ascii="Arial Narrow" w:hAnsi="Arial Narrow"/>
          <w:sz w:val="22"/>
          <w:szCs w:val="22"/>
        </w:rPr>
      </w:pPr>
    </w:p>
    <w:p w:rsidR="00E96A0D" w:rsidRDefault="00F772F5" w:rsidP="00A5581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DB133E">
        <w:rPr>
          <w:rFonts w:ascii="Arial Narrow" w:hAnsi="Arial Narrow"/>
          <w:sz w:val="22"/>
          <w:szCs w:val="22"/>
        </w:rPr>
        <w:t xml:space="preserve">roduktové portfólio </w:t>
      </w:r>
      <w:r>
        <w:rPr>
          <w:rFonts w:ascii="Arial Narrow" w:hAnsi="Arial Narrow"/>
          <w:sz w:val="22"/>
          <w:szCs w:val="22"/>
        </w:rPr>
        <w:t>spoločnosti</w:t>
      </w:r>
      <w:r w:rsidR="00DB133E">
        <w:rPr>
          <w:rFonts w:ascii="Arial Narrow" w:hAnsi="Arial Narrow"/>
          <w:sz w:val="22"/>
          <w:szCs w:val="22"/>
        </w:rPr>
        <w:t>: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Projekty bezpečnostných systémov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Elektronická zabezpečovacia signalizácia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Elektrická požiarna signalizácia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Systémy kontroly vstupu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CCTV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Evakuačný rozhlas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Systém počítania návštev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Kľúčový manažment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proofErr w:type="spellStart"/>
      <w:r w:rsidRPr="00DB133E">
        <w:rPr>
          <w:rFonts w:ascii="Arial Narrow" w:hAnsi="Arial Narrow"/>
          <w:sz w:val="22"/>
          <w:szCs w:val="22"/>
        </w:rPr>
        <w:t>Perimetrická</w:t>
      </w:r>
      <w:proofErr w:type="spellEnd"/>
      <w:r w:rsidRPr="00DB133E">
        <w:rPr>
          <w:rFonts w:ascii="Arial Narrow" w:hAnsi="Arial Narrow"/>
          <w:sz w:val="22"/>
          <w:szCs w:val="22"/>
        </w:rPr>
        <w:t xml:space="preserve"> ochrana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Integrácia bezpečnostných systémov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Štruktúrovaná kabeláž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Servis bezpečnostných systémov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Silnoprúdové a slaboprúdové rozvody</w:t>
      </w:r>
    </w:p>
    <w:p w:rsidR="00DB133E" w:rsidRPr="00DB133E" w:rsidRDefault="00DB133E" w:rsidP="00DB133E">
      <w:pPr>
        <w:pStyle w:val="Odsekzoznamu"/>
        <w:numPr>
          <w:ilvl w:val="0"/>
          <w:numId w:val="38"/>
        </w:numPr>
        <w:rPr>
          <w:rFonts w:ascii="Arial Narrow" w:hAnsi="Arial Narrow"/>
          <w:sz w:val="22"/>
          <w:szCs w:val="22"/>
        </w:rPr>
      </w:pPr>
      <w:r w:rsidRPr="00DB133E">
        <w:rPr>
          <w:rFonts w:ascii="Arial Narrow" w:hAnsi="Arial Narrow"/>
          <w:sz w:val="22"/>
          <w:szCs w:val="22"/>
        </w:rPr>
        <w:t>EAS – ochrana tovaru</w:t>
      </w:r>
    </w:p>
    <w:p w:rsidR="00F772F5" w:rsidRDefault="00F772F5" w:rsidP="00A5581B">
      <w:pPr>
        <w:rPr>
          <w:rFonts w:ascii="Arial Narrow" w:hAnsi="Arial Narrow"/>
          <w:sz w:val="22"/>
          <w:szCs w:val="22"/>
        </w:rPr>
      </w:pPr>
    </w:p>
    <w:p w:rsidR="00F772F5" w:rsidRDefault="00F772F5" w:rsidP="00A5581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oblasti bezpečnosti pôsobí</w:t>
      </w:r>
      <w:r w:rsidR="008329D4">
        <w:rPr>
          <w:rFonts w:ascii="Arial Narrow" w:hAnsi="Arial Narrow"/>
          <w:sz w:val="22"/>
          <w:szCs w:val="22"/>
        </w:rPr>
        <w:t xml:space="preserve"> spoločnosť</w:t>
      </w:r>
      <w:r>
        <w:rPr>
          <w:rFonts w:ascii="Arial Narrow" w:hAnsi="Arial Narrow"/>
          <w:sz w:val="22"/>
          <w:szCs w:val="22"/>
        </w:rPr>
        <w:t xml:space="preserve"> na trhu niekoľko rokov</w:t>
      </w:r>
      <w:r w:rsidR="00B24C2C">
        <w:rPr>
          <w:rFonts w:ascii="Arial Narrow" w:hAnsi="Arial Narrow"/>
          <w:sz w:val="22"/>
          <w:szCs w:val="22"/>
        </w:rPr>
        <w:t xml:space="preserve"> a svojim klientom ponúka overenú kvalitu na najvyššej úrovni</w:t>
      </w:r>
      <w:r w:rsidR="004D6594">
        <w:rPr>
          <w:rFonts w:ascii="Arial Narrow" w:hAnsi="Arial Narrow"/>
          <w:sz w:val="22"/>
          <w:szCs w:val="22"/>
        </w:rPr>
        <w:t xml:space="preserve">. Služby spoločnosti využívajú v sektoroch bankovníctva, </w:t>
      </w:r>
      <w:r w:rsidR="0032180A">
        <w:rPr>
          <w:rFonts w:ascii="Arial Narrow" w:hAnsi="Arial Narrow"/>
          <w:sz w:val="22"/>
          <w:szCs w:val="22"/>
        </w:rPr>
        <w:t>obchodu</w:t>
      </w:r>
      <w:r w:rsidR="004D6594">
        <w:rPr>
          <w:rFonts w:ascii="Arial Narrow" w:hAnsi="Arial Narrow"/>
          <w:sz w:val="22"/>
          <w:szCs w:val="22"/>
        </w:rPr>
        <w:t>, administratívy i v zdravotníctve.</w:t>
      </w:r>
      <w:r>
        <w:rPr>
          <w:rFonts w:ascii="Arial Narrow" w:hAnsi="Arial Narrow"/>
          <w:sz w:val="22"/>
          <w:szCs w:val="22"/>
        </w:rPr>
        <w:t xml:space="preserve"> </w:t>
      </w:r>
      <w:r w:rsidR="004D6594">
        <w:rPr>
          <w:rFonts w:ascii="Arial Narrow" w:hAnsi="Arial Narrow"/>
          <w:sz w:val="22"/>
          <w:szCs w:val="22"/>
        </w:rPr>
        <w:t xml:space="preserve">Spoločnosť sa snaží </w:t>
      </w:r>
      <w:r>
        <w:rPr>
          <w:rFonts w:ascii="Arial Narrow" w:hAnsi="Arial Narrow"/>
          <w:sz w:val="22"/>
          <w:szCs w:val="22"/>
        </w:rPr>
        <w:t>sled</w:t>
      </w:r>
      <w:r w:rsidR="004D6594">
        <w:rPr>
          <w:rFonts w:ascii="Arial Narrow" w:hAnsi="Arial Narrow"/>
          <w:sz w:val="22"/>
          <w:szCs w:val="22"/>
        </w:rPr>
        <w:t>ovať</w:t>
      </w:r>
      <w:r>
        <w:rPr>
          <w:rFonts w:ascii="Arial Narrow" w:hAnsi="Arial Narrow"/>
          <w:sz w:val="22"/>
          <w:szCs w:val="22"/>
        </w:rPr>
        <w:t xml:space="preserve"> najnovšie trendy v oblasti bezpečnostných systémov</w:t>
      </w:r>
      <w:r w:rsidR="008329D4">
        <w:rPr>
          <w:rFonts w:ascii="Arial Narrow" w:hAnsi="Arial Narrow"/>
          <w:sz w:val="22"/>
          <w:szCs w:val="22"/>
        </w:rPr>
        <w:t xml:space="preserve">. </w:t>
      </w:r>
    </w:p>
    <w:p w:rsidR="008329D4" w:rsidRDefault="008329D4" w:rsidP="00A5581B">
      <w:pPr>
        <w:rPr>
          <w:rFonts w:ascii="Arial Narrow" w:hAnsi="Arial Narrow"/>
          <w:sz w:val="22"/>
          <w:szCs w:val="22"/>
        </w:rPr>
      </w:pPr>
    </w:p>
    <w:p w:rsidR="00A5581B" w:rsidRPr="00A5581B" w:rsidRDefault="00745AAC" w:rsidP="00A5581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základe kvalitných produktov a poskytovaných služieb zákazníkom chce</w:t>
      </w:r>
      <w:r w:rsidR="008329D4">
        <w:rPr>
          <w:rFonts w:ascii="Arial Narrow" w:hAnsi="Arial Narrow"/>
          <w:sz w:val="22"/>
          <w:szCs w:val="22"/>
        </w:rPr>
        <w:t xml:space="preserve"> spoločnosť</w:t>
      </w:r>
      <w:r>
        <w:rPr>
          <w:rFonts w:ascii="Arial Narrow" w:hAnsi="Arial Narrow"/>
          <w:sz w:val="22"/>
          <w:szCs w:val="22"/>
        </w:rPr>
        <w:t xml:space="preserve"> dosiahnuť trvalú stabilitu a prosperitu. </w:t>
      </w:r>
    </w:p>
    <w:p w:rsidR="00F772F5" w:rsidRDefault="00F772F5" w:rsidP="00F772F5">
      <w:pPr>
        <w:rPr>
          <w:rFonts w:ascii="Arial Narrow" w:hAnsi="Arial Narrow"/>
          <w:sz w:val="22"/>
          <w:szCs w:val="22"/>
        </w:rPr>
      </w:pPr>
    </w:p>
    <w:p w:rsidR="005E19AC" w:rsidRPr="005D0ADD" w:rsidRDefault="0064714C" w:rsidP="0064714C">
      <w:pPr>
        <w:pStyle w:val="Nadpis9"/>
        <w:jc w:val="both"/>
        <w:rPr>
          <w:rFonts w:ascii="Arial Narrow" w:hAnsi="Arial Narrow" w:cs="Tahoma"/>
          <w:b/>
        </w:rPr>
      </w:pPr>
      <w:r w:rsidRPr="005D0ADD">
        <w:rPr>
          <w:rFonts w:ascii="Arial Narrow" w:hAnsi="Arial Narrow" w:cs="Tahoma"/>
          <w:b/>
        </w:rPr>
        <w:t>Sp</w:t>
      </w:r>
      <w:r w:rsidR="004D0FBB" w:rsidRPr="005D0ADD">
        <w:rPr>
          <w:rFonts w:ascii="Arial Narrow" w:hAnsi="Arial Narrow" w:cs="Tahoma"/>
          <w:b/>
        </w:rPr>
        <w:t>r</w:t>
      </w:r>
      <w:r w:rsidRPr="005D0ADD">
        <w:rPr>
          <w:rFonts w:ascii="Arial Narrow" w:hAnsi="Arial Narrow" w:cs="Tahoma"/>
          <w:b/>
        </w:rPr>
        <w:t>áva nezávislého audítora o overení účtovnej závierky zostavenej k 31.12.</w:t>
      </w:r>
      <w:r w:rsidR="005D0ADD" w:rsidRPr="005D0ADD">
        <w:rPr>
          <w:rFonts w:ascii="Arial Narrow" w:hAnsi="Arial Narrow" w:cs="Tahoma"/>
          <w:b/>
        </w:rPr>
        <w:t>201</w:t>
      </w:r>
      <w:r w:rsidR="00104B57">
        <w:rPr>
          <w:rFonts w:ascii="Arial Narrow" w:hAnsi="Arial Narrow" w:cs="Tahoma"/>
          <w:b/>
        </w:rPr>
        <w:t>6</w:t>
      </w:r>
    </w:p>
    <w:p w:rsidR="00BE16D6" w:rsidRDefault="0064714C" w:rsidP="00BE16D6">
      <w:pPr>
        <w:pStyle w:val="Bezriadkovania"/>
        <w:jc w:val="both"/>
        <w:rPr>
          <w:rFonts w:ascii="Arial Narrow" w:hAnsi="Arial Narrow" w:cs="Tahoma"/>
          <w:iCs/>
          <w:sz w:val="22"/>
          <w:szCs w:val="22"/>
        </w:rPr>
      </w:pPr>
      <w:r w:rsidRPr="005D0ADD">
        <w:rPr>
          <w:rFonts w:ascii="Arial Narrow" w:hAnsi="Arial Narrow" w:cs="Tahoma"/>
          <w:iCs/>
          <w:sz w:val="22"/>
          <w:szCs w:val="22"/>
        </w:rPr>
        <w:t xml:space="preserve">Súčasťou výročnej správy je aj správa audítora. Audítor v audítorskej správe vyjadril </w:t>
      </w:r>
      <w:r w:rsidR="00CF538E">
        <w:rPr>
          <w:rFonts w:ascii="Arial Narrow" w:hAnsi="Arial Narrow" w:cs="Tahoma"/>
          <w:iCs/>
          <w:sz w:val="22"/>
          <w:szCs w:val="22"/>
        </w:rPr>
        <w:t xml:space="preserve"> podmienený názor na účtovnú závierku.</w:t>
      </w:r>
    </w:p>
    <w:p w:rsidR="00BE16D6" w:rsidRDefault="00BE16D6" w:rsidP="00BE16D6">
      <w:pPr>
        <w:pStyle w:val="Bezriadkovania"/>
        <w:jc w:val="both"/>
        <w:rPr>
          <w:rFonts w:ascii="Arial Narrow" w:hAnsi="Arial Narrow" w:cs="Tahoma"/>
          <w:iCs/>
          <w:sz w:val="22"/>
          <w:szCs w:val="22"/>
        </w:rPr>
      </w:pPr>
    </w:p>
    <w:p w:rsidR="00BE16D6" w:rsidRDefault="00BE16D6" w:rsidP="00BE16D6">
      <w:pPr>
        <w:pStyle w:val="Bezriadkovania"/>
        <w:jc w:val="both"/>
        <w:rPr>
          <w:rStyle w:val="FontStyle13"/>
          <w:rFonts w:ascii="Arial Narrow" w:hAnsi="Arial Narrow" w:cs="Calibri"/>
          <w:sz w:val="20"/>
          <w:szCs w:val="20"/>
        </w:rPr>
      </w:pPr>
    </w:p>
    <w:p w:rsidR="00392956" w:rsidRDefault="00392956" w:rsidP="0064714C">
      <w:pPr>
        <w:rPr>
          <w:rFonts w:ascii="Arial Narrow" w:hAnsi="Arial Narrow" w:cs="Tahoma"/>
          <w:b/>
          <w:sz w:val="22"/>
          <w:szCs w:val="22"/>
        </w:rPr>
      </w:pPr>
    </w:p>
    <w:p w:rsidR="00392956" w:rsidRDefault="00392956" w:rsidP="0064714C">
      <w:pPr>
        <w:rPr>
          <w:rFonts w:ascii="Arial Narrow" w:hAnsi="Arial Narrow" w:cs="Tahoma"/>
          <w:b/>
          <w:sz w:val="22"/>
          <w:szCs w:val="22"/>
        </w:rPr>
      </w:pPr>
    </w:p>
    <w:p w:rsidR="0064714C" w:rsidRPr="00392956" w:rsidRDefault="0064714C" w:rsidP="00392956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392956">
        <w:rPr>
          <w:rFonts w:ascii="Arial Narrow" w:hAnsi="Arial Narrow" w:cs="Tahoma"/>
          <w:caps/>
          <w:color w:val="auto"/>
          <w:sz w:val="22"/>
          <w:szCs w:val="22"/>
        </w:rPr>
        <w:lastRenderedPageBreak/>
        <w:t>Finančná analýza</w:t>
      </w:r>
    </w:p>
    <w:p w:rsidR="000F4AB5" w:rsidRPr="005D0ADD" w:rsidRDefault="000F4AB5" w:rsidP="000F4AB5">
      <w:pPr>
        <w:jc w:val="both"/>
        <w:rPr>
          <w:rFonts w:ascii="Arial Narrow" w:hAnsi="Arial Narrow" w:cs="Tahoma"/>
          <w:sz w:val="22"/>
          <w:szCs w:val="22"/>
        </w:rPr>
      </w:pPr>
    </w:p>
    <w:p w:rsidR="00FD1857" w:rsidRPr="00392956" w:rsidRDefault="004D1DEA" w:rsidP="000F4AB5">
      <w:pPr>
        <w:jc w:val="both"/>
        <w:rPr>
          <w:rFonts w:ascii="Arial Narrow" w:hAnsi="Arial Narrow" w:cs="Tahoma"/>
          <w:b/>
          <w:sz w:val="22"/>
          <w:szCs w:val="22"/>
        </w:rPr>
      </w:pPr>
      <w:r w:rsidRPr="00392956">
        <w:rPr>
          <w:rFonts w:ascii="Arial Narrow" w:hAnsi="Arial Narrow" w:cs="Tahoma"/>
          <w:b/>
          <w:sz w:val="22"/>
          <w:szCs w:val="22"/>
        </w:rPr>
        <w:t>Likvidita</w:t>
      </w:r>
    </w:p>
    <w:p w:rsidR="004D1DEA" w:rsidRDefault="00B24C2C" w:rsidP="000F4AB5">
      <w:pPr>
        <w:jc w:val="both"/>
        <w:rPr>
          <w:rFonts w:ascii="Arial Narrow" w:hAnsi="Arial Narrow" w:cs="Tahoma"/>
          <w:sz w:val="22"/>
          <w:szCs w:val="22"/>
        </w:rPr>
      </w:pPr>
      <w:r>
        <w:rPr>
          <w:rFonts w:ascii="Arial Narrow" w:hAnsi="Arial Narrow" w:cs="Tahoma"/>
          <w:sz w:val="22"/>
          <w:szCs w:val="22"/>
        </w:rPr>
        <w:t>Likvidita je finančný termín; znamená vlastnosť aktíva, vďaka ktorej je možné dané aktívum rýchlo predať bez významných pohybov jeho ceny a bez straty jeho hodnoty.</w:t>
      </w:r>
      <w:r w:rsidR="004D1DEA">
        <w:rPr>
          <w:rFonts w:ascii="Arial Narrow" w:hAnsi="Arial Narrow" w:cs="Tahoma"/>
          <w:sz w:val="22"/>
          <w:szCs w:val="22"/>
        </w:rPr>
        <w:t xml:space="preserve"> </w:t>
      </w:r>
      <w:r w:rsidR="000B3E2E">
        <w:rPr>
          <w:rFonts w:ascii="Arial Narrow" w:hAnsi="Arial Narrow" w:cs="Tahoma"/>
          <w:sz w:val="22"/>
          <w:szCs w:val="22"/>
        </w:rPr>
        <w:t xml:space="preserve">Vypovedá o platobnej schopnosti spoločnosti. Ukazovatele likvidity nás informujú o schopnosti spoločnosti hradiť krátkodobé záväzky pomocou likvidných prostriedkov.  </w:t>
      </w:r>
    </w:p>
    <w:p w:rsidR="00392956" w:rsidRDefault="00392956" w:rsidP="000F4AB5">
      <w:pPr>
        <w:jc w:val="both"/>
        <w:rPr>
          <w:rFonts w:ascii="Arial Narrow" w:hAnsi="Arial Narrow" w:cs="Tahoma"/>
          <w:sz w:val="22"/>
          <w:szCs w:val="22"/>
          <w:u w:val="single"/>
        </w:rPr>
      </w:pPr>
    </w:p>
    <w:p w:rsidR="004D1DEA" w:rsidRPr="00392956" w:rsidRDefault="004D1DEA" w:rsidP="000F4AB5">
      <w:pPr>
        <w:jc w:val="both"/>
        <w:rPr>
          <w:rFonts w:ascii="Arial Narrow" w:hAnsi="Arial Narrow" w:cs="Tahoma"/>
          <w:sz w:val="22"/>
          <w:szCs w:val="22"/>
          <w:u w:val="single"/>
        </w:rPr>
      </w:pPr>
      <w:r w:rsidRPr="00392956">
        <w:rPr>
          <w:rFonts w:ascii="Arial Narrow" w:hAnsi="Arial Narrow" w:cs="Tahoma"/>
          <w:sz w:val="22"/>
          <w:szCs w:val="22"/>
          <w:u w:val="single"/>
        </w:rPr>
        <w:t>Likvidita I. stupňa / okamžitá likvidita (</w:t>
      </w:r>
      <w:proofErr w:type="spellStart"/>
      <w:r w:rsidRPr="00392956">
        <w:rPr>
          <w:rFonts w:ascii="Arial Narrow" w:hAnsi="Arial Narrow" w:cs="Tahoma"/>
          <w:sz w:val="22"/>
          <w:szCs w:val="22"/>
          <w:u w:val="single"/>
        </w:rPr>
        <w:t>cash</w:t>
      </w:r>
      <w:proofErr w:type="spellEnd"/>
      <w:r w:rsidRPr="00392956">
        <w:rPr>
          <w:rFonts w:ascii="Arial Narrow" w:hAnsi="Arial Narrow" w:cs="Tahoma"/>
          <w:sz w:val="22"/>
          <w:szCs w:val="22"/>
          <w:u w:val="single"/>
        </w:rPr>
        <w:t xml:space="preserve"> </w:t>
      </w:r>
      <w:proofErr w:type="spellStart"/>
      <w:r w:rsidRPr="00392956">
        <w:rPr>
          <w:rFonts w:ascii="Arial Narrow" w:hAnsi="Arial Narrow" w:cs="Tahoma"/>
          <w:sz w:val="22"/>
          <w:szCs w:val="22"/>
          <w:u w:val="single"/>
        </w:rPr>
        <w:t>ratio</w:t>
      </w:r>
      <w:proofErr w:type="spellEnd"/>
      <w:r w:rsidRPr="00392956">
        <w:rPr>
          <w:rFonts w:ascii="Arial Narrow" w:hAnsi="Arial Narrow" w:cs="Tahoma"/>
          <w:sz w:val="22"/>
          <w:szCs w:val="22"/>
          <w:u w:val="single"/>
        </w:rPr>
        <w:t>)</w:t>
      </w:r>
    </w:p>
    <w:p w:rsidR="004D1DEA" w:rsidRDefault="004D1DEA" w:rsidP="000F4AB5">
      <w:pPr>
        <w:jc w:val="both"/>
        <w:rPr>
          <w:rFonts w:ascii="Arial Narrow" w:hAnsi="Arial Narrow" w:cs="Tahoma"/>
          <w:sz w:val="22"/>
          <w:szCs w:val="22"/>
        </w:rPr>
      </w:pPr>
      <w:r>
        <w:rPr>
          <w:rFonts w:ascii="Arial Narrow" w:hAnsi="Arial Narrow" w:cs="Tahoma"/>
          <w:sz w:val="22"/>
          <w:szCs w:val="22"/>
        </w:rPr>
        <w:t>Vyjadruje, aká časť krátkodobých záväzkov je krytá len finančným majetkom. Vypočíta sa podiel krátkodobého finančného majetku a krátkodobých záväzkov, vrátane bežných bankových úverov.</w:t>
      </w:r>
    </w:p>
    <w:p w:rsidR="004D1DEA" w:rsidRDefault="004D1DEA" w:rsidP="000F4AB5">
      <w:pPr>
        <w:jc w:val="both"/>
        <w:rPr>
          <w:rFonts w:ascii="Arial Narrow" w:hAnsi="Arial Narrow" w:cs="Tahoma"/>
          <w:sz w:val="22"/>
          <w:szCs w:val="22"/>
        </w:rPr>
      </w:pPr>
    </w:p>
    <w:p w:rsidR="004D1DEA" w:rsidRPr="00392956" w:rsidRDefault="004D1DEA" w:rsidP="000F4AB5">
      <w:pPr>
        <w:jc w:val="both"/>
        <w:rPr>
          <w:rFonts w:ascii="Arial Narrow" w:hAnsi="Arial Narrow" w:cs="Tahoma"/>
          <w:sz w:val="22"/>
          <w:szCs w:val="22"/>
          <w:u w:val="single"/>
        </w:rPr>
      </w:pPr>
      <w:r w:rsidRPr="00392956">
        <w:rPr>
          <w:rFonts w:ascii="Arial Narrow" w:hAnsi="Arial Narrow" w:cs="Tahoma"/>
          <w:sz w:val="22"/>
          <w:szCs w:val="22"/>
          <w:u w:val="single"/>
        </w:rPr>
        <w:t>Likvidita II. stupňa / bežná likvidita (</w:t>
      </w:r>
      <w:proofErr w:type="spellStart"/>
      <w:r w:rsidRPr="00392956">
        <w:rPr>
          <w:rFonts w:ascii="Arial Narrow" w:hAnsi="Arial Narrow" w:cs="Tahoma"/>
          <w:sz w:val="22"/>
          <w:szCs w:val="22"/>
          <w:u w:val="single"/>
        </w:rPr>
        <w:t>quick</w:t>
      </w:r>
      <w:proofErr w:type="spellEnd"/>
      <w:r w:rsidRPr="00392956">
        <w:rPr>
          <w:rFonts w:ascii="Arial Narrow" w:hAnsi="Arial Narrow" w:cs="Tahoma"/>
          <w:sz w:val="22"/>
          <w:szCs w:val="22"/>
          <w:u w:val="single"/>
        </w:rPr>
        <w:t xml:space="preserve"> / </w:t>
      </w:r>
      <w:proofErr w:type="spellStart"/>
      <w:r w:rsidRPr="00392956">
        <w:rPr>
          <w:rFonts w:ascii="Arial Narrow" w:hAnsi="Arial Narrow" w:cs="Tahoma"/>
          <w:sz w:val="22"/>
          <w:szCs w:val="22"/>
          <w:u w:val="single"/>
        </w:rPr>
        <w:t>acid</w:t>
      </w:r>
      <w:proofErr w:type="spellEnd"/>
      <w:r w:rsidRPr="00392956">
        <w:rPr>
          <w:rFonts w:ascii="Arial Narrow" w:hAnsi="Arial Narrow" w:cs="Tahoma"/>
          <w:sz w:val="22"/>
          <w:szCs w:val="22"/>
          <w:u w:val="single"/>
        </w:rPr>
        <w:t xml:space="preserve"> test </w:t>
      </w:r>
      <w:proofErr w:type="spellStart"/>
      <w:r w:rsidRPr="00392956">
        <w:rPr>
          <w:rFonts w:ascii="Arial Narrow" w:hAnsi="Arial Narrow" w:cs="Tahoma"/>
          <w:sz w:val="22"/>
          <w:szCs w:val="22"/>
          <w:u w:val="single"/>
        </w:rPr>
        <w:t>ratio</w:t>
      </w:r>
      <w:proofErr w:type="spellEnd"/>
      <w:r w:rsidRPr="00392956">
        <w:rPr>
          <w:rFonts w:ascii="Arial Narrow" w:hAnsi="Arial Narrow" w:cs="Tahoma"/>
          <w:sz w:val="22"/>
          <w:szCs w:val="22"/>
          <w:u w:val="single"/>
        </w:rPr>
        <w:t>)</w:t>
      </w:r>
    </w:p>
    <w:p w:rsidR="004D1DEA" w:rsidRDefault="004D1DEA" w:rsidP="000F4AB5">
      <w:pPr>
        <w:jc w:val="both"/>
        <w:rPr>
          <w:rFonts w:ascii="Arial Narrow" w:hAnsi="Arial Narrow" w:cs="Tahoma"/>
          <w:sz w:val="22"/>
          <w:szCs w:val="22"/>
        </w:rPr>
      </w:pPr>
      <w:r>
        <w:rPr>
          <w:rFonts w:ascii="Arial Narrow" w:hAnsi="Arial Narrow" w:cs="Tahoma"/>
          <w:sz w:val="22"/>
          <w:szCs w:val="22"/>
        </w:rPr>
        <w:t>Vyjadruje, aká časť krátkodobých záväzkov je krytá pohľadávkami a finančným majetkom v prípade, že nedôjde k predaju zásob. Vypočíta sa ako podiel súčtu krátkodobých pohľadávok a krátkodobého finančného majetku k súčtu krátkodobých záväzkov, krátkodobých bankových úverov a krátkodobých finančných výpomocí.</w:t>
      </w:r>
    </w:p>
    <w:p w:rsidR="004D1DEA" w:rsidRDefault="004D1DEA" w:rsidP="000F4AB5">
      <w:pPr>
        <w:jc w:val="both"/>
        <w:rPr>
          <w:rFonts w:ascii="Arial Narrow" w:hAnsi="Arial Narrow" w:cs="Tahoma"/>
          <w:sz w:val="22"/>
          <w:szCs w:val="22"/>
        </w:rPr>
      </w:pPr>
    </w:p>
    <w:p w:rsidR="004D1DEA" w:rsidRPr="00392956" w:rsidRDefault="00652D5F" w:rsidP="000F4AB5">
      <w:pPr>
        <w:jc w:val="both"/>
        <w:rPr>
          <w:rFonts w:ascii="Arial Narrow" w:hAnsi="Arial Narrow" w:cs="Tahoma"/>
          <w:sz w:val="22"/>
          <w:szCs w:val="22"/>
          <w:u w:val="single"/>
        </w:rPr>
      </w:pPr>
      <w:r w:rsidRPr="00392956">
        <w:rPr>
          <w:rFonts w:ascii="Arial Narrow" w:hAnsi="Arial Narrow" w:cs="Tahoma"/>
          <w:sz w:val="22"/>
          <w:szCs w:val="22"/>
          <w:u w:val="single"/>
        </w:rPr>
        <w:t>Likvidita III. stupňa / celková likvidita (</w:t>
      </w:r>
      <w:proofErr w:type="spellStart"/>
      <w:r w:rsidRPr="00392956">
        <w:rPr>
          <w:rFonts w:ascii="Arial Narrow" w:hAnsi="Arial Narrow" w:cs="Tahoma"/>
          <w:sz w:val="22"/>
          <w:szCs w:val="22"/>
          <w:u w:val="single"/>
        </w:rPr>
        <w:t>current</w:t>
      </w:r>
      <w:proofErr w:type="spellEnd"/>
      <w:r w:rsidRPr="00392956">
        <w:rPr>
          <w:rFonts w:ascii="Arial Narrow" w:hAnsi="Arial Narrow" w:cs="Tahoma"/>
          <w:sz w:val="22"/>
          <w:szCs w:val="22"/>
          <w:u w:val="single"/>
        </w:rPr>
        <w:t xml:space="preserve"> </w:t>
      </w:r>
      <w:proofErr w:type="spellStart"/>
      <w:r w:rsidRPr="00392956">
        <w:rPr>
          <w:rFonts w:ascii="Arial Narrow" w:hAnsi="Arial Narrow" w:cs="Tahoma"/>
          <w:sz w:val="22"/>
          <w:szCs w:val="22"/>
          <w:u w:val="single"/>
        </w:rPr>
        <w:t>ratio</w:t>
      </w:r>
      <w:proofErr w:type="spellEnd"/>
      <w:r w:rsidRPr="00392956">
        <w:rPr>
          <w:rFonts w:ascii="Arial Narrow" w:hAnsi="Arial Narrow" w:cs="Tahoma"/>
          <w:sz w:val="22"/>
          <w:szCs w:val="22"/>
          <w:u w:val="single"/>
        </w:rPr>
        <w:t xml:space="preserve">; </w:t>
      </w:r>
      <w:proofErr w:type="spellStart"/>
      <w:r w:rsidRPr="00392956">
        <w:rPr>
          <w:rFonts w:ascii="Arial Narrow" w:hAnsi="Arial Narrow" w:cs="Tahoma"/>
          <w:sz w:val="22"/>
          <w:szCs w:val="22"/>
          <w:u w:val="single"/>
        </w:rPr>
        <w:t>working</w:t>
      </w:r>
      <w:proofErr w:type="spellEnd"/>
      <w:r w:rsidRPr="00392956">
        <w:rPr>
          <w:rFonts w:ascii="Arial Narrow" w:hAnsi="Arial Narrow" w:cs="Tahoma"/>
          <w:sz w:val="22"/>
          <w:szCs w:val="22"/>
          <w:u w:val="single"/>
        </w:rPr>
        <w:t xml:space="preserve"> </w:t>
      </w:r>
      <w:proofErr w:type="spellStart"/>
      <w:r w:rsidRPr="00392956">
        <w:rPr>
          <w:rFonts w:ascii="Arial Narrow" w:hAnsi="Arial Narrow" w:cs="Tahoma"/>
          <w:sz w:val="22"/>
          <w:szCs w:val="22"/>
          <w:u w:val="single"/>
        </w:rPr>
        <w:t>capital</w:t>
      </w:r>
      <w:proofErr w:type="spellEnd"/>
      <w:r w:rsidRPr="00392956">
        <w:rPr>
          <w:rFonts w:ascii="Arial Narrow" w:hAnsi="Arial Narrow" w:cs="Tahoma"/>
          <w:sz w:val="22"/>
          <w:szCs w:val="22"/>
          <w:u w:val="single"/>
        </w:rPr>
        <w:t xml:space="preserve"> </w:t>
      </w:r>
      <w:proofErr w:type="spellStart"/>
      <w:r w:rsidRPr="00392956">
        <w:rPr>
          <w:rFonts w:ascii="Arial Narrow" w:hAnsi="Arial Narrow" w:cs="Tahoma"/>
          <w:sz w:val="22"/>
          <w:szCs w:val="22"/>
          <w:u w:val="single"/>
        </w:rPr>
        <w:t>ratio</w:t>
      </w:r>
      <w:proofErr w:type="spellEnd"/>
      <w:r w:rsidRPr="00392956">
        <w:rPr>
          <w:rFonts w:ascii="Arial Narrow" w:hAnsi="Arial Narrow" w:cs="Tahoma"/>
          <w:sz w:val="22"/>
          <w:szCs w:val="22"/>
          <w:u w:val="single"/>
        </w:rPr>
        <w:t>)</w:t>
      </w:r>
    </w:p>
    <w:p w:rsidR="00652D5F" w:rsidRDefault="00652D5F" w:rsidP="000F4AB5">
      <w:pPr>
        <w:jc w:val="both"/>
        <w:rPr>
          <w:rFonts w:ascii="Arial Narrow" w:hAnsi="Arial Narrow" w:cs="Tahoma"/>
          <w:sz w:val="22"/>
          <w:szCs w:val="22"/>
        </w:rPr>
      </w:pPr>
      <w:r>
        <w:rPr>
          <w:rFonts w:ascii="Arial Narrow" w:hAnsi="Arial Narrow" w:cs="Tahoma"/>
          <w:sz w:val="22"/>
          <w:szCs w:val="22"/>
        </w:rPr>
        <w:t>Hodnotí pomer krátkodobého majetku spoločnosti ku krátkodobým cudzím zdrojom. Vypočíta sa ako pomer súčtu krátkodobých pohľadávok, zásob a krátkodobého finančného majetku k súčtu krátkodobých záväzkov a bežných bankových úverov.</w:t>
      </w:r>
    </w:p>
    <w:p w:rsidR="000D4310" w:rsidRDefault="000D4310" w:rsidP="000F4AB5">
      <w:pPr>
        <w:jc w:val="both"/>
        <w:rPr>
          <w:rFonts w:ascii="Arial Narrow" w:hAnsi="Arial Narrow" w:cs="Tahoma"/>
          <w:sz w:val="22"/>
          <w:szCs w:val="22"/>
        </w:rPr>
      </w:pPr>
    </w:p>
    <w:p w:rsidR="003F4E41" w:rsidRDefault="00A24506" w:rsidP="000F4AB5">
      <w:pPr>
        <w:jc w:val="both"/>
        <w:rPr>
          <w:rFonts w:ascii="Arial Narrow" w:hAnsi="Arial Narrow" w:cs="Tahoma"/>
          <w:sz w:val="22"/>
          <w:szCs w:val="22"/>
        </w:rPr>
      </w:pPr>
      <w:r>
        <w:rPr>
          <w:rFonts w:ascii="Arial Narrow" w:hAnsi="Arial Narrow" w:cs="Tahoma"/>
          <w:sz w:val="22"/>
          <w:szCs w:val="22"/>
        </w:rPr>
        <w:t>Likvidita za rok</w:t>
      </w:r>
      <w:r w:rsidR="00392956">
        <w:rPr>
          <w:rFonts w:ascii="Arial Narrow" w:hAnsi="Arial Narrow" w:cs="Tahoma"/>
          <w:sz w:val="22"/>
          <w:szCs w:val="22"/>
        </w:rPr>
        <w:t>y</w:t>
      </w:r>
      <w:r>
        <w:rPr>
          <w:rFonts w:ascii="Arial Narrow" w:hAnsi="Arial Narrow" w:cs="Tahoma"/>
          <w:sz w:val="22"/>
          <w:szCs w:val="22"/>
        </w:rPr>
        <w:t xml:space="preserve"> 201</w:t>
      </w:r>
      <w:r w:rsidR="008329D4">
        <w:rPr>
          <w:rFonts w:ascii="Arial Narrow" w:hAnsi="Arial Narrow" w:cs="Tahoma"/>
          <w:sz w:val="22"/>
          <w:szCs w:val="22"/>
        </w:rPr>
        <w:t>3</w:t>
      </w:r>
      <w:r>
        <w:rPr>
          <w:rFonts w:ascii="Arial Narrow" w:hAnsi="Arial Narrow" w:cs="Tahoma"/>
          <w:sz w:val="22"/>
          <w:szCs w:val="22"/>
        </w:rPr>
        <w:t xml:space="preserve"> a 201</w:t>
      </w:r>
      <w:r w:rsidR="00907A90">
        <w:rPr>
          <w:rFonts w:ascii="Arial Narrow" w:hAnsi="Arial Narrow" w:cs="Tahoma"/>
          <w:sz w:val="22"/>
          <w:szCs w:val="22"/>
        </w:rPr>
        <w:t>6</w:t>
      </w:r>
      <w:r>
        <w:rPr>
          <w:rFonts w:ascii="Arial Narrow" w:hAnsi="Arial Narrow" w:cs="Tahoma"/>
          <w:sz w:val="22"/>
          <w:szCs w:val="22"/>
        </w:rPr>
        <w:t xml:space="preserve"> je v nasledovnom grafe:</w:t>
      </w:r>
      <w:r w:rsidR="00F8576C">
        <w:rPr>
          <w:rFonts w:ascii="Arial Narrow" w:hAnsi="Arial Narrow" w:cs="Tahoma"/>
          <w:sz w:val="22"/>
          <w:szCs w:val="22"/>
        </w:rPr>
        <w:t xml:space="preserve"> </w:t>
      </w:r>
    </w:p>
    <w:p w:rsidR="003F4E41" w:rsidRDefault="003F4E41" w:rsidP="000F4AB5">
      <w:pPr>
        <w:jc w:val="both"/>
        <w:rPr>
          <w:rFonts w:ascii="Arial Narrow" w:hAnsi="Arial Narrow" w:cs="Tahoma"/>
          <w:sz w:val="22"/>
          <w:szCs w:val="22"/>
        </w:rPr>
      </w:pPr>
    </w:p>
    <w:p w:rsidR="000D4310" w:rsidRDefault="000D4310" w:rsidP="000F4AB5">
      <w:pPr>
        <w:jc w:val="both"/>
        <w:rPr>
          <w:rFonts w:ascii="Arial Narrow" w:hAnsi="Arial Narrow" w:cs="Tahoma"/>
          <w:noProof/>
          <w:sz w:val="22"/>
          <w:szCs w:val="22"/>
        </w:rPr>
      </w:pPr>
    </w:p>
    <w:p w:rsidR="003F4E41" w:rsidRDefault="00565C00" w:rsidP="000F4AB5">
      <w:pPr>
        <w:jc w:val="both"/>
        <w:rPr>
          <w:rFonts w:ascii="Arial Narrow" w:hAnsi="Arial Narrow" w:cs="Tahoma"/>
          <w:noProof/>
          <w:sz w:val="22"/>
          <w:szCs w:val="22"/>
        </w:rPr>
      </w:pPr>
      <w:r w:rsidRPr="00565C00">
        <w:rPr>
          <w:rFonts w:ascii="Arial Narrow" w:hAnsi="Arial Narrow" w:cs="Tahoma"/>
          <w:noProof/>
          <w:sz w:val="22"/>
          <w:szCs w:val="22"/>
        </w:rPr>
        <w:drawing>
          <wp:inline distT="0" distB="0" distL="0" distR="0">
            <wp:extent cx="5868035" cy="3156794"/>
            <wp:effectExtent l="19050" t="0" r="18415" b="5506"/>
            <wp:docPr id="2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D1DEA" w:rsidRDefault="004D1DEA" w:rsidP="000F4AB5">
      <w:pPr>
        <w:jc w:val="both"/>
        <w:rPr>
          <w:rFonts w:ascii="Arial Narrow" w:hAnsi="Arial Narrow" w:cs="Tahoma"/>
          <w:sz w:val="22"/>
          <w:szCs w:val="22"/>
        </w:rPr>
      </w:pPr>
    </w:p>
    <w:p w:rsidR="00565C00" w:rsidRDefault="00565C00" w:rsidP="000F4AB5">
      <w:pPr>
        <w:jc w:val="both"/>
        <w:rPr>
          <w:rFonts w:ascii="Arial Narrow" w:hAnsi="Arial Narrow" w:cs="Tahoma"/>
          <w:sz w:val="22"/>
          <w:szCs w:val="22"/>
        </w:rPr>
      </w:pPr>
    </w:p>
    <w:tbl>
      <w:tblPr>
        <w:tblW w:w="578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1900"/>
        <w:gridCol w:w="960"/>
        <w:gridCol w:w="960"/>
        <w:gridCol w:w="960"/>
        <w:gridCol w:w="1000"/>
      </w:tblGrid>
      <w:tr w:rsidR="00565C00" w:rsidRPr="00565C00" w:rsidTr="00565C00">
        <w:trPr>
          <w:trHeight w:val="300"/>
        </w:trPr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rok 2013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rok 2014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rok 2015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rok 2016</w:t>
            </w:r>
          </w:p>
        </w:tc>
      </w:tr>
      <w:tr w:rsidR="00565C00" w:rsidRPr="00565C00" w:rsidTr="00565C00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Likvidita I. stupňa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0,47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0,67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0,49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0,15</w:t>
            </w:r>
          </w:p>
        </w:tc>
      </w:tr>
      <w:tr w:rsidR="00565C00" w:rsidRPr="00565C00" w:rsidTr="00565C00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Likvidita II. stupňa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1,10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1,17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0,96</w:t>
            </w:r>
          </w:p>
        </w:tc>
      </w:tr>
      <w:tr w:rsidR="00565C00" w:rsidRPr="00565C00" w:rsidTr="00565C00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Likvidita III. stupňa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1,10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1,17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00" w:rsidRPr="00565C00" w:rsidRDefault="00565C00" w:rsidP="00565C0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65C00">
              <w:rPr>
                <w:rFonts w:ascii="Calibri" w:hAnsi="Calibri" w:cs="Calibri"/>
                <w:color w:val="000000"/>
                <w:sz w:val="22"/>
                <w:szCs w:val="22"/>
              </w:rPr>
              <w:t>0,96</w:t>
            </w:r>
          </w:p>
        </w:tc>
      </w:tr>
    </w:tbl>
    <w:p w:rsidR="00565C00" w:rsidRDefault="00565C00" w:rsidP="000F4AB5">
      <w:pPr>
        <w:jc w:val="both"/>
        <w:rPr>
          <w:rFonts w:ascii="Arial Narrow" w:hAnsi="Arial Narrow" w:cs="Tahoma"/>
          <w:sz w:val="22"/>
          <w:szCs w:val="22"/>
        </w:rPr>
      </w:pPr>
    </w:p>
    <w:p w:rsidR="000F4AB5" w:rsidRPr="005D0ADD" w:rsidRDefault="00A24506" w:rsidP="000F4AB5">
      <w:pPr>
        <w:jc w:val="both"/>
        <w:rPr>
          <w:rFonts w:ascii="Arial Narrow" w:hAnsi="Arial Narrow" w:cs="Tahoma"/>
          <w:sz w:val="22"/>
          <w:szCs w:val="22"/>
        </w:rPr>
      </w:pPr>
      <w:r>
        <w:rPr>
          <w:rFonts w:ascii="Arial Narrow" w:hAnsi="Arial Narrow" w:cs="Tahoma"/>
          <w:sz w:val="22"/>
          <w:szCs w:val="22"/>
        </w:rPr>
        <w:lastRenderedPageBreak/>
        <w:t>L</w:t>
      </w:r>
      <w:r w:rsidR="000F4AB5" w:rsidRPr="005D0ADD">
        <w:rPr>
          <w:rFonts w:ascii="Arial Narrow" w:hAnsi="Arial Narrow" w:cs="Tahoma"/>
          <w:sz w:val="22"/>
          <w:szCs w:val="22"/>
        </w:rPr>
        <w:t>ikvidita I. stupňa vyjadruje vlastne solventnosť. Jeho ideálna hodnota je 1, vtedy je k dispozícii toľko platobných prostriedkov, koľko činia záväzky. Vypovedá o vzťahu medzi najlikvidnejšou časťou majetku a krátkodobými záväzkami. Za optimálne hodnoty sú považované hodnoty z intervalu 0,8 – 1,0.</w:t>
      </w:r>
      <w:r>
        <w:rPr>
          <w:rFonts w:ascii="Arial Narrow" w:hAnsi="Arial Narrow" w:cs="Tahoma"/>
          <w:sz w:val="22"/>
          <w:szCs w:val="22"/>
        </w:rPr>
        <w:t xml:space="preserve"> </w:t>
      </w:r>
      <w:r w:rsidR="00565C00">
        <w:rPr>
          <w:rFonts w:ascii="Arial Narrow" w:hAnsi="Arial Narrow" w:cs="Tahoma"/>
          <w:sz w:val="22"/>
          <w:szCs w:val="22"/>
        </w:rPr>
        <w:t>V</w:t>
      </w:r>
      <w:r>
        <w:rPr>
          <w:rFonts w:ascii="Arial Narrow" w:hAnsi="Arial Narrow" w:cs="Tahoma"/>
          <w:sz w:val="22"/>
          <w:szCs w:val="22"/>
        </w:rPr>
        <w:t> roku 201</w:t>
      </w:r>
      <w:r w:rsidR="00565C00">
        <w:rPr>
          <w:rFonts w:ascii="Arial Narrow" w:hAnsi="Arial Narrow" w:cs="Tahoma"/>
          <w:sz w:val="22"/>
          <w:szCs w:val="22"/>
        </w:rPr>
        <w:t>4</w:t>
      </w:r>
      <w:r>
        <w:rPr>
          <w:rFonts w:ascii="Arial Narrow" w:hAnsi="Arial Narrow" w:cs="Tahoma"/>
          <w:sz w:val="22"/>
          <w:szCs w:val="22"/>
        </w:rPr>
        <w:t xml:space="preserve"> sa v porovnaní s rokom 2013 okamžitá likvidita zvýšila, avšak </w:t>
      </w:r>
      <w:r w:rsidR="00565C00">
        <w:rPr>
          <w:rFonts w:ascii="Arial Narrow" w:hAnsi="Arial Narrow" w:cs="Tahoma"/>
          <w:sz w:val="22"/>
          <w:szCs w:val="22"/>
        </w:rPr>
        <w:t>od</w:t>
      </w:r>
      <w:r w:rsidR="000D4310">
        <w:rPr>
          <w:rFonts w:ascii="Arial Narrow" w:hAnsi="Arial Narrow" w:cs="Tahoma"/>
          <w:sz w:val="22"/>
          <w:szCs w:val="22"/>
        </w:rPr>
        <w:t> roku 2015</w:t>
      </w:r>
      <w:r w:rsidR="003F4E41">
        <w:rPr>
          <w:rFonts w:ascii="Arial Narrow" w:hAnsi="Arial Narrow" w:cs="Tahoma"/>
          <w:sz w:val="22"/>
          <w:szCs w:val="22"/>
        </w:rPr>
        <w:t xml:space="preserve"> </w:t>
      </w:r>
      <w:r w:rsidR="00565C00">
        <w:rPr>
          <w:rFonts w:ascii="Arial Narrow" w:hAnsi="Arial Narrow" w:cs="Tahoma"/>
          <w:sz w:val="22"/>
          <w:szCs w:val="22"/>
        </w:rPr>
        <w:t>má klesajúci trend</w:t>
      </w:r>
      <w:r w:rsidR="003F4E41">
        <w:rPr>
          <w:rFonts w:ascii="Arial Narrow" w:hAnsi="Arial Narrow" w:cs="Tahoma"/>
          <w:sz w:val="22"/>
          <w:szCs w:val="22"/>
        </w:rPr>
        <w:t xml:space="preserve"> </w:t>
      </w:r>
      <w:r w:rsidR="000D4310">
        <w:rPr>
          <w:rFonts w:ascii="Arial Narrow" w:hAnsi="Arial Narrow" w:cs="Tahoma"/>
          <w:sz w:val="22"/>
          <w:szCs w:val="22"/>
        </w:rPr>
        <w:t xml:space="preserve">a </w:t>
      </w:r>
      <w:r>
        <w:rPr>
          <w:rFonts w:ascii="Arial Narrow" w:hAnsi="Arial Narrow" w:cs="Tahoma"/>
          <w:sz w:val="22"/>
          <w:szCs w:val="22"/>
        </w:rPr>
        <w:t xml:space="preserve"> nedosahuje</w:t>
      </w:r>
      <w:r w:rsidR="000D4310">
        <w:rPr>
          <w:rFonts w:ascii="Arial Narrow" w:hAnsi="Arial Narrow" w:cs="Tahoma"/>
          <w:sz w:val="22"/>
          <w:szCs w:val="22"/>
        </w:rPr>
        <w:t xml:space="preserve"> ani optimum spodnej hranice pre</w:t>
      </w:r>
      <w:r>
        <w:rPr>
          <w:rFonts w:ascii="Arial Narrow" w:hAnsi="Arial Narrow" w:cs="Tahoma"/>
          <w:sz w:val="22"/>
          <w:szCs w:val="22"/>
        </w:rPr>
        <w:t xml:space="preserve"> optimálnu hodnotu.</w:t>
      </w:r>
    </w:p>
    <w:p w:rsidR="000F4AB5" w:rsidRPr="005D0ADD" w:rsidRDefault="000F4AB5" w:rsidP="000F4AB5">
      <w:pPr>
        <w:rPr>
          <w:rFonts w:ascii="Arial Narrow" w:hAnsi="Arial Narrow" w:cs="Tahoma"/>
          <w:sz w:val="22"/>
          <w:szCs w:val="22"/>
        </w:rPr>
      </w:pPr>
    </w:p>
    <w:p w:rsidR="0059496F" w:rsidRDefault="00474A0A" w:rsidP="000F4AB5">
      <w:pPr>
        <w:jc w:val="both"/>
        <w:rPr>
          <w:rFonts w:ascii="Arial Narrow" w:hAnsi="Arial Narrow" w:cs="Tahoma"/>
          <w:sz w:val="22"/>
          <w:szCs w:val="22"/>
        </w:rPr>
      </w:pPr>
      <w:r>
        <w:rPr>
          <w:rFonts w:ascii="Arial Narrow" w:hAnsi="Arial Narrow" w:cs="Tahoma"/>
          <w:sz w:val="22"/>
          <w:szCs w:val="22"/>
        </w:rPr>
        <w:t xml:space="preserve">Vypočítaný ukazovateľ bežnej likvidity zaznamenal </w:t>
      </w:r>
      <w:r w:rsidR="00565C00">
        <w:rPr>
          <w:rFonts w:ascii="Arial Narrow" w:hAnsi="Arial Narrow" w:cs="Tahoma"/>
          <w:sz w:val="22"/>
          <w:szCs w:val="22"/>
        </w:rPr>
        <w:t xml:space="preserve">v roku 2016 </w:t>
      </w:r>
      <w:r>
        <w:rPr>
          <w:rFonts w:ascii="Arial Narrow" w:hAnsi="Arial Narrow" w:cs="Tahoma"/>
          <w:sz w:val="22"/>
          <w:szCs w:val="22"/>
        </w:rPr>
        <w:t xml:space="preserve">v porovnaní s predchádzajúcimi rokmi </w:t>
      </w:r>
      <w:r w:rsidR="00565C00">
        <w:rPr>
          <w:rFonts w:ascii="Arial Narrow" w:hAnsi="Arial Narrow" w:cs="Tahoma"/>
          <w:sz w:val="22"/>
          <w:szCs w:val="22"/>
        </w:rPr>
        <w:t>pokles</w:t>
      </w:r>
      <w:r>
        <w:rPr>
          <w:rFonts w:ascii="Arial Narrow" w:hAnsi="Arial Narrow" w:cs="Tahoma"/>
          <w:sz w:val="22"/>
          <w:szCs w:val="22"/>
        </w:rPr>
        <w:t xml:space="preserve"> a nedosahuje ani úroveň z </w:t>
      </w:r>
      <w:r w:rsidR="00565C00">
        <w:rPr>
          <w:rFonts w:ascii="Arial Narrow" w:hAnsi="Arial Narrow" w:cs="Tahoma"/>
          <w:sz w:val="22"/>
          <w:szCs w:val="22"/>
        </w:rPr>
        <w:t xml:space="preserve"> </w:t>
      </w:r>
      <w:r>
        <w:rPr>
          <w:rFonts w:ascii="Arial Narrow" w:hAnsi="Arial Narrow" w:cs="Tahoma"/>
          <w:sz w:val="22"/>
          <w:szCs w:val="22"/>
        </w:rPr>
        <w:t>z</w:t>
      </w:r>
      <w:r w:rsidR="00A24506">
        <w:rPr>
          <w:rFonts w:ascii="Arial Narrow" w:hAnsi="Arial Narrow" w:cs="Tahoma"/>
          <w:sz w:val="22"/>
          <w:szCs w:val="22"/>
        </w:rPr>
        <w:t> optimálneho intervalu 1 – 2</w:t>
      </w:r>
      <w:r w:rsidR="0096502F">
        <w:rPr>
          <w:rFonts w:ascii="Arial Narrow" w:hAnsi="Arial Narrow" w:cs="Tahoma"/>
          <w:sz w:val="22"/>
          <w:szCs w:val="22"/>
        </w:rPr>
        <w:t xml:space="preserve">. </w:t>
      </w:r>
    </w:p>
    <w:p w:rsidR="00474A0A" w:rsidRDefault="00474A0A" w:rsidP="000F4AB5">
      <w:pPr>
        <w:jc w:val="both"/>
        <w:rPr>
          <w:rFonts w:ascii="Arial Narrow" w:hAnsi="Arial Narrow" w:cs="Tahoma"/>
          <w:sz w:val="22"/>
          <w:szCs w:val="22"/>
        </w:rPr>
      </w:pPr>
    </w:p>
    <w:p w:rsidR="0059496F" w:rsidRDefault="0059496F" w:rsidP="0059496F">
      <w:pPr>
        <w:jc w:val="both"/>
        <w:rPr>
          <w:rFonts w:ascii="Arial Narrow" w:hAnsi="Arial Narrow" w:cs="Tahoma"/>
          <w:sz w:val="22"/>
          <w:szCs w:val="22"/>
        </w:rPr>
      </w:pPr>
      <w:r>
        <w:rPr>
          <w:rFonts w:ascii="Arial Narrow" w:hAnsi="Arial Narrow" w:cs="Tahoma"/>
          <w:sz w:val="22"/>
          <w:szCs w:val="22"/>
        </w:rPr>
        <w:t xml:space="preserve">Vypočítaná celková likvidita </w:t>
      </w:r>
      <w:r w:rsidR="00474A0A">
        <w:rPr>
          <w:rFonts w:ascii="Arial Narrow" w:hAnsi="Arial Narrow" w:cs="Tahoma"/>
          <w:sz w:val="22"/>
          <w:szCs w:val="22"/>
        </w:rPr>
        <w:t xml:space="preserve">v roku 2016 v porovnaní s rokom 2015 poklesla a hodnota tohto ukazovateľa nedosahuje úroveň 1. Pre spoločnosť to znamená financovanie časti dlhodobých aktív krátkodobými záväzkami.  Hodnota tohto ukazovateľa by sa mala pohybovať v intervale 1,5 až 2,5. </w:t>
      </w:r>
    </w:p>
    <w:p w:rsidR="0059496F" w:rsidRDefault="0059496F" w:rsidP="0059496F">
      <w:pPr>
        <w:jc w:val="both"/>
        <w:rPr>
          <w:rFonts w:ascii="Arial Narrow" w:hAnsi="Arial Narrow" w:cs="Tahoma"/>
          <w:sz w:val="22"/>
          <w:szCs w:val="22"/>
        </w:rPr>
      </w:pPr>
    </w:p>
    <w:p w:rsidR="00392956" w:rsidRDefault="000F4AB5" w:rsidP="000F4AB5">
      <w:pPr>
        <w:jc w:val="both"/>
        <w:rPr>
          <w:rFonts w:ascii="Arial Narrow" w:hAnsi="Arial Narrow" w:cs="Tahoma"/>
          <w:sz w:val="22"/>
          <w:szCs w:val="22"/>
        </w:rPr>
      </w:pPr>
      <w:r w:rsidRPr="005D0ADD">
        <w:rPr>
          <w:rFonts w:ascii="Arial Narrow" w:hAnsi="Arial Narrow" w:cs="Tahoma"/>
          <w:sz w:val="22"/>
          <w:szCs w:val="22"/>
        </w:rPr>
        <w:t xml:space="preserve">Cieľom plánovania likvidity v Spoločnosti je zabezpečiť dostatok likvidných prostriedkov. </w:t>
      </w:r>
    </w:p>
    <w:p w:rsidR="00F8576C" w:rsidRDefault="00F8576C" w:rsidP="000F4AB5">
      <w:pPr>
        <w:jc w:val="both"/>
        <w:rPr>
          <w:rFonts w:ascii="Arial Narrow" w:hAnsi="Arial Narrow" w:cs="Tahoma"/>
          <w:b/>
          <w:sz w:val="22"/>
          <w:szCs w:val="22"/>
        </w:rPr>
      </w:pPr>
    </w:p>
    <w:p w:rsidR="00392956" w:rsidRPr="00305141" w:rsidRDefault="00F8576C" w:rsidP="000F4AB5">
      <w:pPr>
        <w:jc w:val="both"/>
        <w:rPr>
          <w:rFonts w:ascii="Arial Narrow" w:hAnsi="Arial Narrow" w:cs="Tahoma"/>
          <w:b/>
          <w:sz w:val="22"/>
          <w:szCs w:val="22"/>
        </w:rPr>
      </w:pPr>
      <w:r>
        <w:rPr>
          <w:rFonts w:ascii="Arial Narrow" w:hAnsi="Arial Narrow" w:cs="Tahoma"/>
          <w:b/>
          <w:sz w:val="22"/>
          <w:szCs w:val="22"/>
        </w:rPr>
        <w:t>Nákladová náročnosť tržieb</w:t>
      </w:r>
    </w:p>
    <w:p w:rsidR="00F8576C" w:rsidRDefault="00F8576C" w:rsidP="00291DEE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F8576C" w:rsidRDefault="00F8576C" w:rsidP="00291DEE">
      <w:pPr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F8576C">
        <w:rPr>
          <w:rFonts w:ascii="Arial Narrow" w:hAnsi="Arial Narrow" w:cs="Tahoma"/>
          <w:sz w:val="22"/>
          <w:szCs w:val="22"/>
        </w:rPr>
        <w:t>Uvedený ukazovateľ uvádza vzťah celkových nákladov k tržbám. Tento ukazovateľ vystupuje ako základný indikátor vývoja celkových nákladov.</w:t>
      </w:r>
      <w:r w:rsidR="0017205B">
        <w:rPr>
          <w:rFonts w:ascii="Arial Narrow" w:hAnsi="Arial Narrow" w:cs="Tahoma"/>
          <w:sz w:val="22"/>
          <w:szCs w:val="22"/>
        </w:rPr>
        <w:t xml:space="preserve"> </w:t>
      </w:r>
    </w:p>
    <w:p w:rsidR="00E82E77" w:rsidRDefault="00E82E77" w:rsidP="00291DEE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E82E77" w:rsidRDefault="00E82E77" w:rsidP="00291DEE">
      <w:pPr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4030980" cy="1764665"/>
            <wp:effectExtent l="0" t="0" r="7620" b="6985"/>
            <wp:wrapSquare wrapText="bothSides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  <w:r>
        <w:rPr>
          <w:rFonts w:ascii="Arial Narrow" w:hAnsi="Arial Narrow" w:cs="Arial"/>
          <w:color w:val="000000"/>
          <w:sz w:val="22"/>
          <w:szCs w:val="22"/>
        </w:rPr>
        <w:br w:type="textWrapping" w:clear="all"/>
      </w:r>
    </w:p>
    <w:p w:rsidR="00F8576C" w:rsidRDefault="00F8576C" w:rsidP="00291DEE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0011D8" w:rsidRDefault="000011D8" w:rsidP="00291DEE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124E6E" w:rsidRPr="00B778B5" w:rsidRDefault="00B778B5" w:rsidP="00945873">
      <w:pPr>
        <w:jc w:val="both"/>
        <w:rPr>
          <w:rFonts w:ascii="Arial Narrow" w:hAnsi="Arial Narrow" w:cs="Tahoma"/>
          <w:b/>
          <w:sz w:val="22"/>
          <w:szCs w:val="22"/>
        </w:rPr>
      </w:pPr>
      <w:r w:rsidRPr="00B778B5">
        <w:rPr>
          <w:rFonts w:ascii="Arial Narrow" w:hAnsi="Arial Narrow" w:cs="Tahoma"/>
          <w:b/>
          <w:sz w:val="22"/>
          <w:szCs w:val="22"/>
        </w:rPr>
        <w:t>Rentabilita</w:t>
      </w:r>
    </w:p>
    <w:p w:rsidR="00DE4D82" w:rsidRDefault="00DE4D82" w:rsidP="00945873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DA4C25" w:rsidRDefault="00B778B5" w:rsidP="00945873">
      <w:pPr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Rentabilita (</w:t>
      </w:r>
      <w:r w:rsidR="00EC3111">
        <w:rPr>
          <w:rFonts w:ascii="Arial Narrow" w:hAnsi="Arial Narrow" w:cs="Arial"/>
          <w:color w:val="000000"/>
          <w:sz w:val="22"/>
          <w:szCs w:val="22"/>
        </w:rPr>
        <w:t>z latinského „</w:t>
      </w:r>
      <w:proofErr w:type="spellStart"/>
      <w:r w:rsidR="00EC3111">
        <w:rPr>
          <w:rFonts w:ascii="Arial Narrow" w:hAnsi="Arial Narrow" w:cs="Arial"/>
          <w:color w:val="000000"/>
          <w:sz w:val="22"/>
          <w:szCs w:val="22"/>
        </w:rPr>
        <w:t>rendita</w:t>
      </w:r>
      <w:proofErr w:type="spellEnd"/>
      <w:r w:rsidR="00EC3111">
        <w:rPr>
          <w:rFonts w:ascii="Arial Narrow" w:hAnsi="Arial Narrow" w:cs="Arial"/>
          <w:color w:val="000000"/>
          <w:sz w:val="22"/>
          <w:szCs w:val="22"/>
        </w:rPr>
        <w:t xml:space="preserve">“, z talianskeho „renta“ </w:t>
      </w:r>
      <w:r>
        <w:rPr>
          <w:rFonts w:ascii="Arial Narrow" w:hAnsi="Arial Narrow" w:cs="Arial"/>
          <w:color w:val="000000"/>
          <w:sz w:val="22"/>
          <w:szCs w:val="22"/>
        </w:rPr>
        <w:t>výnos</w:t>
      </w:r>
      <w:r w:rsidR="00EC3111">
        <w:rPr>
          <w:rFonts w:ascii="Arial Narrow" w:hAnsi="Arial Narrow" w:cs="Arial"/>
          <w:color w:val="000000"/>
          <w:sz w:val="22"/>
          <w:szCs w:val="22"/>
        </w:rPr>
        <w:t xml:space="preserve"> z prenájmu</w:t>
      </w:r>
      <w:r>
        <w:rPr>
          <w:rFonts w:ascii="Arial Narrow" w:hAnsi="Arial Narrow" w:cs="Arial"/>
          <w:color w:val="000000"/>
          <w:sz w:val="22"/>
          <w:szCs w:val="22"/>
        </w:rPr>
        <w:t>)</w:t>
      </w:r>
      <w:r w:rsidR="00EC3111">
        <w:rPr>
          <w:rFonts w:ascii="Arial Narrow" w:hAnsi="Arial Narrow" w:cs="Arial"/>
          <w:color w:val="000000"/>
          <w:sz w:val="22"/>
          <w:szCs w:val="22"/>
        </w:rPr>
        <w:t xml:space="preserve"> alebo tiež výnosnosť </w:t>
      </w:r>
      <w:r w:rsidR="0080470F" w:rsidRPr="0080470F">
        <w:rPr>
          <w:rFonts w:ascii="Arial Narrow" w:hAnsi="Arial Narrow" w:cs="Arial"/>
          <w:color w:val="000000"/>
          <w:sz w:val="22"/>
          <w:szCs w:val="22"/>
        </w:rPr>
        <w:t>znamená schopnos</w:t>
      </w:r>
      <w:r w:rsidR="00DE4D82">
        <w:rPr>
          <w:rFonts w:ascii="Arial Narrow" w:hAnsi="Arial Narrow" w:cs="Arial"/>
          <w:color w:val="000000"/>
          <w:sz w:val="22"/>
          <w:szCs w:val="22"/>
        </w:rPr>
        <w:t>ť</w:t>
      </w:r>
      <w:r w:rsidR="0080470F" w:rsidRPr="0080470F">
        <w:rPr>
          <w:rFonts w:ascii="Arial Narrow" w:hAnsi="Arial Narrow" w:cs="Arial"/>
          <w:color w:val="000000"/>
          <w:sz w:val="22"/>
          <w:szCs w:val="22"/>
        </w:rPr>
        <w:t xml:space="preserve"> dosahova</w:t>
      </w:r>
      <w:r w:rsidR="00DE4D82">
        <w:rPr>
          <w:rFonts w:ascii="Arial Narrow" w:hAnsi="Arial Narrow" w:cs="Arial"/>
          <w:color w:val="000000"/>
          <w:sz w:val="22"/>
          <w:szCs w:val="22"/>
        </w:rPr>
        <w:t>ť</w:t>
      </w:r>
      <w:r w:rsidR="0080470F" w:rsidRPr="0080470F">
        <w:rPr>
          <w:rFonts w:ascii="Arial Narrow" w:hAnsi="Arial Narrow" w:cs="Arial"/>
          <w:color w:val="000000"/>
          <w:sz w:val="22"/>
          <w:szCs w:val="22"/>
        </w:rPr>
        <w:t xml:space="preserve"> </w:t>
      </w:r>
      <w:r w:rsidR="0080470F">
        <w:rPr>
          <w:rFonts w:ascii="Arial Narrow" w:hAnsi="Arial Narrow" w:cs="Arial"/>
          <w:color w:val="000000"/>
          <w:sz w:val="22"/>
          <w:szCs w:val="22"/>
        </w:rPr>
        <w:t>výnos (zisk a pod.) na základe</w:t>
      </w:r>
      <w:r w:rsidR="0080470F" w:rsidRPr="0080470F">
        <w:rPr>
          <w:rFonts w:ascii="Arial Narrow" w:hAnsi="Arial Narrow" w:cs="Arial"/>
          <w:color w:val="000000"/>
          <w:sz w:val="22"/>
          <w:szCs w:val="22"/>
        </w:rPr>
        <w:t xml:space="preserve"> vložených prost</w:t>
      </w:r>
      <w:r w:rsidR="0080470F">
        <w:rPr>
          <w:rFonts w:ascii="Arial Narrow" w:hAnsi="Arial Narrow" w:cs="Arial"/>
          <w:color w:val="000000"/>
          <w:sz w:val="22"/>
          <w:szCs w:val="22"/>
        </w:rPr>
        <w:t>riedkov</w:t>
      </w:r>
      <w:r w:rsidR="0080470F" w:rsidRPr="0080470F">
        <w:rPr>
          <w:rFonts w:ascii="Arial Narrow" w:hAnsi="Arial Narrow" w:cs="Arial"/>
          <w:color w:val="000000"/>
          <w:sz w:val="22"/>
          <w:szCs w:val="22"/>
        </w:rPr>
        <w:t xml:space="preserve">. </w:t>
      </w:r>
    </w:p>
    <w:p w:rsidR="00E82E77" w:rsidRDefault="00E82E77" w:rsidP="00945873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EC3111" w:rsidRDefault="0080470F" w:rsidP="00945873">
      <w:pPr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80470F">
        <w:rPr>
          <w:rFonts w:ascii="Arial Narrow" w:hAnsi="Arial Narrow" w:cs="Arial"/>
          <w:color w:val="000000"/>
          <w:sz w:val="22"/>
          <w:szCs w:val="22"/>
        </w:rPr>
        <w:t>Ukaz</w:t>
      </w:r>
      <w:r>
        <w:rPr>
          <w:rFonts w:ascii="Arial Narrow" w:hAnsi="Arial Narrow" w:cs="Arial"/>
          <w:color w:val="000000"/>
          <w:sz w:val="22"/>
          <w:szCs w:val="22"/>
        </w:rPr>
        <w:t>ova</w:t>
      </w:r>
      <w:r w:rsidRPr="0080470F">
        <w:rPr>
          <w:rFonts w:ascii="Arial Narrow" w:hAnsi="Arial Narrow" w:cs="Arial"/>
          <w:color w:val="000000"/>
          <w:sz w:val="22"/>
          <w:szCs w:val="22"/>
        </w:rPr>
        <w:t>te</w:t>
      </w:r>
      <w:r w:rsidR="00DA4C25">
        <w:rPr>
          <w:rFonts w:ascii="Arial Narrow" w:hAnsi="Arial Narrow" w:cs="Arial"/>
          <w:color w:val="000000"/>
          <w:sz w:val="22"/>
          <w:szCs w:val="22"/>
        </w:rPr>
        <w:t xml:space="preserve">le rentability sú pomerové ukazovatele, dávajú do pomeru zisk so zdrojmi. Označujú sa aj ako ukazovatele návratnosti, výkonnosti, </w:t>
      </w:r>
      <w:proofErr w:type="spellStart"/>
      <w:r w:rsidR="00DA4C25">
        <w:rPr>
          <w:rFonts w:ascii="Arial Narrow" w:hAnsi="Arial Narrow" w:cs="Arial"/>
          <w:color w:val="000000"/>
          <w:sz w:val="22"/>
          <w:szCs w:val="22"/>
        </w:rPr>
        <w:t>profitability</w:t>
      </w:r>
      <w:proofErr w:type="spellEnd"/>
      <w:r w:rsidR="00DA4C25">
        <w:rPr>
          <w:rFonts w:ascii="Arial Narrow" w:hAnsi="Arial Narrow" w:cs="Arial"/>
          <w:color w:val="000000"/>
          <w:sz w:val="22"/>
          <w:szCs w:val="22"/>
        </w:rPr>
        <w:t xml:space="preserve"> </w:t>
      </w:r>
      <w:proofErr w:type="spellStart"/>
      <w:r w:rsidR="00DA4C25">
        <w:rPr>
          <w:rFonts w:ascii="Arial Narrow" w:hAnsi="Arial Narrow" w:cs="Arial"/>
          <w:color w:val="000000"/>
          <w:sz w:val="22"/>
          <w:szCs w:val="22"/>
        </w:rPr>
        <w:t>rat</w:t>
      </w:r>
      <w:r w:rsidR="006839A5">
        <w:rPr>
          <w:rFonts w:ascii="Arial Narrow" w:hAnsi="Arial Narrow" w:cs="Arial"/>
          <w:color w:val="000000"/>
          <w:sz w:val="22"/>
          <w:szCs w:val="22"/>
        </w:rPr>
        <w:t>i</w:t>
      </w:r>
      <w:r w:rsidR="00DA4C25">
        <w:rPr>
          <w:rFonts w:ascii="Arial Narrow" w:hAnsi="Arial Narrow" w:cs="Arial"/>
          <w:color w:val="000000"/>
          <w:sz w:val="22"/>
          <w:szCs w:val="22"/>
        </w:rPr>
        <w:t>o</w:t>
      </w:r>
      <w:proofErr w:type="spellEnd"/>
      <w:r w:rsidR="00DA4C25">
        <w:rPr>
          <w:rFonts w:ascii="Arial Narrow" w:hAnsi="Arial Narrow" w:cs="Arial"/>
          <w:color w:val="000000"/>
          <w:sz w:val="22"/>
          <w:szCs w:val="22"/>
        </w:rPr>
        <w:t xml:space="preserve">. </w:t>
      </w:r>
      <w:r w:rsidRPr="0080470F">
        <w:rPr>
          <w:rFonts w:ascii="Arial Narrow" w:hAnsi="Arial Narrow" w:cs="Arial"/>
          <w:color w:val="000000"/>
          <w:sz w:val="22"/>
          <w:szCs w:val="22"/>
        </w:rPr>
        <w:t xml:space="preserve"> </w:t>
      </w:r>
    </w:p>
    <w:p w:rsidR="00DA4C25" w:rsidRDefault="00DA4C25" w:rsidP="00945873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EC3111" w:rsidRDefault="00EC3111" w:rsidP="00945873">
      <w:pPr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Spoločnosť v roku 2016 zvýšila výnosy v porovnaní s rokom 2015 o 32,83 %, pričom náklady na hospodársku činnosť vzrástli o 27,85 %. </w:t>
      </w:r>
    </w:p>
    <w:p w:rsidR="00E82E77" w:rsidRDefault="00E82E77" w:rsidP="00945873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DA4C25" w:rsidRDefault="00DA4C25" w:rsidP="00945873">
      <w:pPr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Najvyšší nárast nákladov na hospodársku činnosť v roku 2016 v porovnaní s rokom 2015 vykázali náklady na materiál, energie a ostatné neskladovateľné dodávky (44,16 %)</w:t>
      </w:r>
      <w:r w:rsidR="006839A5">
        <w:rPr>
          <w:rFonts w:ascii="Arial Narrow" w:hAnsi="Arial Narrow" w:cs="Arial"/>
          <w:color w:val="000000"/>
          <w:sz w:val="22"/>
          <w:szCs w:val="22"/>
        </w:rPr>
        <w:t>, osobné náklady (32,53 %) a služby (24,19 %).</w:t>
      </w:r>
      <w:r>
        <w:rPr>
          <w:rFonts w:ascii="Arial Narrow" w:hAnsi="Arial Narrow" w:cs="Arial"/>
          <w:color w:val="000000"/>
          <w:sz w:val="22"/>
          <w:szCs w:val="22"/>
        </w:rPr>
        <w:t xml:space="preserve"> </w:t>
      </w:r>
    </w:p>
    <w:p w:rsidR="00EC3111" w:rsidRDefault="00EC3111" w:rsidP="00945873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6B72B2" w:rsidRDefault="006B72B2" w:rsidP="00945873">
      <w:pPr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Zvýšenie hodnoty čistého zisku v roku 2016 v porovnaní s rokom 2015 malo pozitívny vplyv na výpočet ukazovateľov rentability.  Spoločnosť v roku 2016 dosiahla zisk po zdanení vo výške 157 339 EUR. </w:t>
      </w:r>
    </w:p>
    <w:p w:rsidR="006B72B2" w:rsidRDefault="006B72B2" w:rsidP="00945873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6B72B2" w:rsidRDefault="006839A5" w:rsidP="006B72B2">
      <w:pPr>
        <w:tabs>
          <w:tab w:val="left" w:pos="8931"/>
          <w:tab w:val="left" w:pos="9214"/>
        </w:tabs>
        <w:rPr>
          <w:rFonts w:ascii="Arial Narrow" w:hAnsi="Arial Narrow" w:cs="Tahoma"/>
          <w:sz w:val="22"/>
          <w:szCs w:val="22"/>
        </w:rPr>
      </w:pPr>
      <w:r w:rsidRPr="00DE4D82">
        <w:rPr>
          <w:rFonts w:ascii="Arial Narrow" w:hAnsi="Arial Narrow" w:cs="Tahoma"/>
          <w:sz w:val="22"/>
          <w:szCs w:val="22"/>
          <w:u w:val="single"/>
        </w:rPr>
        <w:t>Ukazovateľ rentability celkových aktív</w:t>
      </w:r>
      <w:r w:rsidRPr="005D0ADD">
        <w:rPr>
          <w:rFonts w:ascii="Arial Narrow" w:hAnsi="Arial Narrow" w:cs="Tahoma"/>
          <w:sz w:val="22"/>
          <w:szCs w:val="22"/>
        </w:rPr>
        <w:t xml:space="preserve"> (ROA – </w:t>
      </w:r>
      <w:proofErr w:type="spellStart"/>
      <w:r w:rsidRPr="005D0ADD">
        <w:rPr>
          <w:rFonts w:ascii="Arial Narrow" w:hAnsi="Arial Narrow" w:cs="Tahoma"/>
          <w:sz w:val="22"/>
          <w:szCs w:val="22"/>
        </w:rPr>
        <w:t>return</w:t>
      </w:r>
      <w:proofErr w:type="spellEnd"/>
      <w:r w:rsidRPr="005D0ADD">
        <w:rPr>
          <w:rFonts w:ascii="Arial Narrow" w:hAnsi="Arial Narrow" w:cs="Tahoma"/>
          <w:sz w:val="22"/>
          <w:szCs w:val="22"/>
        </w:rPr>
        <w:t xml:space="preserve"> on </w:t>
      </w:r>
      <w:proofErr w:type="spellStart"/>
      <w:r w:rsidRPr="005D0ADD">
        <w:rPr>
          <w:rFonts w:ascii="Arial Narrow" w:hAnsi="Arial Narrow" w:cs="Tahoma"/>
          <w:sz w:val="22"/>
          <w:szCs w:val="22"/>
        </w:rPr>
        <w:t>assets</w:t>
      </w:r>
      <w:proofErr w:type="spellEnd"/>
      <w:r w:rsidRPr="005D0ADD">
        <w:rPr>
          <w:rFonts w:ascii="Arial Narrow" w:hAnsi="Arial Narrow" w:cs="Tahoma"/>
          <w:sz w:val="22"/>
          <w:szCs w:val="22"/>
        </w:rPr>
        <w:t>), vypočítaný ako podiel čistého zisku k aktívam celkom vyjadruje zhodnotenie celkových aktív bez ohľadu na to, z akých zdrojov sú financované.</w:t>
      </w:r>
    </w:p>
    <w:p w:rsidR="006839A5" w:rsidRDefault="006839A5" w:rsidP="006B72B2">
      <w:pPr>
        <w:tabs>
          <w:tab w:val="left" w:pos="8931"/>
          <w:tab w:val="left" w:pos="9214"/>
        </w:tabs>
        <w:rPr>
          <w:rFonts w:ascii="Arial Narrow" w:hAnsi="Arial Narrow" w:cs="Tahoma"/>
          <w:sz w:val="22"/>
          <w:szCs w:val="22"/>
        </w:rPr>
      </w:pPr>
      <w:r w:rsidRPr="00DE4D82">
        <w:rPr>
          <w:rFonts w:ascii="Arial Narrow" w:hAnsi="Arial Narrow" w:cs="Tahoma"/>
          <w:sz w:val="22"/>
          <w:szCs w:val="22"/>
          <w:u w:val="single"/>
        </w:rPr>
        <w:lastRenderedPageBreak/>
        <w:t>Ukazovateľ rentabilita vlastného imania</w:t>
      </w:r>
      <w:r w:rsidRPr="005D0ADD">
        <w:rPr>
          <w:rFonts w:ascii="Arial Narrow" w:hAnsi="Arial Narrow" w:cs="Tahoma"/>
          <w:sz w:val="22"/>
          <w:szCs w:val="22"/>
        </w:rPr>
        <w:t xml:space="preserve"> (ROE – </w:t>
      </w:r>
      <w:proofErr w:type="spellStart"/>
      <w:r w:rsidRPr="005D0ADD">
        <w:rPr>
          <w:rFonts w:ascii="Arial Narrow" w:hAnsi="Arial Narrow" w:cs="Tahoma"/>
          <w:sz w:val="22"/>
          <w:szCs w:val="22"/>
        </w:rPr>
        <w:t>return</w:t>
      </w:r>
      <w:proofErr w:type="spellEnd"/>
      <w:r w:rsidRPr="005D0ADD">
        <w:rPr>
          <w:rFonts w:ascii="Arial Narrow" w:hAnsi="Arial Narrow" w:cs="Tahoma"/>
          <w:sz w:val="22"/>
          <w:szCs w:val="22"/>
        </w:rPr>
        <w:t xml:space="preserve"> on </w:t>
      </w:r>
      <w:proofErr w:type="spellStart"/>
      <w:r w:rsidRPr="005D0ADD">
        <w:rPr>
          <w:rFonts w:ascii="Arial Narrow" w:hAnsi="Arial Narrow" w:cs="Tahoma"/>
          <w:sz w:val="22"/>
          <w:szCs w:val="22"/>
        </w:rPr>
        <w:t>equity</w:t>
      </w:r>
      <w:proofErr w:type="spellEnd"/>
      <w:r w:rsidRPr="005D0ADD">
        <w:rPr>
          <w:rFonts w:ascii="Arial Narrow" w:hAnsi="Arial Narrow" w:cs="Tahoma"/>
          <w:sz w:val="22"/>
          <w:szCs w:val="22"/>
        </w:rPr>
        <w:t>), vypočítaný ako podiel čistého zisku a vlastného imania</w:t>
      </w:r>
      <w:r>
        <w:rPr>
          <w:rFonts w:ascii="Arial Narrow" w:hAnsi="Arial Narrow" w:cs="Tahoma"/>
          <w:sz w:val="22"/>
          <w:szCs w:val="22"/>
        </w:rPr>
        <w:t xml:space="preserve"> </w:t>
      </w:r>
      <w:r w:rsidRPr="005D0ADD">
        <w:rPr>
          <w:rFonts w:ascii="Arial Narrow" w:hAnsi="Arial Narrow" w:cs="Tahoma"/>
          <w:sz w:val="22"/>
          <w:szCs w:val="22"/>
        </w:rPr>
        <w:t xml:space="preserve"> vyjadruje mieru ziskovosti z vlastného kapitálu.</w:t>
      </w:r>
    </w:p>
    <w:p w:rsidR="006B72B2" w:rsidRDefault="006B72B2" w:rsidP="006839A5">
      <w:pPr>
        <w:rPr>
          <w:rStyle w:val="Siln"/>
          <w:rFonts w:ascii="Arial Narrow" w:hAnsi="Arial Narrow"/>
          <w:b w:val="0"/>
          <w:sz w:val="22"/>
          <w:szCs w:val="22"/>
          <w:u w:val="single"/>
        </w:rPr>
      </w:pPr>
    </w:p>
    <w:p w:rsidR="00DE4D82" w:rsidRPr="006839A5" w:rsidRDefault="00BE16D6" w:rsidP="006839A5">
      <w:pPr>
        <w:rPr>
          <w:rFonts w:ascii="Arial Narrow" w:hAnsi="Arial Narrow" w:cs="Tahoma"/>
          <w:sz w:val="22"/>
          <w:szCs w:val="22"/>
        </w:rPr>
      </w:pPr>
      <w:r>
        <w:rPr>
          <w:rStyle w:val="Siln"/>
          <w:rFonts w:ascii="Arial Narrow" w:hAnsi="Arial Narrow"/>
          <w:b w:val="0"/>
          <w:sz w:val="22"/>
          <w:szCs w:val="22"/>
          <w:u w:val="single"/>
        </w:rPr>
        <w:t>U</w:t>
      </w:r>
      <w:r w:rsidR="00DE4D82" w:rsidRPr="00DE4D82">
        <w:rPr>
          <w:rStyle w:val="Siln"/>
          <w:rFonts w:ascii="Arial Narrow" w:hAnsi="Arial Narrow"/>
          <w:b w:val="0"/>
          <w:sz w:val="22"/>
          <w:szCs w:val="22"/>
          <w:u w:val="single"/>
        </w:rPr>
        <w:t>kazovateľ rentabilita tržieb</w:t>
      </w:r>
      <w:r w:rsidR="00DE4D82" w:rsidRPr="00324172">
        <w:rPr>
          <w:rFonts w:ascii="Arial Narrow" w:hAnsi="Arial Narrow"/>
          <w:b/>
          <w:sz w:val="22"/>
          <w:szCs w:val="22"/>
        </w:rPr>
        <w:t xml:space="preserve"> </w:t>
      </w:r>
      <w:r w:rsidR="00DE4D82" w:rsidRPr="00B57412">
        <w:rPr>
          <w:rFonts w:ascii="Arial Narrow" w:hAnsi="Arial Narrow"/>
          <w:sz w:val="22"/>
          <w:szCs w:val="22"/>
        </w:rPr>
        <w:t>(RO</w:t>
      </w:r>
      <w:r w:rsidR="00DE4D82" w:rsidRPr="00B800DB">
        <w:rPr>
          <w:rFonts w:ascii="Arial Narrow" w:hAnsi="Arial Narrow"/>
          <w:sz w:val="22"/>
          <w:szCs w:val="22"/>
        </w:rPr>
        <w:t xml:space="preserve">S </w:t>
      </w:r>
      <w:r w:rsidR="00DE4D82">
        <w:rPr>
          <w:rFonts w:ascii="Arial Narrow" w:hAnsi="Arial Narrow"/>
          <w:sz w:val="22"/>
          <w:szCs w:val="22"/>
        </w:rPr>
        <w:t>-</w:t>
      </w:r>
      <w:r w:rsidR="00DE4D82">
        <w:rPr>
          <w:rFonts w:ascii="Arial Narrow" w:hAnsi="Arial Narrow"/>
          <w:b/>
          <w:sz w:val="22"/>
          <w:szCs w:val="22"/>
        </w:rPr>
        <w:t xml:space="preserve"> </w:t>
      </w:r>
      <w:proofErr w:type="spellStart"/>
      <w:r w:rsidR="00DE4D82" w:rsidRPr="00B800DB">
        <w:rPr>
          <w:rStyle w:val="Siln"/>
          <w:rFonts w:ascii="Arial Narrow" w:hAnsi="Arial Narrow"/>
          <w:b w:val="0"/>
          <w:sz w:val="22"/>
          <w:szCs w:val="22"/>
        </w:rPr>
        <w:t>Return</w:t>
      </w:r>
      <w:proofErr w:type="spellEnd"/>
      <w:r w:rsidR="00DE4D82" w:rsidRPr="00B800DB">
        <w:rPr>
          <w:rStyle w:val="Siln"/>
          <w:rFonts w:ascii="Arial Narrow" w:hAnsi="Arial Narrow"/>
          <w:b w:val="0"/>
          <w:sz w:val="22"/>
          <w:szCs w:val="22"/>
        </w:rPr>
        <w:t xml:space="preserve"> on </w:t>
      </w:r>
      <w:proofErr w:type="spellStart"/>
      <w:r w:rsidR="00DE4D82" w:rsidRPr="00B800DB">
        <w:rPr>
          <w:rStyle w:val="Siln"/>
          <w:rFonts w:ascii="Arial Narrow" w:hAnsi="Arial Narrow"/>
          <w:b w:val="0"/>
          <w:sz w:val="22"/>
          <w:szCs w:val="22"/>
        </w:rPr>
        <w:t>Sales</w:t>
      </w:r>
      <w:proofErr w:type="spellEnd"/>
      <w:r w:rsidR="00DE4D82" w:rsidRPr="00B800DB">
        <w:rPr>
          <w:rStyle w:val="Siln"/>
          <w:rFonts w:ascii="Arial Narrow" w:hAnsi="Arial Narrow"/>
          <w:b w:val="0"/>
          <w:sz w:val="22"/>
          <w:szCs w:val="22"/>
        </w:rPr>
        <w:t>)</w:t>
      </w:r>
      <w:r w:rsidR="00DE4D82">
        <w:rPr>
          <w:rFonts w:ascii="Arial Narrow" w:hAnsi="Arial Narrow"/>
          <w:b/>
          <w:sz w:val="22"/>
          <w:szCs w:val="22"/>
        </w:rPr>
        <w:t xml:space="preserve"> , </w:t>
      </w:r>
      <w:r w:rsidR="00DE4D82" w:rsidRPr="00B800DB">
        <w:rPr>
          <w:rFonts w:ascii="Arial Narrow" w:hAnsi="Arial Narrow"/>
          <w:sz w:val="22"/>
          <w:szCs w:val="22"/>
        </w:rPr>
        <w:t xml:space="preserve">vypočítaný  ako podiel </w:t>
      </w:r>
      <w:r w:rsidR="00DE4D82" w:rsidRPr="00324172">
        <w:rPr>
          <w:rFonts w:ascii="Arial Narrow" w:hAnsi="Arial Narrow"/>
          <w:sz w:val="22"/>
          <w:szCs w:val="22"/>
        </w:rPr>
        <w:t xml:space="preserve"> </w:t>
      </w:r>
      <w:r w:rsidR="00DE4D82" w:rsidRPr="00B800DB">
        <w:rPr>
          <w:rStyle w:val="Zvraznenie"/>
          <w:rFonts w:ascii="Arial Narrow" w:hAnsi="Arial Narrow"/>
          <w:i w:val="0"/>
          <w:sz w:val="22"/>
          <w:szCs w:val="22"/>
        </w:rPr>
        <w:t>EAT</w:t>
      </w:r>
      <w:r w:rsidR="00DE4D82">
        <w:rPr>
          <w:rStyle w:val="Zvraznenie"/>
          <w:rFonts w:ascii="Arial Narrow" w:hAnsi="Arial Narrow"/>
          <w:i w:val="0"/>
          <w:sz w:val="22"/>
          <w:szCs w:val="22"/>
        </w:rPr>
        <w:t xml:space="preserve"> (</w:t>
      </w:r>
      <w:r w:rsidR="00DE4D82">
        <w:t xml:space="preserve"> </w:t>
      </w:r>
      <w:r w:rsidR="00DE4D82" w:rsidRPr="00D36434">
        <w:rPr>
          <w:rFonts w:ascii="Arial Narrow" w:hAnsi="Arial Narrow"/>
          <w:sz w:val="22"/>
          <w:szCs w:val="22"/>
        </w:rPr>
        <w:t>(</w:t>
      </w:r>
      <w:proofErr w:type="spellStart"/>
      <w:r w:rsidR="00DE4D82" w:rsidRPr="00D36434">
        <w:rPr>
          <w:rFonts w:ascii="Arial Narrow" w:hAnsi="Arial Narrow"/>
          <w:sz w:val="22"/>
          <w:szCs w:val="22"/>
        </w:rPr>
        <w:t>Earnings</w:t>
      </w:r>
      <w:proofErr w:type="spellEnd"/>
      <w:r w:rsidR="00DE4D82" w:rsidRPr="00D36434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DE4D82" w:rsidRPr="00D36434">
        <w:rPr>
          <w:rFonts w:ascii="Arial Narrow" w:hAnsi="Arial Narrow"/>
          <w:sz w:val="22"/>
          <w:szCs w:val="22"/>
        </w:rPr>
        <w:t>after</w:t>
      </w:r>
      <w:proofErr w:type="spellEnd"/>
      <w:r w:rsidR="00DE4D82" w:rsidRPr="00D36434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DE4D82" w:rsidRPr="00D36434">
        <w:rPr>
          <w:rFonts w:ascii="Arial Narrow" w:hAnsi="Arial Narrow"/>
          <w:sz w:val="22"/>
          <w:szCs w:val="22"/>
        </w:rPr>
        <w:t>Taxes</w:t>
      </w:r>
      <w:proofErr w:type="spellEnd"/>
      <w:r w:rsidR="00DE4D82" w:rsidRPr="00D36434">
        <w:rPr>
          <w:rFonts w:ascii="Arial Narrow" w:hAnsi="Arial Narrow"/>
          <w:sz w:val="22"/>
          <w:szCs w:val="22"/>
        </w:rPr>
        <w:t xml:space="preserve"> - čistý zisk - výsledok hospodárenia za účtovné obdobie po zdanení určený na rozdelenie) </w:t>
      </w:r>
      <w:r w:rsidR="00DE4D82" w:rsidRPr="00D36434">
        <w:rPr>
          <w:rFonts w:ascii="Arial Narrow" w:hAnsi="Arial Narrow"/>
          <w:i/>
          <w:sz w:val="22"/>
          <w:szCs w:val="22"/>
        </w:rPr>
        <w:t xml:space="preserve"> </w:t>
      </w:r>
      <w:r w:rsidR="00DE4D82" w:rsidRPr="00D36434">
        <w:rPr>
          <w:rFonts w:ascii="Arial Narrow" w:hAnsi="Arial Narrow"/>
          <w:sz w:val="22"/>
          <w:szCs w:val="22"/>
        </w:rPr>
        <w:t>a</w:t>
      </w:r>
      <w:r w:rsidR="00DE4D82">
        <w:rPr>
          <w:rFonts w:ascii="Arial Narrow" w:hAnsi="Arial Narrow"/>
          <w:sz w:val="22"/>
          <w:szCs w:val="22"/>
        </w:rPr>
        <w:t> </w:t>
      </w:r>
      <w:r w:rsidR="00DE4D82" w:rsidRPr="00D36434">
        <w:rPr>
          <w:rFonts w:ascii="Arial Narrow" w:hAnsi="Arial Narrow"/>
          <w:sz w:val="22"/>
          <w:szCs w:val="22"/>
        </w:rPr>
        <w:t>tržieb</w:t>
      </w:r>
      <w:r w:rsidR="00DE4D82">
        <w:rPr>
          <w:rFonts w:ascii="Arial Narrow" w:hAnsi="Arial Narrow"/>
          <w:sz w:val="22"/>
          <w:szCs w:val="22"/>
        </w:rPr>
        <w:t>. Ukazovateľ</w:t>
      </w:r>
      <w:r w:rsidR="00DE4D82" w:rsidRPr="00D36434">
        <w:rPr>
          <w:rFonts w:ascii="Arial Narrow" w:hAnsi="Arial Narrow"/>
          <w:sz w:val="22"/>
          <w:szCs w:val="22"/>
        </w:rPr>
        <w:t xml:space="preserve"> vyjadruje  koľko jednotiek čistého zisku pripadá na jednu jednotku tržieb. </w:t>
      </w:r>
    </w:p>
    <w:p w:rsidR="008C365A" w:rsidRDefault="008C365A" w:rsidP="00945873">
      <w:pPr>
        <w:jc w:val="both"/>
        <w:rPr>
          <w:rFonts w:ascii="Arial Narrow" w:hAnsi="Arial Narrow" w:cs="Tahoma"/>
          <w:sz w:val="22"/>
          <w:szCs w:val="22"/>
        </w:rPr>
      </w:pPr>
    </w:p>
    <w:p w:rsidR="00DD48B6" w:rsidRDefault="006B72B2" w:rsidP="00945873">
      <w:pPr>
        <w:jc w:val="both"/>
        <w:rPr>
          <w:rFonts w:ascii="Arial Narrow" w:hAnsi="Arial Narrow" w:cs="Tahoma"/>
          <w:sz w:val="22"/>
          <w:szCs w:val="22"/>
        </w:rPr>
      </w:pPr>
      <w:r w:rsidRPr="006B72B2">
        <w:rPr>
          <w:rFonts w:ascii="Arial Narrow" w:hAnsi="Arial Narrow" w:cs="Tahoma"/>
          <w:sz w:val="22"/>
          <w:szCs w:val="22"/>
          <w:u w:val="single"/>
        </w:rPr>
        <w:t>Ukazovateľ r</w:t>
      </w:r>
      <w:r w:rsidR="00DD48B6" w:rsidRPr="006B72B2">
        <w:rPr>
          <w:rFonts w:ascii="Arial Narrow" w:hAnsi="Arial Narrow" w:cs="Tahoma"/>
          <w:sz w:val="22"/>
          <w:szCs w:val="22"/>
          <w:u w:val="single"/>
        </w:rPr>
        <w:t>entabilit</w:t>
      </w:r>
      <w:r w:rsidRPr="006B72B2">
        <w:rPr>
          <w:rFonts w:ascii="Arial Narrow" w:hAnsi="Arial Narrow" w:cs="Tahoma"/>
          <w:sz w:val="22"/>
          <w:szCs w:val="22"/>
          <w:u w:val="single"/>
        </w:rPr>
        <w:t>y</w:t>
      </w:r>
      <w:r w:rsidR="00DD48B6" w:rsidRPr="006B72B2">
        <w:rPr>
          <w:rFonts w:ascii="Arial Narrow" w:hAnsi="Arial Narrow" w:cs="Tahoma"/>
          <w:sz w:val="22"/>
          <w:szCs w:val="22"/>
          <w:u w:val="single"/>
        </w:rPr>
        <w:t xml:space="preserve"> nákladov</w:t>
      </w:r>
      <w:r>
        <w:rPr>
          <w:rFonts w:ascii="Arial Narrow" w:hAnsi="Arial Narrow" w:cs="Tahoma"/>
          <w:sz w:val="22"/>
          <w:szCs w:val="22"/>
        </w:rPr>
        <w:t xml:space="preserve"> (ROC – </w:t>
      </w:r>
      <w:proofErr w:type="spellStart"/>
      <w:r>
        <w:rPr>
          <w:rFonts w:ascii="Arial Narrow" w:hAnsi="Arial Narrow" w:cs="Tahoma"/>
          <w:sz w:val="22"/>
          <w:szCs w:val="22"/>
        </w:rPr>
        <w:t>Return</w:t>
      </w:r>
      <w:proofErr w:type="spellEnd"/>
      <w:r>
        <w:rPr>
          <w:rFonts w:ascii="Arial Narrow" w:hAnsi="Arial Narrow" w:cs="Tahoma"/>
          <w:sz w:val="22"/>
          <w:szCs w:val="22"/>
        </w:rPr>
        <w:t xml:space="preserve"> on </w:t>
      </w:r>
      <w:proofErr w:type="spellStart"/>
      <w:r>
        <w:rPr>
          <w:rFonts w:ascii="Arial Narrow" w:hAnsi="Arial Narrow" w:cs="Tahoma"/>
          <w:sz w:val="22"/>
          <w:szCs w:val="22"/>
        </w:rPr>
        <w:t>Costs</w:t>
      </w:r>
      <w:proofErr w:type="spellEnd"/>
      <w:r>
        <w:rPr>
          <w:rFonts w:ascii="Arial Narrow" w:hAnsi="Arial Narrow" w:cs="Tahoma"/>
          <w:sz w:val="22"/>
          <w:szCs w:val="22"/>
        </w:rPr>
        <w:t>) označuje pomer celkových nákladov k tržbám.</w:t>
      </w:r>
    </w:p>
    <w:p w:rsidR="006B72B2" w:rsidRDefault="006B72B2" w:rsidP="00945873">
      <w:pPr>
        <w:jc w:val="both"/>
        <w:rPr>
          <w:rFonts w:ascii="Arial Narrow" w:hAnsi="Arial Narrow" w:cs="Tahoma"/>
          <w:sz w:val="22"/>
          <w:szCs w:val="22"/>
        </w:rPr>
      </w:pPr>
    </w:p>
    <w:p w:rsidR="00DD48B6" w:rsidRDefault="006B72B2" w:rsidP="00945873">
      <w:pPr>
        <w:jc w:val="both"/>
        <w:rPr>
          <w:rFonts w:ascii="Arial Narrow" w:hAnsi="Arial Narrow" w:cs="Tahoma"/>
          <w:sz w:val="22"/>
          <w:szCs w:val="22"/>
        </w:rPr>
      </w:pPr>
      <w:r>
        <w:rPr>
          <w:rFonts w:ascii="Arial Narrow" w:hAnsi="Arial Narrow" w:cs="Tahoma"/>
          <w:sz w:val="22"/>
          <w:szCs w:val="22"/>
        </w:rPr>
        <w:t xml:space="preserve">Vypočítané ukazovatele rentability spoločnosti za roky 2013 až 2016 sú </w:t>
      </w:r>
      <w:r w:rsidR="00E82E77">
        <w:rPr>
          <w:rFonts w:ascii="Arial Narrow" w:hAnsi="Arial Narrow" w:cs="Tahoma"/>
          <w:sz w:val="22"/>
          <w:szCs w:val="22"/>
        </w:rPr>
        <w:t>uvedené v nasledovnej tabuľke:</w:t>
      </w:r>
    </w:p>
    <w:p w:rsidR="00E82E77" w:rsidRDefault="00E82E77" w:rsidP="00945873">
      <w:pPr>
        <w:jc w:val="both"/>
        <w:rPr>
          <w:rFonts w:ascii="Arial Narrow" w:hAnsi="Arial Narrow" w:cs="Tahoma"/>
          <w:sz w:val="22"/>
          <w:szCs w:val="22"/>
        </w:rPr>
      </w:pPr>
    </w:p>
    <w:tbl>
      <w:tblPr>
        <w:tblW w:w="7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20"/>
        <w:gridCol w:w="960"/>
        <w:gridCol w:w="960"/>
        <w:gridCol w:w="820"/>
        <w:gridCol w:w="1000"/>
      </w:tblGrid>
      <w:tr w:rsidR="00E82E77" w:rsidRPr="00E82E77" w:rsidTr="00E82E77">
        <w:trPr>
          <w:trHeight w:val="300"/>
        </w:trPr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Text položky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2013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2014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2016</w:t>
            </w:r>
          </w:p>
        </w:tc>
      </w:tr>
      <w:tr w:rsidR="00E82E77" w:rsidRPr="00E82E77" w:rsidTr="00E82E77">
        <w:trPr>
          <w:trHeight w:val="30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Rentabilita celkového kapitálu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0,05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0,05</w:t>
            </w:r>
          </w:p>
        </w:tc>
      </w:tr>
      <w:tr w:rsidR="00E82E77" w:rsidRPr="00E82E77" w:rsidTr="00E82E77">
        <w:trPr>
          <w:trHeight w:val="30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Rentabilita vlastného kapitálu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0,28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0,02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0,95</w:t>
            </w:r>
          </w:p>
        </w:tc>
      </w:tr>
      <w:tr w:rsidR="00E82E77" w:rsidRPr="00E82E77" w:rsidTr="00E82E77">
        <w:trPr>
          <w:trHeight w:val="30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Rentabilita tržieb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0,02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0,03</w:t>
            </w:r>
          </w:p>
        </w:tc>
      </w:tr>
      <w:tr w:rsidR="00E82E77" w:rsidRPr="00E82E77" w:rsidTr="00E82E77">
        <w:trPr>
          <w:trHeight w:val="274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Rentabilita nákladov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0,02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2E77" w:rsidRPr="00E82E77" w:rsidRDefault="00E82E77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E82E77">
              <w:rPr>
                <w:rFonts w:ascii="Arial Narrow" w:hAnsi="Arial Narrow" w:cs="Calibri"/>
                <w:color w:val="000000"/>
                <w:sz w:val="22"/>
                <w:szCs w:val="22"/>
              </w:rPr>
              <w:t>0,03</w:t>
            </w:r>
          </w:p>
        </w:tc>
      </w:tr>
    </w:tbl>
    <w:p w:rsidR="00E82E77" w:rsidRDefault="00E82E77" w:rsidP="00945873">
      <w:pPr>
        <w:jc w:val="both"/>
        <w:rPr>
          <w:rFonts w:ascii="Arial Narrow" w:hAnsi="Arial Narrow" w:cs="Tahoma"/>
          <w:sz w:val="22"/>
          <w:szCs w:val="22"/>
        </w:rPr>
      </w:pPr>
    </w:p>
    <w:p w:rsidR="00E82E77" w:rsidRDefault="00E82E77" w:rsidP="00945873">
      <w:pPr>
        <w:jc w:val="both"/>
        <w:rPr>
          <w:rFonts w:ascii="Arial Narrow" w:hAnsi="Arial Narrow" w:cs="Tahoma"/>
          <w:sz w:val="22"/>
          <w:szCs w:val="22"/>
        </w:rPr>
      </w:pPr>
    </w:p>
    <w:p w:rsidR="00E82E77" w:rsidRDefault="00E82E77" w:rsidP="00945873">
      <w:pPr>
        <w:jc w:val="both"/>
        <w:rPr>
          <w:rFonts w:ascii="Arial Narrow" w:hAnsi="Arial Narrow" w:cs="Tahoma"/>
          <w:sz w:val="22"/>
          <w:szCs w:val="22"/>
        </w:rPr>
      </w:pPr>
      <w:r>
        <w:rPr>
          <w:rFonts w:ascii="Arial Narrow" w:hAnsi="Arial Narrow" w:cs="Tahoma"/>
          <w:sz w:val="22"/>
          <w:szCs w:val="22"/>
        </w:rPr>
        <w:t>V grafickom vyjadrení ukazovatele rentability:</w:t>
      </w:r>
    </w:p>
    <w:p w:rsidR="00E82E77" w:rsidRDefault="00E82E77" w:rsidP="00945873">
      <w:pPr>
        <w:jc w:val="both"/>
        <w:rPr>
          <w:rFonts w:ascii="Arial Narrow" w:hAnsi="Arial Narrow" w:cs="Tahoma"/>
          <w:sz w:val="22"/>
          <w:szCs w:val="22"/>
        </w:rPr>
      </w:pPr>
    </w:p>
    <w:p w:rsidR="00E82E77" w:rsidRDefault="00E82E77" w:rsidP="00945873">
      <w:pPr>
        <w:jc w:val="both"/>
        <w:rPr>
          <w:rFonts w:ascii="Arial Narrow" w:hAnsi="Arial Narrow" w:cs="Tahoma"/>
          <w:sz w:val="22"/>
          <w:szCs w:val="22"/>
        </w:rPr>
      </w:pPr>
      <w:bookmarkStart w:id="0" w:name="_GoBack"/>
      <w:r>
        <w:rPr>
          <w:noProof/>
        </w:rPr>
        <w:drawing>
          <wp:inline distT="0" distB="0" distL="0" distR="0">
            <wp:extent cx="4572000" cy="2743200"/>
            <wp:effectExtent l="0" t="0" r="19050" b="1905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bookmarkEnd w:id="0"/>
    </w:p>
    <w:p w:rsidR="00E82E77" w:rsidRDefault="00E82E77" w:rsidP="00945873">
      <w:pPr>
        <w:jc w:val="both"/>
        <w:rPr>
          <w:rFonts w:ascii="Arial Narrow" w:hAnsi="Arial Narrow" w:cs="Tahoma"/>
          <w:sz w:val="22"/>
          <w:szCs w:val="22"/>
        </w:rPr>
      </w:pPr>
    </w:p>
    <w:p w:rsidR="006B72B2" w:rsidRDefault="006B72B2" w:rsidP="00945873">
      <w:pPr>
        <w:jc w:val="both"/>
        <w:rPr>
          <w:rFonts w:ascii="Arial Narrow" w:hAnsi="Arial Narrow" w:cs="Tahoma"/>
          <w:sz w:val="22"/>
          <w:szCs w:val="22"/>
        </w:rPr>
      </w:pPr>
    </w:p>
    <w:p w:rsidR="0064714C" w:rsidRPr="005D0ADD" w:rsidRDefault="0064714C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5D0ADD">
        <w:rPr>
          <w:rFonts w:ascii="Arial Narrow" w:hAnsi="Arial Narrow" w:cs="Tahoma"/>
          <w:caps/>
          <w:color w:val="auto"/>
          <w:sz w:val="22"/>
          <w:szCs w:val="22"/>
        </w:rPr>
        <w:t>RIZIKÁ A NEISTOTY, KTORýM JE SPOLOČNOSť VYSTAVENÁ</w:t>
      </w:r>
    </w:p>
    <w:p w:rsidR="0064714C" w:rsidRPr="005D0ADD" w:rsidRDefault="0064714C" w:rsidP="0064714C">
      <w:pPr>
        <w:jc w:val="both"/>
        <w:rPr>
          <w:rFonts w:ascii="Arial Narrow" w:hAnsi="Arial Narrow" w:cs="Tahoma"/>
          <w:sz w:val="22"/>
          <w:szCs w:val="22"/>
        </w:rPr>
      </w:pPr>
      <w:r w:rsidRPr="005D0ADD">
        <w:rPr>
          <w:rFonts w:ascii="Arial Narrow" w:hAnsi="Arial Narrow" w:cs="Tahoma"/>
          <w:sz w:val="22"/>
          <w:szCs w:val="22"/>
        </w:rPr>
        <w:t>H</w:t>
      </w:r>
      <w:r w:rsidR="002712CA">
        <w:rPr>
          <w:rFonts w:ascii="Arial Narrow" w:hAnsi="Arial Narrow" w:cs="Tahoma"/>
          <w:sz w:val="22"/>
          <w:szCs w:val="22"/>
        </w:rPr>
        <w:t xml:space="preserve">lavnou činnosťou </w:t>
      </w:r>
      <w:r w:rsidR="00F8576C">
        <w:rPr>
          <w:rFonts w:ascii="Arial Narrow" w:hAnsi="Arial Narrow" w:cs="Tahoma"/>
          <w:sz w:val="22"/>
          <w:szCs w:val="22"/>
        </w:rPr>
        <w:t>s</w:t>
      </w:r>
      <w:r w:rsidR="002712CA">
        <w:rPr>
          <w:rFonts w:ascii="Arial Narrow" w:hAnsi="Arial Narrow" w:cs="Tahoma"/>
          <w:sz w:val="22"/>
          <w:szCs w:val="22"/>
        </w:rPr>
        <w:t>poločnosti sú služby spojené s elektronickou ochranou objektov</w:t>
      </w:r>
      <w:r w:rsidR="00A0142F" w:rsidRPr="005D0ADD">
        <w:rPr>
          <w:rFonts w:ascii="Arial Narrow" w:hAnsi="Arial Narrow" w:cs="Tahoma"/>
          <w:sz w:val="22"/>
          <w:szCs w:val="22"/>
        </w:rPr>
        <w:t>.</w:t>
      </w:r>
      <w:r w:rsidRPr="005D0ADD">
        <w:rPr>
          <w:rFonts w:ascii="Arial Narrow" w:hAnsi="Arial Narrow" w:cs="Tahoma"/>
          <w:sz w:val="22"/>
          <w:szCs w:val="22"/>
        </w:rPr>
        <w:t xml:space="preserve"> Politika štátu a jej vplyv na obyvateľstvo a podnikateľské subjekty, zmeny v</w:t>
      </w:r>
      <w:r w:rsidR="00F8576C">
        <w:rPr>
          <w:rFonts w:ascii="Arial Narrow" w:hAnsi="Arial Narrow" w:cs="Tahoma"/>
          <w:sz w:val="22"/>
          <w:szCs w:val="22"/>
        </w:rPr>
        <w:t> zákonoch ovplyvňujúce činnosť s</w:t>
      </w:r>
      <w:r w:rsidRPr="005D0ADD">
        <w:rPr>
          <w:rFonts w:ascii="Arial Narrow" w:hAnsi="Arial Narrow" w:cs="Tahoma"/>
          <w:sz w:val="22"/>
          <w:szCs w:val="22"/>
        </w:rPr>
        <w:t xml:space="preserve">poločnosti môžu do určitej miery vplývať na ďalší rozvoj </w:t>
      </w:r>
      <w:r w:rsidR="00F8576C">
        <w:rPr>
          <w:rFonts w:ascii="Arial Narrow" w:hAnsi="Arial Narrow" w:cs="Tahoma"/>
          <w:sz w:val="22"/>
          <w:szCs w:val="22"/>
        </w:rPr>
        <w:t>s</w:t>
      </w:r>
      <w:r w:rsidRPr="005D0ADD">
        <w:rPr>
          <w:rFonts w:ascii="Arial Narrow" w:hAnsi="Arial Narrow" w:cs="Tahoma"/>
          <w:sz w:val="22"/>
          <w:szCs w:val="22"/>
        </w:rPr>
        <w:t xml:space="preserve">poločnosti. </w:t>
      </w:r>
    </w:p>
    <w:p w:rsidR="0064714C" w:rsidRPr="005D0ADD" w:rsidRDefault="0064714C" w:rsidP="0064714C">
      <w:pPr>
        <w:jc w:val="both"/>
        <w:rPr>
          <w:rFonts w:ascii="Arial Narrow" w:hAnsi="Arial Narrow" w:cs="Tahoma"/>
          <w:b/>
          <w:smallCaps/>
          <w:sz w:val="22"/>
          <w:szCs w:val="22"/>
        </w:rPr>
      </w:pPr>
    </w:p>
    <w:p w:rsidR="0064714C" w:rsidRPr="005D0ADD" w:rsidRDefault="0064714C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5D0ADD">
        <w:rPr>
          <w:rFonts w:ascii="Arial Narrow" w:hAnsi="Arial Narrow" w:cs="Tahoma"/>
          <w:caps/>
          <w:color w:val="auto"/>
          <w:sz w:val="22"/>
          <w:szCs w:val="22"/>
        </w:rPr>
        <w:t>VPLYV ČINNOSTI SPOLOČNOSTI A JEJ DOPAD NA ŽIVOTNÉ PROSTREDIE</w:t>
      </w:r>
    </w:p>
    <w:p w:rsidR="00A0142F" w:rsidRPr="005D0ADD" w:rsidRDefault="009B10A3" w:rsidP="009B10A3">
      <w:pPr>
        <w:tabs>
          <w:tab w:val="left" w:pos="8647"/>
        </w:tabs>
        <w:ind w:right="-99" w:hanging="900"/>
        <w:jc w:val="both"/>
        <w:rPr>
          <w:rFonts w:ascii="Arial Narrow" w:hAnsi="Arial Narrow" w:cs="Tahoma"/>
          <w:iCs/>
          <w:sz w:val="22"/>
          <w:szCs w:val="22"/>
        </w:rPr>
      </w:pPr>
      <w:r w:rsidRPr="005D0ADD">
        <w:rPr>
          <w:rFonts w:ascii="Arial Narrow" w:hAnsi="Arial Narrow" w:cs="Tahoma"/>
          <w:iCs/>
          <w:sz w:val="22"/>
          <w:szCs w:val="22"/>
        </w:rPr>
        <w:tab/>
        <w:t xml:space="preserve">Činnosť </w:t>
      </w:r>
      <w:r w:rsidR="00F8576C">
        <w:rPr>
          <w:rFonts w:ascii="Arial Narrow" w:hAnsi="Arial Narrow" w:cs="Tahoma"/>
          <w:iCs/>
          <w:sz w:val="22"/>
          <w:szCs w:val="22"/>
        </w:rPr>
        <w:t>s</w:t>
      </w:r>
      <w:r w:rsidRPr="005D0ADD">
        <w:rPr>
          <w:rFonts w:ascii="Arial Narrow" w:hAnsi="Arial Narrow" w:cs="Tahoma"/>
          <w:iCs/>
          <w:sz w:val="22"/>
          <w:szCs w:val="22"/>
        </w:rPr>
        <w:t xml:space="preserve">poločnosti nemá významný vplyv na životné prostredie. Napriek tomu v rámci svojich aktivít sa vedenie </w:t>
      </w:r>
      <w:r w:rsidR="00A0142F" w:rsidRPr="005D0ADD">
        <w:rPr>
          <w:rFonts w:ascii="Arial Narrow" w:hAnsi="Arial Narrow" w:cs="Tahoma"/>
          <w:iCs/>
          <w:sz w:val="22"/>
          <w:szCs w:val="22"/>
        </w:rPr>
        <w:t>spoločnosti berie do úvahy ekologicky prístup.</w:t>
      </w:r>
    </w:p>
    <w:p w:rsidR="003C5352" w:rsidRPr="005D0ADD" w:rsidRDefault="003C5352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</w:p>
    <w:p w:rsidR="0064714C" w:rsidRPr="005D0ADD" w:rsidRDefault="0064714C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5D0ADD">
        <w:rPr>
          <w:rFonts w:ascii="Arial Narrow" w:hAnsi="Arial Narrow" w:cs="Tahoma"/>
          <w:caps/>
          <w:color w:val="auto"/>
          <w:sz w:val="22"/>
          <w:szCs w:val="22"/>
        </w:rPr>
        <w:t>VPLYV SPOLOČNOSTI NA ZAMESTNANOSŤ</w:t>
      </w:r>
    </w:p>
    <w:p w:rsidR="0064714C" w:rsidRPr="005D0ADD" w:rsidRDefault="00F4653E" w:rsidP="0064714C">
      <w:pPr>
        <w:pStyle w:val="Zkladntext2"/>
        <w:jc w:val="both"/>
        <w:rPr>
          <w:rFonts w:ascii="Arial Narrow" w:hAnsi="Arial Narrow" w:cs="Tahoma"/>
          <w:i w:val="0"/>
          <w:sz w:val="22"/>
          <w:szCs w:val="22"/>
        </w:rPr>
      </w:pPr>
      <w:r>
        <w:rPr>
          <w:rFonts w:ascii="Arial Narrow" w:hAnsi="Arial Narrow" w:cs="Tahoma"/>
          <w:i w:val="0"/>
          <w:sz w:val="22"/>
          <w:szCs w:val="22"/>
        </w:rPr>
        <w:t>Priemerný prepočítaný počet zamestnancov v s</w:t>
      </w:r>
      <w:r w:rsidR="0064714C" w:rsidRPr="005D0ADD">
        <w:rPr>
          <w:rFonts w:ascii="Arial Narrow" w:hAnsi="Arial Narrow" w:cs="Tahoma"/>
          <w:i w:val="0"/>
          <w:sz w:val="22"/>
          <w:szCs w:val="22"/>
        </w:rPr>
        <w:t>poločnos</w:t>
      </w:r>
      <w:r>
        <w:rPr>
          <w:rFonts w:ascii="Arial Narrow" w:hAnsi="Arial Narrow" w:cs="Tahoma"/>
          <w:i w:val="0"/>
          <w:sz w:val="22"/>
          <w:szCs w:val="22"/>
        </w:rPr>
        <w:t>ti</w:t>
      </w:r>
      <w:r w:rsidR="0064714C" w:rsidRPr="005D0ADD">
        <w:rPr>
          <w:rFonts w:ascii="Arial Narrow" w:hAnsi="Arial Narrow" w:cs="Tahoma"/>
          <w:i w:val="0"/>
          <w:sz w:val="22"/>
          <w:szCs w:val="22"/>
        </w:rPr>
        <w:t xml:space="preserve"> v roku </w:t>
      </w:r>
      <w:r w:rsidR="005D0ADD" w:rsidRPr="005D0ADD">
        <w:rPr>
          <w:rFonts w:ascii="Arial Narrow" w:hAnsi="Arial Narrow" w:cs="Tahoma"/>
          <w:i w:val="0"/>
          <w:sz w:val="22"/>
          <w:szCs w:val="22"/>
        </w:rPr>
        <w:t>201</w:t>
      </w:r>
      <w:r w:rsidR="00907A90">
        <w:rPr>
          <w:rFonts w:ascii="Arial Narrow" w:hAnsi="Arial Narrow" w:cs="Tahoma"/>
          <w:i w:val="0"/>
          <w:sz w:val="22"/>
          <w:szCs w:val="22"/>
        </w:rPr>
        <w:t>6</w:t>
      </w:r>
      <w:r>
        <w:rPr>
          <w:rFonts w:ascii="Arial Narrow" w:hAnsi="Arial Narrow" w:cs="Tahoma"/>
          <w:i w:val="0"/>
          <w:sz w:val="22"/>
          <w:szCs w:val="22"/>
        </w:rPr>
        <w:t xml:space="preserve"> bol</w:t>
      </w:r>
      <w:r w:rsidR="0064714C" w:rsidRPr="005D0ADD">
        <w:rPr>
          <w:rFonts w:ascii="Arial Narrow" w:hAnsi="Arial Narrow" w:cs="Tahoma"/>
          <w:i w:val="0"/>
          <w:sz w:val="22"/>
          <w:szCs w:val="22"/>
        </w:rPr>
        <w:t xml:space="preserve"> </w:t>
      </w:r>
      <w:r>
        <w:rPr>
          <w:rFonts w:ascii="Arial Narrow" w:hAnsi="Arial Narrow" w:cs="Tahoma"/>
          <w:i w:val="0"/>
          <w:sz w:val="22"/>
          <w:szCs w:val="22"/>
        </w:rPr>
        <w:t>1</w:t>
      </w:r>
      <w:r w:rsidR="00AF09E6">
        <w:rPr>
          <w:rFonts w:ascii="Arial Narrow" w:hAnsi="Arial Narrow" w:cs="Tahoma"/>
          <w:i w:val="0"/>
          <w:sz w:val="22"/>
          <w:szCs w:val="22"/>
        </w:rPr>
        <w:t>2</w:t>
      </w:r>
      <w:r w:rsidR="003C5352" w:rsidRPr="005D0ADD">
        <w:rPr>
          <w:rFonts w:ascii="Arial Narrow" w:hAnsi="Arial Narrow" w:cs="Tahoma"/>
          <w:i w:val="0"/>
          <w:sz w:val="22"/>
          <w:szCs w:val="22"/>
        </w:rPr>
        <w:t xml:space="preserve"> </w:t>
      </w:r>
      <w:r w:rsidR="000D52EE" w:rsidRPr="005D0ADD">
        <w:rPr>
          <w:rFonts w:ascii="Arial Narrow" w:hAnsi="Arial Narrow" w:cs="Tahoma"/>
          <w:i w:val="0"/>
          <w:sz w:val="22"/>
          <w:szCs w:val="22"/>
        </w:rPr>
        <w:t>zamestnancov</w:t>
      </w:r>
      <w:r w:rsidR="00A0142F" w:rsidRPr="005D0ADD">
        <w:rPr>
          <w:rFonts w:ascii="Arial Narrow" w:hAnsi="Arial Narrow" w:cs="Tahoma"/>
          <w:i w:val="0"/>
          <w:sz w:val="22"/>
          <w:szCs w:val="22"/>
        </w:rPr>
        <w:t xml:space="preserve"> z toho </w:t>
      </w:r>
      <w:r w:rsidR="002712CA">
        <w:rPr>
          <w:rFonts w:ascii="Arial Narrow" w:hAnsi="Arial Narrow" w:cs="Tahoma"/>
          <w:i w:val="0"/>
          <w:sz w:val="22"/>
          <w:szCs w:val="22"/>
        </w:rPr>
        <w:t xml:space="preserve">1 </w:t>
      </w:r>
      <w:r w:rsidR="00A0142F" w:rsidRPr="005D0ADD">
        <w:rPr>
          <w:rFonts w:ascii="Arial Narrow" w:hAnsi="Arial Narrow" w:cs="Tahoma"/>
          <w:i w:val="0"/>
          <w:sz w:val="22"/>
          <w:szCs w:val="22"/>
        </w:rPr>
        <w:t>riadiac</w:t>
      </w:r>
      <w:r>
        <w:rPr>
          <w:rFonts w:ascii="Arial Narrow" w:hAnsi="Arial Narrow" w:cs="Tahoma"/>
          <w:i w:val="0"/>
          <w:sz w:val="22"/>
          <w:szCs w:val="22"/>
        </w:rPr>
        <w:t>i</w:t>
      </w:r>
      <w:r w:rsidR="00A0142F" w:rsidRPr="005D0ADD">
        <w:rPr>
          <w:rFonts w:ascii="Arial Narrow" w:hAnsi="Arial Narrow" w:cs="Tahoma"/>
          <w:i w:val="0"/>
          <w:sz w:val="22"/>
          <w:szCs w:val="22"/>
        </w:rPr>
        <w:t xml:space="preserve"> zamestnan</w:t>
      </w:r>
      <w:r>
        <w:rPr>
          <w:rFonts w:ascii="Arial Narrow" w:hAnsi="Arial Narrow" w:cs="Tahoma"/>
          <w:i w:val="0"/>
          <w:sz w:val="22"/>
          <w:szCs w:val="22"/>
        </w:rPr>
        <w:t>e</w:t>
      </w:r>
      <w:r w:rsidR="00A0142F" w:rsidRPr="005D0ADD">
        <w:rPr>
          <w:rFonts w:ascii="Arial Narrow" w:hAnsi="Arial Narrow" w:cs="Tahoma"/>
          <w:i w:val="0"/>
          <w:sz w:val="22"/>
          <w:szCs w:val="22"/>
        </w:rPr>
        <w:t>c</w:t>
      </w:r>
      <w:r w:rsidR="000D52EE" w:rsidRPr="005D0ADD">
        <w:rPr>
          <w:rFonts w:ascii="Arial Narrow" w:hAnsi="Arial Narrow" w:cs="Tahoma"/>
          <w:i w:val="0"/>
          <w:sz w:val="22"/>
          <w:szCs w:val="22"/>
        </w:rPr>
        <w:t>.</w:t>
      </w:r>
      <w:r w:rsidR="0064714C" w:rsidRPr="005D0ADD">
        <w:rPr>
          <w:rFonts w:ascii="Arial Narrow" w:hAnsi="Arial Narrow" w:cs="Tahoma"/>
          <w:i w:val="0"/>
          <w:sz w:val="22"/>
          <w:szCs w:val="22"/>
        </w:rPr>
        <w:t xml:space="preserve"> </w:t>
      </w:r>
      <w:r w:rsidR="00A0142F" w:rsidRPr="005D0ADD">
        <w:rPr>
          <w:rFonts w:ascii="Arial Narrow" w:hAnsi="Arial Narrow" w:cs="Tahoma"/>
          <w:i w:val="0"/>
          <w:sz w:val="22"/>
          <w:szCs w:val="22"/>
        </w:rPr>
        <w:t xml:space="preserve"> V minulom období to bolo </w:t>
      </w:r>
      <w:r w:rsidR="00AF09E6">
        <w:rPr>
          <w:rFonts w:ascii="Arial Narrow" w:hAnsi="Arial Narrow" w:cs="Tahoma"/>
          <w:i w:val="0"/>
          <w:sz w:val="22"/>
          <w:szCs w:val="22"/>
        </w:rPr>
        <w:t>10</w:t>
      </w:r>
      <w:r w:rsidR="00A0142F" w:rsidRPr="005D0ADD">
        <w:rPr>
          <w:rFonts w:ascii="Arial Narrow" w:hAnsi="Arial Narrow" w:cs="Tahoma"/>
          <w:i w:val="0"/>
          <w:sz w:val="22"/>
          <w:szCs w:val="22"/>
        </w:rPr>
        <w:t xml:space="preserve"> zamestnancov</w:t>
      </w:r>
      <w:r w:rsidR="00A42998">
        <w:rPr>
          <w:rFonts w:ascii="Arial Narrow" w:hAnsi="Arial Narrow" w:cs="Tahoma"/>
          <w:i w:val="0"/>
          <w:sz w:val="22"/>
          <w:szCs w:val="22"/>
        </w:rPr>
        <w:t xml:space="preserve">. </w:t>
      </w:r>
      <w:r w:rsidR="00A0142F" w:rsidRPr="005D0ADD">
        <w:rPr>
          <w:rFonts w:ascii="Arial Narrow" w:hAnsi="Arial Narrow" w:cs="Tahoma"/>
          <w:i w:val="0"/>
          <w:sz w:val="22"/>
          <w:szCs w:val="22"/>
        </w:rPr>
        <w:t xml:space="preserve"> </w:t>
      </w:r>
      <w:r w:rsidR="0064714C" w:rsidRPr="005D0ADD">
        <w:rPr>
          <w:rFonts w:ascii="Arial Narrow" w:hAnsi="Arial Narrow" w:cs="Tahoma"/>
          <w:i w:val="0"/>
          <w:sz w:val="22"/>
          <w:szCs w:val="22"/>
        </w:rPr>
        <w:t>Spoločnosť</w:t>
      </w:r>
      <w:r w:rsidR="00A42998">
        <w:rPr>
          <w:rFonts w:ascii="Arial Narrow" w:hAnsi="Arial Narrow" w:cs="Tahoma"/>
          <w:i w:val="0"/>
          <w:sz w:val="22"/>
          <w:szCs w:val="22"/>
        </w:rPr>
        <w:t xml:space="preserve"> investuje </w:t>
      </w:r>
      <w:r w:rsidR="0064714C" w:rsidRPr="005D0ADD">
        <w:rPr>
          <w:rFonts w:ascii="Arial Narrow" w:hAnsi="Arial Narrow" w:cs="Tahoma"/>
          <w:i w:val="0"/>
          <w:sz w:val="22"/>
          <w:szCs w:val="22"/>
        </w:rPr>
        <w:t xml:space="preserve"> do rozvoja ľudských zdrojov, zamestnanci pravidelne absolv</w:t>
      </w:r>
      <w:r w:rsidR="00A42998">
        <w:rPr>
          <w:rFonts w:ascii="Arial Narrow" w:hAnsi="Arial Narrow" w:cs="Tahoma"/>
          <w:i w:val="0"/>
          <w:sz w:val="22"/>
          <w:szCs w:val="22"/>
        </w:rPr>
        <w:t xml:space="preserve">ujú školenia, ktoré jednak súvisia s výkonom ich profesie ale jednak i z pohľadu bezpečnosti práce. </w:t>
      </w:r>
    </w:p>
    <w:p w:rsidR="0072176D" w:rsidRPr="005D0ADD" w:rsidRDefault="0072176D" w:rsidP="0064714C">
      <w:pPr>
        <w:pStyle w:val="Zarkazkladnhotextu2"/>
        <w:ind w:firstLine="0"/>
        <w:rPr>
          <w:rFonts w:ascii="Arial Narrow" w:hAnsi="Arial Narrow" w:cs="Tahoma"/>
          <w:sz w:val="22"/>
          <w:szCs w:val="22"/>
        </w:rPr>
      </w:pPr>
    </w:p>
    <w:p w:rsidR="0064714C" w:rsidRPr="005D0ADD" w:rsidRDefault="0064714C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5D0ADD">
        <w:rPr>
          <w:rFonts w:ascii="Arial Narrow" w:hAnsi="Arial Narrow" w:cs="Tahoma"/>
          <w:caps/>
          <w:color w:val="auto"/>
          <w:sz w:val="22"/>
          <w:szCs w:val="22"/>
        </w:rPr>
        <w:t>UDALOSTI OSOBITNÉHO VÝZNAMU, KTORÉ NASTALI PO SKONČENI ÚČTOVNÉHO OBDOBIA, ZA KTORÉ SA VYHOTOVUJE VÝROČNÁ SPRÁVA</w:t>
      </w:r>
    </w:p>
    <w:p w:rsidR="0064714C" w:rsidRPr="005D0ADD" w:rsidRDefault="0064714C" w:rsidP="0064714C">
      <w:pPr>
        <w:jc w:val="both"/>
        <w:rPr>
          <w:rFonts w:ascii="Arial Narrow" w:hAnsi="Arial Narrow" w:cs="Tahoma"/>
          <w:sz w:val="22"/>
          <w:szCs w:val="22"/>
        </w:rPr>
      </w:pPr>
      <w:r w:rsidRPr="005D0ADD">
        <w:rPr>
          <w:rFonts w:ascii="Arial Narrow" w:hAnsi="Arial Narrow" w:cs="Tahoma"/>
          <w:sz w:val="22"/>
          <w:szCs w:val="22"/>
        </w:rPr>
        <w:t>Po skončení účtovného obdobia, za ktoré sa vyhotovuje výročná správa, nenastali udalosti osobitného významu okrem informácií, nachádzajúcich sa v Poznámkach k účtovnej závierke.</w:t>
      </w:r>
    </w:p>
    <w:p w:rsidR="0072176D" w:rsidRPr="005D0ADD" w:rsidRDefault="0072176D" w:rsidP="0064714C">
      <w:pPr>
        <w:jc w:val="both"/>
        <w:rPr>
          <w:rFonts w:ascii="Arial Narrow" w:hAnsi="Arial Narrow" w:cs="Tahoma"/>
          <w:sz w:val="22"/>
          <w:szCs w:val="22"/>
        </w:rPr>
      </w:pPr>
    </w:p>
    <w:p w:rsidR="0064714C" w:rsidRPr="005D0ADD" w:rsidRDefault="0064714C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5D0ADD">
        <w:rPr>
          <w:rFonts w:ascii="Arial Narrow" w:hAnsi="Arial Narrow" w:cs="Tahoma"/>
          <w:caps/>
          <w:color w:val="auto"/>
          <w:sz w:val="22"/>
          <w:szCs w:val="22"/>
        </w:rPr>
        <w:t>PREDPOKLADANÝ BUDÚCI VÝVOJ ČINNOSTI SPOLOČNOSTI</w:t>
      </w:r>
    </w:p>
    <w:p w:rsidR="00AE4869" w:rsidRPr="005D0ADD" w:rsidRDefault="0064714C" w:rsidP="008A5D33">
      <w:pPr>
        <w:jc w:val="both"/>
        <w:rPr>
          <w:rFonts w:ascii="Arial Narrow" w:hAnsi="Arial Narrow" w:cs="Tahoma"/>
          <w:sz w:val="22"/>
          <w:szCs w:val="22"/>
        </w:rPr>
      </w:pPr>
      <w:r w:rsidRPr="005D0ADD">
        <w:rPr>
          <w:rFonts w:ascii="Arial Narrow" w:hAnsi="Arial Narrow" w:cs="Tahoma"/>
          <w:sz w:val="22"/>
          <w:szCs w:val="22"/>
        </w:rPr>
        <w:t>Spoločnosť bude pokračovať nepretržite vo svojej činnos</w:t>
      </w:r>
      <w:r w:rsidR="000B1775" w:rsidRPr="005D0ADD">
        <w:rPr>
          <w:rFonts w:ascii="Arial Narrow" w:hAnsi="Arial Narrow" w:cs="Tahoma"/>
          <w:sz w:val="22"/>
          <w:szCs w:val="22"/>
        </w:rPr>
        <w:t>ti aj v nasledujúcom období</w:t>
      </w:r>
      <w:r w:rsidRPr="005D0ADD">
        <w:rPr>
          <w:rFonts w:ascii="Arial Narrow" w:hAnsi="Arial Narrow" w:cs="Tahoma"/>
          <w:sz w:val="22"/>
          <w:szCs w:val="22"/>
        </w:rPr>
        <w:t>.</w:t>
      </w:r>
      <w:r w:rsidR="004D0FBB" w:rsidRPr="005D0ADD">
        <w:rPr>
          <w:rFonts w:ascii="Arial Narrow" w:hAnsi="Arial Narrow" w:cs="Tahoma"/>
          <w:sz w:val="22"/>
          <w:szCs w:val="22"/>
        </w:rPr>
        <w:t xml:space="preserve"> </w:t>
      </w:r>
    </w:p>
    <w:p w:rsidR="0064714C" w:rsidRPr="005D0ADD" w:rsidRDefault="0064714C" w:rsidP="0064714C">
      <w:pPr>
        <w:jc w:val="both"/>
        <w:rPr>
          <w:rFonts w:ascii="Arial Narrow" w:hAnsi="Arial Narrow" w:cs="Tahoma"/>
          <w:b/>
          <w:smallCaps/>
          <w:sz w:val="22"/>
          <w:szCs w:val="22"/>
        </w:rPr>
      </w:pPr>
    </w:p>
    <w:p w:rsidR="0064714C" w:rsidRPr="005D0ADD" w:rsidRDefault="0064714C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5D0ADD">
        <w:rPr>
          <w:rFonts w:ascii="Arial Narrow" w:hAnsi="Arial Narrow" w:cs="Tahoma"/>
          <w:caps/>
          <w:color w:val="auto"/>
          <w:sz w:val="22"/>
          <w:szCs w:val="22"/>
        </w:rPr>
        <w:t>NÁKLADY NA ČINNOSŤ V OBLASTI VÝSKUMU A VÝVOJA</w:t>
      </w:r>
    </w:p>
    <w:p w:rsidR="0064714C" w:rsidRPr="005D0ADD" w:rsidRDefault="0064714C" w:rsidP="0064714C">
      <w:pPr>
        <w:jc w:val="both"/>
        <w:rPr>
          <w:rFonts w:ascii="Arial Narrow" w:hAnsi="Arial Narrow" w:cs="Tahoma"/>
          <w:sz w:val="22"/>
          <w:szCs w:val="22"/>
        </w:rPr>
      </w:pPr>
      <w:r w:rsidRPr="005D0ADD">
        <w:rPr>
          <w:rFonts w:ascii="Arial Narrow" w:hAnsi="Arial Narrow" w:cs="Tahoma"/>
          <w:sz w:val="22"/>
          <w:szCs w:val="22"/>
        </w:rPr>
        <w:t>Spoločnosť neuskutočňuje činnosti spojené s výskumom a vývojom, t.j. náklady daného druhu nemá.</w:t>
      </w:r>
    </w:p>
    <w:p w:rsidR="0072176D" w:rsidRPr="005D0ADD" w:rsidRDefault="0072176D" w:rsidP="0064714C">
      <w:pPr>
        <w:jc w:val="both"/>
        <w:rPr>
          <w:rFonts w:ascii="Arial Narrow" w:hAnsi="Arial Narrow" w:cs="Tahoma"/>
          <w:sz w:val="22"/>
          <w:szCs w:val="22"/>
        </w:rPr>
      </w:pPr>
    </w:p>
    <w:p w:rsidR="0064714C" w:rsidRPr="005D0ADD" w:rsidRDefault="0064714C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5D0ADD">
        <w:rPr>
          <w:rFonts w:ascii="Arial Narrow" w:hAnsi="Arial Narrow" w:cs="Tahoma"/>
          <w:caps/>
          <w:color w:val="auto"/>
          <w:sz w:val="22"/>
          <w:szCs w:val="22"/>
        </w:rPr>
        <w:t>NADOBÚDANIE VLASTNÝCH AKCIÍ, DOČASNÝCH LISTOV, OBCHODNÝCH PODIELOV A AKCIÍ</w:t>
      </w:r>
    </w:p>
    <w:p w:rsidR="0064714C" w:rsidRPr="005D0ADD" w:rsidRDefault="0064714C" w:rsidP="0064714C">
      <w:pPr>
        <w:jc w:val="both"/>
        <w:rPr>
          <w:rFonts w:ascii="Arial Narrow" w:hAnsi="Arial Narrow" w:cs="Tahoma"/>
          <w:sz w:val="22"/>
          <w:szCs w:val="22"/>
        </w:rPr>
      </w:pPr>
      <w:r w:rsidRPr="005D0ADD">
        <w:rPr>
          <w:rFonts w:ascii="Arial Narrow" w:hAnsi="Arial Narrow" w:cs="Tahoma"/>
          <w:sz w:val="22"/>
          <w:szCs w:val="22"/>
        </w:rPr>
        <w:t xml:space="preserve">Spoločnosť v roku </w:t>
      </w:r>
      <w:r w:rsidR="005D0ADD" w:rsidRPr="005D0ADD">
        <w:rPr>
          <w:rFonts w:ascii="Arial Narrow" w:hAnsi="Arial Narrow" w:cs="Tahoma"/>
          <w:sz w:val="22"/>
          <w:szCs w:val="22"/>
        </w:rPr>
        <w:t>201</w:t>
      </w:r>
      <w:r w:rsidR="00907A90">
        <w:rPr>
          <w:rFonts w:ascii="Arial Narrow" w:hAnsi="Arial Narrow" w:cs="Tahoma"/>
          <w:sz w:val="22"/>
          <w:szCs w:val="22"/>
        </w:rPr>
        <w:t>6</w:t>
      </w:r>
      <w:r w:rsidRPr="005D0ADD">
        <w:rPr>
          <w:rFonts w:ascii="Arial Narrow" w:hAnsi="Arial Narrow" w:cs="Tahoma"/>
          <w:sz w:val="22"/>
          <w:szCs w:val="22"/>
        </w:rPr>
        <w:t xml:space="preserve"> nenadobudla vlastné akcie, dočasné listy ani obchodné podiely a akcie v iných účtovných jednotkách.</w:t>
      </w:r>
    </w:p>
    <w:p w:rsidR="0064714C" w:rsidRPr="005D0ADD" w:rsidRDefault="0064714C" w:rsidP="0064714C">
      <w:pPr>
        <w:jc w:val="both"/>
        <w:rPr>
          <w:rFonts w:ascii="Arial Narrow" w:hAnsi="Arial Narrow" w:cs="Tahoma"/>
          <w:sz w:val="22"/>
          <w:szCs w:val="22"/>
        </w:rPr>
      </w:pPr>
    </w:p>
    <w:p w:rsidR="0064714C" w:rsidRPr="005D0ADD" w:rsidRDefault="0064714C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5D0ADD">
        <w:rPr>
          <w:rFonts w:ascii="Arial Narrow" w:hAnsi="Arial Narrow" w:cs="Tahoma"/>
          <w:caps/>
          <w:color w:val="auto"/>
          <w:sz w:val="22"/>
          <w:szCs w:val="22"/>
        </w:rPr>
        <w:t>NÁVRH NA ROZDELENIE ZISKU</w:t>
      </w:r>
    </w:p>
    <w:p w:rsidR="0072176D" w:rsidRPr="005D0ADD" w:rsidRDefault="0064714C" w:rsidP="0064714C">
      <w:pPr>
        <w:jc w:val="both"/>
        <w:rPr>
          <w:rFonts w:ascii="Arial Narrow" w:hAnsi="Arial Narrow" w:cs="Tahoma"/>
          <w:sz w:val="22"/>
          <w:szCs w:val="22"/>
        </w:rPr>
      </w:pPr>
      <w:r w:rsidRPr="005D0ADD">
        <w:rPr>
          <w:rFonts w:ascii="Arial Narrow" w:hAnsi="Arial Narrow" w:cs="Tahoma"/>
          <w:sz w:val="22"/>
          <w:szCs w:val="22"/>
        </w:rPr>
        <w:t xml:space="preserve">Orgány </w:t>
      </w:r>
      <w:r w:rsidR="00F4653E">
        <w:rPr>
          <w:rFonts w:ascii="Arial Narrow" w:hAnsi="Arial Narrow" w:cs="Tahoma"/>
          <w:sz w:val="22"/>
          <w:szCs w:val="22"/>
        </w:rPr>
        <w:t>s</w:t>
      </w:r>
      <w:r w:rsidRPr="005D0ADD">
        <w:rPr>
          <w:rFonts w:ascii="Arial Narrow" w:hAnsi="Arial Narrow" w:cs="Tahoma"/>
          <w:sz w:val="22"/>
          <w:szCs w:val="22"/>
        </w:rPr>
        <w:t>poločnosti na svojom zasadaní  schváli</w:t>
      </w:r>
      <w:r w:rsidR="008A5D33">
        <w:rPr>
          <w:rFonts w:ascii="Arial Narrow" w:hAnsi="Arial Narrow" w:cs="Tahoma"/>
          <w:sz w:val="22"/>
          <w:szCs w:val="22"/>
        </w:rPr>
        <w:t>li</w:t>
      </w:r>
      <w:r w:rsidRPr="005D0ADD">
        <w:rPr>
          <w:rFonts w:ascii="Arial Narrow" w:hAnsi="Arial Narrow" w:cs="Tahoma"/>
          <w:sz w:val="22"/>
          <w:szCs w:val="22"/>
        </w:rPr>
        <w:t xml:space="preserve"> zúčtovanie hospodárskeho výsledku za rok </w:t>
      </w:r>
      <w:r w:rsidR="005D0ADD" w:rsidRPr="005D0ADD">
        <w:rPr>
          <w:rFonts w:ascii="Arial Narrow" w:hAnsi="Arial Narrow" w:cs="Tahoma"/>
          <w:sz w:val="22"/>
          <w:szCs w:val="22"/>
        </w:rPr>
        <w:t>201</w:t>
      </w:r>
      <w:r w:rsidR="00907A90">
        <w:rPr>
          <w:rFonts w:ascii="Arial Narrow" w:hAnsi="Arial Narrow" w:cs="Tahoma"/>
          <w:sz w:val="22"/>
          <w:szCs w:val="22"/>
        </w:rPr>
        <w:t>6</w:t>
      </w:r>
      <w:r w:rsidR="008A5D33">
        <w:rPr>
          <w:rFonts w:ascii="Arial Narrow" w:hAnsi="Arial Narrow" w:cs="Tahoma"/>
          <w:sz w:val="22"/>
          <w:szCs w:val="22"/>
        </w:rPr>
        <w:t xml:space="preserve"> na účet nerozdeleného zisku minulých rokov</w:t>
      </w:r>
      <w:r w:rsidRPr="005D0ADD">
        <w:rPr>
          <w:rFonts w:ascii="Arial Narrow" w:hAnsi="Arial Narrow" w:cs="Tahoma"/>
          <w:sz w:val="22"/>
          <w:szCs w:val="22"/>
        </w:rPr>
        <w:t>.</w:t>
      </w:r>
    </w:p>
    <w:p w:rsidR="0072176D" w:rsidRPr="005D0ADD" w:rsidRDefault="0072176D" w:rsidP="0064714C">
      <w:pPr>
        <w:jc w:val="both"/>
        <w:rPr>
          <w:rFonts w:ascii="Arial Narrow" w:hAnsi="Arial Narrow" w:cs="Tahoma"/>
          <w:sz w:val="22"/>
          <w:szCs w:val="22"/>
        </w:rPr>
      </w:pPr>
    </w:p>
    <w:p w:rsidR="0064714C" w:rsidRPr="005D0ADD" w:rsidRDefault="0064714C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5D0ADD">
        <w:rPr>
          <w:rFonts w:ascii="Arial Narrow" w:hAnsi="Arial Narrow" w:cs="Tahoma"/>
          <w:caps/>
          <w:color w:val="auto"/>
          <w:sz w:val="22"/>
          <w:szCs w:val="22"/>
        </w:rPr>
        <w:t xml:space="preserve">úDAJE POŽADOVANÉ </w:t>
      </w:r>
      <w:proofErr w:type="gramStart"/>
      <w:r w:rsidRPr="005D0ADD">
        <w:rPr>
          <w:rFonts w:ascii="Arial Narrow" w:hAnsi="Arial Narrow" w:cs="Tahoma"/>
          <w:caps/>
          <w:color w:val="auto"/>
          <w:sz w:val="22"/>
          <w:szCs w:val="22"/>
        </w:rPr>
        <w:t>NA</w:t>
      </w:r>
      <w:proofErr w:type="gramEnd"/>
      <w:r w:rsidR="00F4653E">
        <w:rPr>
          <w:rFonts w:ascii="Arial Narrow" w:hAnsi="Arial Narrow" w:cs="Tahoma"/>
          <w:caps/>
          <w:color w:val="auto"/>
          <w:sz w:val="22"/>
          <w:szCs w:val="22"/>
        </w:rPr>
        <w:t xml:space="preserve"> </w:t>
      </w:r>
      <w:r w:rsidRPr="005D0ADD">
        <w:rPr>
          <w:rFonts w:ascii="Arial Narrow" w:hAnsi="Arial Narrow" w:cs="Tahoma"/>
          <w:caps/>
          <w:color w:val="auto"/>
          <w:sz w:val="22"/>
          <w:szCs w:val="22"/>
        </w:rPr>
        <w:t xml:space="preserve"> ZÁKLADE </w:t>
      </w:r>
      <w:r w:rsidR="00AF09E6">
        <w:rPr>
          <w:rFonts w:ascii="Arial Narrow" w:hAnsi="Arial Narrow" w:cs="Tahoma"/>
          <w:caps/>
          <w:color w:val="auto"/>
          <w:sz w:val="22"/>
          <w:szCs w:val="22"/>
        </w:rPr>
        <w:t xml:space="preserve"> </w:t>
      </w:r>
      <w:proofErr w:type="gramStart"/>
      <w:r w:rsidRPr="005D0ADD">
        <w:rPr>
          <w:rFonts w:ascii="Arial Narrow" w:hAnsi="Arial Narrow" w:cs="Tahoma"/>
          <w:caps/>
          <w:color w:val="auto"/>
          <w:sz w:val="22"/>
          <w:szCs w:val="22"/>
        </w:rPr>
        <w:t>OSOBITNÝCH</w:t>
      </w:r>
      <w:proofErr w:type="gramEnd"/>
      <w:r w:rsidRPr="005D0ADD">
        <w:rPr>
          <w:rFonts w:ascii="Arial Narrow" w:hAnsi="Arial Narrow" w:cs="Tahoma"/>
          <w:caps/>
          <w:color w:val="auto"/>
          <w:sz w:val="22"/>
          <w:szCs w:val="22"/>
        </w:rPr>
        <w:t xml:space="preserve"> </w:t>
      </w:r>
      <w:r w:rsidR="00EA175F" w:rsidRPr="005D0ADD">
        <w:rPr>
          <w:rFonts w:ascii="Arial Narrow" w:hAnsi="Arial Narrow" w:cs="Tahoma"/>
          <w:caps/>
          <w:color w:val="auto"/>
          <w:sz w:val="22"/>
          <w:szCs w:val="22"/>
        </w:rPr>
        <w:t>PREDPISOV</w:t>
      </w:r>
    </w:p>
    <w:p w:rsidR="0064714C" w:rsidRPr="005D0ADD" w:rsidRDefault="0064714C" w:rsidP="0064714C">
      <w:pPr>
        <w:jc w:val="both"/>
        <w:rPr>
          <w:rFonts w:ascii="Arial Narrow" w:hAnsi="Arial Narrow" w:cs="Tahoma"/>
          <w:sz w:val="22"/>
          <w:szCs w:val="22"/>
        </w:rPr>
      </w:pPr>
      <w:r w:rsidRPr="005D0ADD">
        <w:rPr>
          <w:rFonts w:ascii="Arial Narrow" w:hAnsi="Arial Narrow" w:cs="Tahoma"/>
          <w:sz w:val="22"/>
          <w:szCs w:val="22"/>
        </w:rPr>
        <w:t>Spoločnosť nevykonáva činnosti vyžadujúce si predkladanie údajov na základe osobitných predpisov.</w:t>
      </w:r>
    </w:p>
    <w:p w:rsidR="0072176D" w:rsidRPr="005D0ADD" w:rsidRDefault="0072176D" w:rsidP="0064714C">
      <w:pPr>
        <w:jc w:val="both"/>
        <w:rPr>
          <w:rFonts w:ascii="Arial Narrow" w:hAnsi="Arial Narrow" w:cs="Tahoma"/>
          <w:sz w:val="22"/>
          <w:szCs w:val="22"/>
        </w:rPr>
      </w:pPr>
    </w:p>
    <w:p w:rsidR="0064714C" w:rsidRPr="005D0ADD" w:rsidRDefault="0064714C" w:rsidP="0064714C">
      <w:pPr>
        <w:pStyle w:val="Nadpis1"/>
        <w:rPr>
          <w:rFonts w:ascii="Arial Narrow" w:hAnsi="Arial Narrow" w:cs="Tahoma"/>
          <w:caps/>
          <w:color w:val="auto"/>
          <w:sz w:val="22"/>
          <w:szCs w:val="22"/>
        </w:rPr>
      </w:pPr>
      <w:r w:rsidRPr="005D0ADD">
        <w:rPr>
          <w:rFonts w:ascii="Arial Narrow" w:hAnsi="Arial Narrow" w:cs="Tahoma"/>
          <w:caps/>
          <w:color w:val="auto"/>
          <w:sz w:val="22"/>
          <w:szCs w:val="22"/>
        </w:rPr>
        <w:t>organizačná zložka v zahraničí</w:t>
      </w:r>
    </w:p>
    <w:p w:rsidR="0064714C" w:rsidRDefault="0064714C" w:rsidP="0064714C">
      <w:pPr>
        <w:jc w:val="both"/>
        <w:rPr>
          <w:rFonts w:ascii="Arial Narrow" w:hAnsi="Arial Narrow" w:cs="Tahoma"/>
          <w:sz w:val="22"/>
          <w:szCs w:val="22"/>
        </w:rPr>
      </w:pPr>
      <w:r w:rsidRPr="005D0ADD">
        <w:rPr>
          <w:rFonts w:ascii="Arial Narrow" w:hAnsi="Arial Narrow" w:cs="Tahoma"/>
          <w:sz w:val="22"/>
          <w:szCs w:val="22"/>
        </w:rPr>
        <w:t>Spoločnosť nemá organizačnú zložku v zahraničí.</w:t>
      </w:r>
    </w:p>
    <w:p w:rsidR="00BE16D6" w:rsidRPr="005D0ADD" w:rsidRDefault="00BE16D6" w:rsidP="0064714C">
      <w:pPr>
        <w:jc w:val="both"/>
        <w:rPr>
          <w:rFonts w:ascii="Arial Narrow" w:hAnsi="Arial Narrow" w:cs="Tahoma"/>
          <w:sz w:val="22"/>
          <w:szCs w:val="22"/>
        </w:rPr>
      </w:pPr>
    </w:p>
    <w:p w:rsidR="0064714C" w:rsidRDefault="0064714C" w:rsidP="0064714C">
      <w:pPr>
        <w:jc w:val="both"/>
        <w:rPr>
          <w:rFonts w:ascii="Arial Narrow" w:hAnsi="Arial Narrow" w:cs="Tahoma"/>
          <w:sz w:val="22"/>
          <w:szCs w:val="22"/>
        </w:rPr>
      </w:pPr>
      <w:r w:rsidRPr="005D0ADD">
        <w:rPr>
          <w:rFonts w:ascii="Arial Narrow" w:hAnsi="Arial Narrow" w:cs="Tahoma"/>
          <w:sz w:val="22"/>
          <w:szCs w:val="22"/>
        </w:rPr>
        <w:t>V</w:t>
      </w:r>
      <w:r w:rsidR="00EA175F" w:rsidRPr="005D0ADD">
        <w:rPr>
          <w:rFonts w:ascii="Arial Narrow" w:hAnsi="Arial Narrow" w:cs="Tahoma"/>
          <w:sz w:val="22"/>
          <w:szCs w:val="22"/>
        </w:rPr>
        <w:t xml:space="preserve"> Bratislave </w:t>
      </w:r>
      <w:r w:rsidRPr="005D0ADD">
        <w:rPr>
          <w:rFonts w:ascii="Arial Narrow" w:hAnsi="Arial Narrow" w:cs="Tahoma"/>
          <w:sz w:val="22"/>
          <w:szCs w:val="22"/>
        </w:rPr>
        <w:t xml:space="preserve">, dňa </w:t>
      </w:r>
      <w:r w:rsidR="00907A90">
        <w:rPr>
          <w:rFonts w:ascii="Arial Narrow" w:hAnsi="Arial Narrow" w:cs="Tahoma"/>
          <w:sz w:val="22"/>
          <w:szCs w:val="22"/>
        </w:rPr>
        <w:t>1</w:t>
      </w:r>
      <w:r w:rsidR="00AF09E6">
        <w:rPr>
          <w:rFonts w:ascii="Arial Narrow" w:hAnsi="Arial Narrow" w:cs="Tahoma"/>
          <w:sz w:val="22"/>
          <w:szCs w:val="22"/>
        </w:rPr>
        <w:t>4</w:t>
      </w:r>
      <w:r w:rsidR="00EB5592">
        <w:rPr>
          <w:rFonts w:ascii="Arial Narrow" w:hAnsi="Arial Narrow" w:cs="Tahoma"/>
          <w:sz w:val="22"/>
          <w:szCs w:val="22"/>
        </w:rPr>
        <w:t>.</w:t>
      </w:r>
      <w:r w:rsidR="00907A90">
        <w:rPr>
          <w:rFonts w:ascii="Arial Narrow" w:hAnsi="Arial Narrow" w:cs="Tahoma"/>
          <w:sz w:val="22"/>
          <w:szCs w:val="22"/>
        </w:rPr>
        <w:t>12</w:t>
      </w:r>
      <w:r w:rsidR="00EB5592">
        <w:rPr>
          <w:rFonts w:ascii="Arial Narrow" w:hAnsi="Arial Narrow" w:cs="Tahoma"/>
          <w:sz w:val="22"/>
          <w:szCs w:val="22"/>
        </w:rPr>
        <w:t>.201</w:t>
      </w:r>
      <w:r w:rsidR="00907A90">
        <w:rPr>
          <w:rFonts w:ascii="Arial Narrow" w:hAnsi="Arial Narrow" w:cs="Tahoma"/>
          <w:sz w:val="22"/>
          <w:szCs w:val="22"/>
        </w:rPr>
        <w:t>7</w:t>
      </w:r>
    </w:p>
    <w:p w:rsidR="00CF538E" w:rsidRDefault="00CF538E" w:rsidP="0064714C">
      <w:pPr>
        <w:jc w:val="both"/>
        <w:rPr>
          <w:rFonts w:ascii="Arial Narrow" w:hAnsi="Arial Narrow" w:cs="Tahoma"/>
          <w:sz w:val="22"/>
          <w:szCs w:val="22"/>
        </w:rPr>
      </w:pPr>
    </w:p>
    <w:p w:rsidR="00CF538E" w:rsidRDefault="00CF538E" w:rsidP="0064714C">
      <w:pPr>
        <w:jc w:val="both"/>
        <w:rPr>
          <w:rFonts w:ascii="Arial Narrow" w:hAnsi="Arial Narrow" w:cs="Tahoma"/>
          <w:sz w:val="22"/>
          <w:szCs w:val="22"/>
        </w:rPr>
      </w:pPr>
    </w:p>
    <w:p w:rsidR="00BE16D6" w:rsidRDefault="00BE16D6" w:rsidP="0064714C">
      <w:pPr>
        <w:jc w:val="both"/>
        <w:rPr>
          <w:rFonts w:ascii="Arial Narrow" w:hAnsi="Arial Narrow" w:cs="Tahoma"/>
          <w:sz w:val="22"/>
          <w:szCs w:val="22"/>
        </w:rPr>
      </w:pPr>
    </w:p>
    <w:p w:rsidR="0064714C" w:rsidRPr="005D0ADD" w:rsidRDefault="0064714C" w:rsidP="00790B41">
      <w:pPr>
        <w:ind w:left="6663"/>
        <w:jc w:val="both"/>
        <w:rPr>
          <w:rFonts w:ascii="Arial Narrow" w:hAnsi="Arial Narrow" w:cs="Tahoma"/>
          <w:sz w:val="22"/>
          <w:szCs w:val="22"/>
        </w:rPr>
      </w:pPr>
      <w:r w:rsidRPr="005D0ADD">
        <w:rPr>
          <w:rFonts w:ascii="Arial Narrow" w:hAnsi="Arial Narrow" w:cs="Tahoma"/>
          <w:sz w:val="22"/>
          <w:szCs w:val="22"/>
        </w:rPr>
        <w:t>––––––––––––––––––––</w:t>
      </w:r>
    </w:p>
    <w:p w:rsidR="00CC18DC" w:rsidRPr="005D0ADD" w:rsidRDefault="00D958A4" w:rsidP="00CC18DC">
      <w:pPr>
        <w:ind w:left="6663"/>
        <w:jc w:val="both"/>
        <w:rPr>
          <w:rFonts w:ascii="Arial Narrow" w:hAnsi="Arial Narrow" w:cs="Tahoma"/>
          <w:sz w:val="22"/>
          <w:szCs w:val="22"/>
        </w:rPr>
      </w:pPr>
      <w:r>
        <w:rPr>
          <w:rFonts w:ascii="Arial Narrow" w:hAnsi="Arial Narrow" w:cs="Tahoma"/>
          <w:sz w:val="22"/>
          <w:szCs w:val="22"/>
        </w:rPr>
        <w:tab/>
      </w:r>
      <w:r w:rsidR="00CC18DC">
        <w:rPr>
          <w:rFonts w:ascii="Arial Narrow" w:hAnsi="Arial Narrow" w:cs="Tahoma"/>
          <w:sz w:val="22"/>
          <w:szCs w:val="22"/>
        </w:rPr>
        <w:t>Martin Gvoth</w:t>
      </w:r>
    </w:p>
    <w:p w:rsidR="00CC18DC" w:rsidRPr="005D0ADD" w:rsidRDefault="00CC18DC" w:rsidP="00CC18DC">
      <w:pPr>
        <w:ind w:left="6663"/>
        <w:jc w:val="both"/>
        <w:rPr>
          <w:rFonts w:ascii="Arial Narrow" w:hAnsi="Arial Narrow"/>
        </w:rPr>
      </w:pPr>
      <w:r w:rsidRPr="005D0ADD">
        <w:rPr>
          <w:rFonts w:ascii="Arial Narrow" w:hAnsi="Arial Narrow" w:cs="Tahoma"/>
          <w:sz w:val="22"/>
          <w:szCs w:val="22"/>
        </w:rPr>
        <w:t xml:space="preserve">   </w:t>
      </w:r>
      <w:r>
        <w:rPr>
          <w:rFonts w:ascii="Arial Narrow" w:hAnsi="Arial Narrow" w:cs="Tahoma"/>
          <w:sz w:val="22"/>
          <w:szCs w:val="22"/>
        </w:rPr>
        <w:t>k</w:t>
      </w:r>
      <w:r w:rsidRPr="005D0ADD">
        <w:rPr>
          <w:rFonts w:ascii="Arial Narrow" w:hAnsi="Arial Narrow" w:cs="Tahoma"/>
          <w:sz w:val="22"/>
          <w:szCs w:val="22"/>
        </w:rPr>
        <w:t xml:space="preserve">onateľ spoločnosti </w:t>
      </w:r>
    </w:p>
    <w:p w:rsidR="006D7EC5" w:rsidRPr="005D0ADD" w:rsidRDefault="006D7EC5" w:rsidP="00CC18DC">
      <w:pPr>
        <w:ind w:left="6663"/>
        <w:jc w:val="both"/>
        <w:rPr>
          <w:rFonts w:ascii="Arial Narrow" w:hAnsi="Arial Narrow"/>
        </w:rPr>
      </w:pPr>
    </w:p>
    <w:sectPr w:rsidR="006D7EC5" w:rsidRPr="005D0ADD" w:rsidSect="006D7EC5">
      <w:footerReference w:type="default" r:id="rId11"/>
      <w:pgSz w:w="11906" w:h="16838"/>
      <w:pgMar w:top="1701" w:right="1418" w:bottom="1418" w:left="124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21C5" w:rsidRDefault="00E121C5" w:rsidP="000F4AB5">
      <w:r>
        <w:separator/>
      </w:r>
    </w:p>
  </w:endnote>
  <w:endnote w:type="continuationSeparator" w:id="0">
    <w:p w:rsidR="00E121C5" w:rsidRDefault="00E121C5" w:rsidP="000F4A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177273"/>
      <w:docPartObj>
        <w:docPartGallery w:val="Page Numbers (Bottom of Page)"/>
        <w:docPartUnique/>
      </w:docPartObj>
    </w:sdtPr>
    <w:sdtContent>
      <w:p w:rsidR="008A5D33" w:rsidRDefault="000F39FA">
        <w:pPr>
          <w:pStyle w:val="Pta"/>
          <w:jc w:val="right"/>
        </w:pPr>
      </w:p>
    </w:sdtContent>
  </w:sdt>
  <w:p w:rsidR="008A5D33" w:rsidRDefault="008A5D3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21C5" w:rsidRDefault="00E121C5" w:rsidP="000F4AB5">
      <w:r>
        <w:separator/>
      </w:r>
    </w:p>
  </w:footnote>
  <w:footnote w:type="continuationSeparator" w:id="0">
    <w:p w:rsidR="00E121C5" w:rsidRDefault="00E121C5" w:rsidP="000F4AB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82358"/>
    <w:multiLevelType w:val="hybridMultilevel"/>
    <w:tmpl w:val="85F47A4A"/>
    <w:lvl w:ilvl="0" w:tplc="AB2C615A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5F304F"/>
    <w:multiLevelType w:val="hybridMultilevel"/>
    <w:tmpl w:val="1870C7DE"/>
    <w:lvl w:ilvl="0" w:tplc="64325BAA">
      <w:start w:val="1"/>
      <w:numFmt w:val="upperRoman"/>
      <w:lvlText w:val="%1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">
    <w:nsid w:val="09A937AF"/>
    <w:multiLevelType w:val="hybridMultilevel"/>
    <w:tmpl w:val="902ECEE8"/>
    <w:lvl w:ilvl="0" w:tplc="6C4E8068">
      <w:start w:val="453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5A4771"/>
    <w:multiLevelType w:val="hybridMultilevel"/>
    <w:tmpl w:val="EB5CC2D2"/>
    <w:lvl w:ilvl="0" w:tplc="041B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">
    <w:nsid w:val="0AF03920"/>
    <w:multiLevelType w:val="hybridMultilevel"/>
    <w:tmpl w:val="8382A2D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0C432947"/>
    <w:multiLevelType w:val="hybridMultilevel"/>
    <w:tmpl w:val="783CF572"/>
    <w:lvl w:ilvl="0" w:tplc="9A8C673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ascii="Times New Roman" w:eastAsia="Times New Roman" w:hAnsi="Times New Roman" w:cs="Times New Roman"/>
      </w:rPr>
    </w:lvl>
    <w:lvl w:ilvl="1" w:tplc="2D543EDE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2DBCFC7A">
      <w:start w:val="11"/>
      <w:numFmt w:val="upperRoman"/>
      <w:lvlText w:val="%3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201467E4"/>
    <w:multiLevelType w:val="hybridMultilevel"/>
    <w:tmpl w:val="B7D61850"/>
    <w:lvl w:ilvl="0" w:tplc="39C237BC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hint="default"/>
      </w:rPr>
    </w:lvl>
  </w:abstractNum>
  <w:abstractNum w:abstractNumId="7">
    <w:nsid w:val="27482702"/>
    <w:multiLevelType w:val="hybridMultilevel"/>
    <w:tmpl w:val="6C2411E4"/>
    <w:lvl w:ilvl="0" w:tplc="041B000F">
      <w:start w:val="1"/>
      <w:numFmt w:val="decimal"/>
      <w:lvlText w:val="%1.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279B2E17"/>
    <w:multiLevelType w:val="hybridMultilevel"/>
    <w:tmpl w:val="DC82F9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6F2B20"/>
    <w:multiLevelType w:val="hybridMultilevel"/>
    <w:tmpl w:val="6ED20C2A"/>
    <w:lvl w:ilvl="0" w:tplc="39C237B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094497A"/>
    <w:multiLevelType w:val="hybridMultilevel"/>
    <w:tmpl w:val="06AAE9BA"/>
    <w:lvl w:ilvl="0" w:tplc="041B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1">
    <w:nsid w:val="371D0F2C"/>
    <w:multiLevelType w:val="hybridMultilevel"/>
    <w:tmpl w:val="77B01472"/>
    <w:lvl w:ilvl="0" w:tplc="041B000F">
      <w:start w:val="1"/>
      <w:numFmt w:val="decimal"/>
      <w:lvlText w:val="%1."/>
      <w:lvlJc w:val="left"/>
      <w:pPr>
        <w:ind w:left="1236" w:hanging="360"/>
      </w:pPr>
    </w:lvl>
    <w:lvl w:ilvl="1" w:tplc="041B0019" w:tentative="1">
      <w:start w:val="1"/>
      <w:numFmt w:val="lowerLetter"/>
      <w:lvlText w:val="%2."/>
      <w:lvlJc w:val="left"/>
      <w:pPr>
        <w:ind w:left="1956" w:hanging="360"/>
      </w:pPr>
    </w:lvl>
    <w:lvl w:ilvl="2" w:tplc="041B001B" w:tentative="1">
      <w:start w:val="1"/>
      <w:numFmt w:val="lowerRoman"/>
      <w:lvlText w:val="%3."/>
      <w:lvlJc w:val="right"/>
      <w:pPr>
        <w:ind w:left="2676" w:hanging="180"/>
      </w:pPr>
    </w:lvl>
    <w:lvl w:ilvl="3" w:tplc="041B000F" w:tentative="1">
      <w:start w:val="1"/>
      <w:numFmt w:val="decimal"/>
      <w:lvlText w:val="%4."/>
      <w:lvlJc w:val="left"/>
      <w:pPr>
        <w:ind w:left="3396" w:hanging="360"/>
      </w:pPr>
    </w:lvl>
    <w:lvl w:ilvl="4" w:tplc="041B0019" w:tentative="1">
      <w:start w:val="1"/>
      <w:numFmt w:val="lowerLetter"/>
      <w:lvlText w:val="%5."/>
      <w:lvlJc w:val="left"/>
      <w:pPr>
        <w:ind w:left="4116" w:hanging="360"/>
      </w:pPr>
    </w:lvl>
    <w:lvl w:ilvl="5" w:tplc="041B001B" w:tentative="1">
      <w:start w:val="1"/>
      <w:numFmt w:val="lowerRoman"/>
      <w:lvlText w:val="%6."/>
      <w:lvlJc w:val="right"/>
      <w:pPr>
        <w:ind w:left="4836" w:hanging="180"/>
      </w:pPr>
    </w:lvl>
    <w:lvl w:ilvl="6" w:tplc="041B000F" w:tentative="1">
      <w:start w:val="1"/>
      <w:numFmt w:val="decimal"/>
      <w:lvlText w:val="%7."/>
      <w:lvlJc w:val="left"/>
      <w:pPr>
        <w:ind w:left="5556" w:hanging="360"/>
      </w:pPr>
    </w:lvl>
    <w:lvl w:ilvl="7" w:tplc="041B0019" w:tentative="1">
      <w:start w:val="1"/>
      <w:numFmt w:val="lowerLetter"/>
      <w:lvlText w:val="%8."/>
      <w:lvlJc w:val="left"/>
      <w:pPr>
        <w:ind w:left="6276" w:hanging="360"/>
      </w:pPr>
    </w:lvl>
    <w:lvl w:ilvl="8" w:tplc="041B001B" w:tentative="1">
      <w:start w:val="1"/>
      <w:numFmt w:val="lowerRoman"/>
      <w:lvlText w:val="%9."/>
      <w:lvlJc w:val="right"/>
      <w:pPr>
        <w:ind w:left="6996" w:hanging="180"/>
      </w:pPr>
    </w:lvl>
  </w:abstractNum>
  <w:abstractNum w:abstractNumId="12">
    <w:nsid w:val="3CB41188"/>
    <w:multiLevelType w:val="hybridMultilevel"/>
    <w:tmpl w:val="A20C2924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E6A38C7"/>
    <w:multiLevelType w:val="hybridMultilevel"/>
    <w:tmpl w:val="D60E7362"/>
    <w:lvl w:ilvl="0" w:tplc="39C237B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9B72DB"/>
    <w:multiLevelType w:val="hybridMultilevel"/>
    <w:tmpl w:val="F9420ED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422E100E"/>
    <w:multiLevelType w:val="hybridMultilevel"/>
    <w:tmpl w:val="4B38378A"/>
    <w:lvl w:ilvl="0" w:tplc="3112F9DA">
      <w:start w:val="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2E50389"/>
    <w:multiLevelType w:val="hybridMultilevel"/>
    <w:tmpl w:val="8DD4A9D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7">
    <w:nsid w:val="45FB718B"/>
    <w:multiLevelType w:val="hybridMultilevel"/>
    <w:tmpl w:val="587ABD1C"/>
    <w:lvl w:ilvl="0" w:tplc="39C237BC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52973391"/>
    <w:multiLevelType w:val="hybridMultilevel"/>
    <w:tmpl w:val="0B7842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4534D73"/>
    <w:multiLevelType w:val="hybridMultilevel"/>
    <w:tmpl w:val="FD50AD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A80ACD"/>
    <w:multiLevelType w:val="hybridMultilevel"/>
    <w:tmpl w:val="F7CE25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AB7C91"/>
    <w:multiLevelType w:val="hybridMultilevel"/>
    <w:tmpl w:val="45E608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5002986"/>
    <w:multiLevelType w:val="hybridMultilevel"/>
    <w:tmpl w:val="5D4A338E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73E2CB6"/>
    <w:multiLevelType w:val="hybridMultilevel"/>
    <w:tmpl w:val="EC8C538C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>
    <w:nsid w:val="59432DA5"/>
    <w:multiLevelType w:val="hybridMultilevel"/>
    <w:tmpl w:val="CCBA7B56"/>
    <w:lvl w:ilvl="0" w:tplc="AB2C615A"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  <w:b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21E595B"/>
    <w:multiLevelType w:val="hybridMultilevel"/>
    <w:tmpl w:val="6C8A7870"/>
    <w:lvl w:ilvl="0" w:tplc="3112F9DA">
      <w:start w:val="5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6">
    <w:nsid w:val="65EC5587"/>
    <w:multiLevelType w:val="hybridMultilevel"/>
    <w:tmpl w:val="E38AAA0C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420"/>
      </w:pPr>
      <w:rPr>
        <w:rFonts w:ascii="Symbol" w:hAnsi="Symbol" w:hint="default"/>
      </w:rPr>
    </w:lvl>
    <w:lvl w:ilvl="1" w:tplc="2D543EDE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2DBCFC7A">
      <w:start w:val="11"/>
      <w:numFmt w:val="upperRoman"/>
      <w:lvlText w:val="%3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67A905C4"/>
    <w:multiLevelType w:val="hybridMultilevel"/>
    <w:tmpl w:val="BE124B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8E557A1"/>
    <w:multiLevelType w:val="hybridMultilevel"/>
    <w:tmpl w:val="051C814A"/>
    <w:lvl w:ilvl="0" w:tplc="4A8663DA">
      <w:start w:val="4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>
    <w:nsid w:val="6B3F18D1"/>
    <w:multiLevelType w:val="hybridMultilevel"/>
    <w:tmpl w:val="60702EC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6DB75126"/>
    <w:multiLevelType w:val="hybridMultilevel"/>
    <w:tmpl w:val="B162A4DA"/>
    <w:lvl w:ilvl="0" w:tplc="041B000F">
      <w:start w:val="1"/>
      <w:numFmt w:val="decimal"/>
      <w:lvlText w:val="%1."/>
      <w:lvlJc w:val="left"/>
      <w:pPr>
        <w:ind w:left="1236" w:hanging="360"/>
      </w:pPr>
    </w:lvl>
    <w:lvl w:ilvl="1" w:tplc="041B0019" w:tentative="1">
      <w:start w:val="1"/>
      <w:numFmt w:val="lowerLetter"/>
      <w:lvlText w:val="%2."/>
      <w:lvlJc w:val="left"/>
      <w:pPr>
        <w:ind w:left="1956" w:hanging="360"/>
      </w:pPr>
    </w:lvl>
    <w:lvl w:ilvl="2" w:tplc="041B001B" w:tentative="1">
      <w:start w:val="1"/>
      <w:numFmt w:val="lowerRoman"/>
      <w:lvlText w:val="%3."/>
      <w:lvlJc w:val="right"/>
      <w:pPr>
        <w:ind w:left="2676" w:hanging="180"/>
      </w:pPr>
    </w:lvl>
    <w:lvl w:ilvl="3" w:tplc="041B000F" w:tentative="1">
      <w:start w:val="1"/>
      <w:numFmt w:val="decimal"/>
      <w:lvlText w:val="%4."/>
      <w:lvlJc w:val="left"/>
      <w:pPr>
        <w:ind w:left="3396" w:hanging="360"/>
      </w:pPr>
    </w:lvl>
    <w:lvl w:ilvl="4" w:tplc="041B0019" w:tentative="1">
      <w:start w:val="1"/>
      <w:numFmt w:val="lowerLetter"/>
      <w:lvlText w:val="%5."/>
      <w:lvlJc w:val="left"/>
      <w:pPr>
        <w:ind w:left="4116" w:hanging="360"/>
      </w:pPr>
    </w:lvl>
    <w:lvl w:ilvl="5" w:tplc="041B001B" w:tentative="1">
      <w:start w:val="1"/>
      <w:numFmt w:val="lowerRoman"/>
      <w:lvlText w:val="%6."/>
      <w:lvlJc w:val="right"/>
      <w:pPr>
        <w:ind w:left="4836" w:hanging="180"/>
      </w:pPr>
    </w:lvl>
    <w:lvl w:ilvl="6" w:tplc="041B000F" w:tentative="1">
      <w:start w:val="1"/>
      <w:numFmt w:val="decimal"/>
      <w:lvlText w:val="%7."/>
      <w:lvlJc w:val="left"/>
      <w:pPr>
        <w:ind w:left="5556" w:hanging="360"/>
      </w:pPr>
    </w:lvl>
    <w:lvl w:ilvl="7" w:tplc="041B0019" w:tentative="1">
      <w:start w:val="1"/>
      <w:numFmt w:val="lowerLetter"/>
      <w:lvlText w:val="%8."/>
      <w:lvlJc w:val="left"/>
      <w:pPr>
        <w:ind w:left="6276" w:hanging="360"/>
      </w:pPr>
    </w:lvl>
    <w:lvl w:ilvl="8" w:tplc="041B001B" w:tentative="1">
      <w:start w:val="1"/>
      <w:numFmt w:val="lowerRoman"/>
      <w:lvlText w:val="%9."/>
      <w:lvlJc w:val="right"/>
      <w:pPr>
        <w:ind w:left="6996" w:hanging="180"/>
      </w:pPr>
    </w:lvl>
  </w:abstractNum>
  <w:abstractNum w:abstractNumId="31">
    <w:nsid w:val="6EC00F8C"/>
    <w:multiLevelType w:val="hybridMultilevel"/>
    <w:tmpl w:val="D6528C68"/>
    <w:lvl w:ilvl="0" w:tplc="342C000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D669B6"/>
    <w:multiLevelType w:val="hybridMultilevel"/>
    <w:tmpl w:val="ECFC0B6E"/>
    <w:lvl w:ilvl="0" w:tplc="3A4E49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1D67F06"/>
    <w:multiLevelType w:val="hybridMultilevel"/>
    <w:tmpl w:val="D488FD1E"/>
    <w:lvl w:ilvl="0" w:tplc="041B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4">
    <w:nsid w:val="74C33D47"/>
    <w:multiLevelType w:val="hybridMultilevel"/>
    <w:tmpl w:val="3F4A4C9A"/>
    <w:lvl w:ilvl="0" w:tplc="92DA442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6101CBE"/>
    <w:multiLevelType w:val="hybridMultilevel"/>
    <w:tmpl w:val="07966512"/>
    <w:lvl w:ilvl="0" w:tplc="AF3298EC"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Tahoma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7612649E"/>
    <w:multiLevelType w:val="hybridMultilevel"/>
    <w:tmpl w:val="80D882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F430F56"/>
    <w:multiLevelType w:val="hybridMultilevel"/>
    <w:tmpl w:val="EBCA278A"/>
    <w:lvl w:ilvl="0" w:tplc="AB2C615A">
      <w:numFmt w:val="bullet"/>
      <w:lvlText w:val="-"/>
      <w:lvlJc w:val="left"/>
      <w:pPr>
        <w:ind w:left="1236" w:hanging="360"/>
      </w:pPr>
      <w:rPr>
        <w:rFonts w:ascii="Tahoma" w:eastAsia="Times New Roman" w:hAnsi="Tahoma" w:cs="Tahoma" w:hint="default"/>
        <w:b/>
      </w:rPr>
    </w:lvl>
    <w:lvl w:ilvl="1" w:tplc="041B0003" w:tentative="1">
      <w:start w:val="1"/>
      <w:numFmt w:val="bullet"/>
      <w:lvlText w:val="o"/>
      <w:lvlJc w:val="left"/>
      <w:pPr>
        <w:ind w:left="19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4"/>
  </w:num>
  <w:num w:numId="3">
    <w:abstractNumId w:val="10"/>
  </w:num>
  <w:num w:numId="4">
    <w:abstractNumId w:val="28"/>
  </w:num>
  <w:num w:numId="5">
    <w:abstractNumId w:val="16"/>
  </w:num>
  <w:num w:numId="6">
    <w:abstractNumId w:val="15"/>
  </w:num>
  <w:num w:numId="7">
    <w:abstractNumId w:val="25"/>
  </w:num>
  <w:num w:numId="8">
    <w:abstractNumId w:val="29"/>
  </w:num>
  <w:num w:numId="9">
    <w:abstractNumId w:val="33"/>
  </w:num>
  <w:num w:numId="10">
    <w:abstractNumId w:val="3"/>
  </w:num>
  <w:num w:numId="11">
    <w:abstractNumId w:val="20"/>
  </w:num>
  <w:num w:numId="12">
    <w:abstractNumId w:val="27"/>
  </w:num>
  <w:num w:numId="13">
    <w:abstractNumId w:val="5"/>
  </w:num>
  <w:num w:numId="14">
    <w:abstractNumId w:val="6"/>
  </w:num>
  <w:num w:numId="15">
    <w:abstractNumId w:val="2"/>
  </w:num>
  <w:num w:numId="16">
    <w:abstractNumId w:val="26"/>
  </w:num>
  <w:num w:numId="17">
    <w:abstractNumId w:val="8"/>
  </w:num>
  <w:num w:numId="18">
    <w:abstractNumId w:val="7"/>
  </w:num>
  <w:num w:numId="19">
    <w:abstractNumId w:val="23"/>
  </w:num>
  <w:num w:numId="20">
    <w:abstractNumId w:val="21"/>
  </w:num>
  <w:num w:numId="21">
    <w:abstractNumId w:val="36"/>
  </w:num>
  <w:num w:numId="22">
    <w:abstractNumId w:val="19"/>
  </w:num>
  <w:num w:numId="23">
    <w:abstractNumId w:val="18"/>
  </w:num>
  <w:num w:numId="24">
    <w:abstractNumId w:val="9"/>
  </w:num>
  <w:num w:numId="25">
    <w:abstractNumId w:val="11"/>
  </w:num>
  <w:num w:numId="26">
    <w:abstractNumId w:val="30"/>
  </w:num>
  <w:num w:numId="27">
    <w:abstractNumId w:val="17"/>
  </w:num>
  <w:num w:numId="28">
    <w:abstractNumId w:val="13"/>
  </w:num>
  <w:num w:numId="29">
    <w:abstractNumId w:val="0"/>
  </w:num>
  <w:num w:numId="30">
    <w:abstractNumId w:val="12"/>
  </w:num>
  <w:num w:numId="31">
    <w:abstractNumId w:val="24"/>
  </w:num>
  <w:num w:numId="32">
    <w:abstractNumId w:val="37"/>
  </w:num>
  <w:num w:numId="33">
    <w:abstractNumId w:val="4"/>
  </w:num>
  <w:num w:numId="34">
    <w:abstractNumId w:val="22"/>
  </w:num>
  <w:num w:numId="35">
    <w:abstractNumId w:val="14"/>
  </w:num>
  <w:num w:numId="36">
    <w:abstractNumId w:val="31"/>
  </w:num>
  <w:num w:numId="37">
    <w:abstractNumId w:val="35"/>
  </w:num>
  <w:num w:numId="38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34CCA"/>
    <w:rsid w:val="000011D8"/>
    <w:rsid w:val="000113E0"/>
    <w:rsid w:val="00014EDC"/>
    <w:rsid w:val="00032E57"/>
    <w:rsid w:val="00052BC8"/>
    <w:rsid w:val="000632FA"/>
    <w:rsid w:val="000706A0"/>
    <w:rsid w:val="0009677D"/>
    <w:rsid w:val="000B1775"/>
    <w:rsid w:val="000B2BC2"/>
    <w:rsid w:val="000B3E2E"/>
    <w:rsid w:val="000B48EA"/>
    <w:rsid w:val="000C43F9"/>
    <w:rsid w:val="000C4AE2"/>
    <w:rsid w:val="000D4310"/>
    <w:rsid w:val="000D52EE"/>
    <w:rsid w:val="000E5F90"/>
    <w:rsid w:val="000E77BA"/>
    <w:rsid w:val="000F1764"/>
    <w:rsid w:val="000F39FA"/>
    <w:rsid w:val="000F4AB5"/>
    <w:rsid w:val="00104B57"/>
    <w:rsid w:val="00124E6E"/>
    <w:rsid w:val="00131338"/>
    <w:rsid w:val="001358CD"/>
    <w:rsid w:val="00135B3B"/>
    <w:rsid w:val="00144DC8"/>
    <w:rsid w:val="001541EB"/>
    <w:rsid w:val="00155F6B"/>
    <w:rsid w:val="0015632A"/>
    <w:rsid w:val="0017205B"/>
    <w:rsid w:val="00183F8E"/>
    <w:rsid w:val="00185FED"/>
    <w:rsid w:val="00191DC3"/>
    <w:rsid w:val="001B4204"/>
    <w:rsid w:val="001B71C6"/>
    <w:rsid w:val="001C0439"/>
    <w:rsid w:val="001C0B68"/>
    <w:rsid w:val="001E6992"/>
    <w:rsid w:val="00203972"/>
    <w:rsid w:val="00204BAA"/>
    <w:rsid w:val="00207BBB"/>
    <w:rsid w:val="00207EDD"/>
    <w:rsid w:val="002466EE"/>
    <w:rsid w:val="0025078F"/>
    <w:rsid w:val="002712CA"/>
    <w:rsid w:val="00272558"/>
    <w:rsid w:val="0027266F"/>
    <w:rsid w:val="00291DEE"/>
    <w:rsid w:val="002A69E5"/>
    <w:rsid w:val="002B35DA"/>
    <w:rsid w:val="002B7560"/>
    <w:rsid w:val="002F1316"/>
    <w:rsid w:val="002F18B0"/>
    <w:rsid w:val="002F5B25"/>
    <w:rsid w:val="00305141"/>
    <w:rsid w:val="0031342D"/>
    <w:rsid w:val="0032180A"/>
    <w:rsid w:val="0032295F"/>
    <w:rsid w:val="00324172"/>
    <w:rsid w:val="003245C6"/>
    <w:rsid w:val="00330CE7"/>
    <w:rsid w:val="00355038"/>
    <w:rsid w:val="003669C8"/>
    <w:rsid w:val="00366C6A"/>
    <w:rsid w:val="00392956"/>
    <w:rsid w:val="003A0038"/>
    <w:rsid w:val="003A2E3D"/>
    <w:rsid w:val="003A311D"/>
    <w:rsid w:val="003A4937"/>
    <w:rsid w:val="003B10B4"/>
    <w:rsid w:val="003C00F2"/>
    <w:rsid w:val="003C3110"/>
    <w:rsid w:val="003C5352"/>
    <w:rsid w:val="003E1E04"/>
    <w:rsid w:val="003E24E2"/>
    <w:rsid w:val="003F2137"/>
    <w:rsid w:val="003F4E41"/>
    <w:rsid w:val="003F7525"/>
    <w:rsid w:val="004229C7"/>
    <w:rsid w:val="00434EB5"/>
    <w:rsid w:val="00436F20"/>
    <w:rsid w:val="00441DAD"/>
    <w:rsid w:val="004471A6"/>
    <w:rsid w:val="0044775F"/>
    <w:rsid w:val="004534CD"/>
    <w:rsid w:val="0045501C"/>
    <w:rsid w:val="00474A0A"/>
    <w:rsid w:val="004953FC"/>
    <w:rsid w:val="00495520"/>
    <w:rsid w:val="004B3527"/>
    <w:rsid w:val="004C0976"/>
    <w:rsid w:val="004C4B7B"/>
    <w:rsid w:val="004D0FBB"/>
    <w:rsid w:val="004D1DEA"/>
    <w:rsid w:val="004D2B67"/>
    <w:rsid w:val="004D3FDC"/>
    <w:rsid w:val="004D6594"/>
    <w:rsid w:val="004E3254"/>
    <w:rsid w:val="004E50C5"/>
    <w:rsid w:val="004E5F0E"/>
    <w:rsid w:val="004F1158"/>
    <w:rsid w:val="004F2103"/>
    <w:rsid w:val="005021AC"/>
    <w:rsid w:val="00522DAA"/>
    <w:rsid w:val="00534CCA"/>
    <w:rsid w:val="00535F8C"/>
    <w:rsid w:val="00541797"/>
    <w:rsid w:val="00555DEF"/>
    <w:rsid w:val="005577FA"/>
    <w:rsid w:val="00565C00"/>
    <w:rsid w:val="00585D9A"/>
    <w:rsid w:val="0059496F"/>
    <w:rsid w:val="00594B62"/>
    <w:rsid w:val="0059558A"/>
    <w:rsid w:val="005A2D0D"/>
    <w:rsid w:val="005D0ADD"/>
    <w:rsid w:val="005D39E1"/>
    <w:rsid w:val="005D6269"/>
    <w:rsid w:val="005E19AC"/>
    <w:rsid w:val="005F1AE4"/>
    <w:rsid w:val="00623276"/>
    <w:rsid w:val="00643289"/>
    <w:rsid w:val="0064714C"/>
    <w:rsid w:val="00652D5F"/>
    <w:rsid w:val="0065502D"/>
    <w:rsid w:val="006657BE"/>
    <w:rsid w:val="00681BAE"/>
    <w:rsid w:val="006839A5"/>
    <w:rsid w:val="006857B1"/>
    <w:rsid w:val="006A68C6"/>
    <w:rsid w:val="006B72B2"/>
    <w:rsid w:val="006C0485"/>
    <w:rsid w:val="006C640D"/>
    <w:rsid w:val="006D7EC5"/>
    <w:rsid w:val="006F2164"/>
    <w:rsid w:val="00701D08"/>
    <w:rsid w:val="0072176D"/>
    <w:rsid w:val="00722977"/>
    <w:rsid w:val="00745AAC"/>
    <w:rsid w:val="0074751E"/>
    <w:rsid w:val="007521A6"/>
    <w:rsid w:val="00762CBE"/>
    <w:rsid w:val="007631E6"/>
    <w:rsid w:val="007738D2"/>
    <w:rsid w:val="00782231"/>
    <w:rsid w:val="007835BE"/>
    <w:rsid w:val="00790B41"/>
    <w:rsid w:val="0079377C"/>
    <w:rsid w:val="0079557B"/>
    <w:rsid w:val="007C3E87"/>
    <w:rsid w:val="007D248D"/>
    <w:rsid w:val="007F1217"/>
    <w:rsid w:val="00800E4A"/>
    <w:rsid w:val="0080470F"/>
    <w:rsid w:val="00810F5B"/>
    <w:rsid w:val="008201DF"/>
    <w:rsid w:val="008329D4"/>
    <w:rsid w:val="00834E81"/>
    <w:rsid w:val="008411A5"/>
    <w:rsid w:val="008437DC"/>
    <w:rsid w:val="00847154"/>
    <w:rsid w:val="00851AD6"/>
    <w:rsid w:val="008535E0"/>
    <w:rsid w:val="00853713"/>
    <w:rsid w:val="00872234"/>
    <w:rsid w:val="0088107D"/>
    <w:rsid w:val="008967FD"/>
    <w:rsid w:val="008A5D33"/>
    <w:rsid w:val="008C0616"/>
    <w:rsid w:val="008C365A"/>
    <w:rsid w:val="008D48C2"/>
    <w:rsid w:val="008F4D5C"/>
    <w:rsid w:val="008F7CCA"/>
    <w:rsid w:val="00906C76"/>
    <w:rsid w:val="00907A90"/>
    <w:rsid w:val="00911D1C"/>
    <w:rsid w:val="00945873"/>
    <w:rsid w:val="0096502F"/>
    <w:rsid w:val="00972CC2"/>
    <w:rsid w:val="0098410A"/>
    <w:rsid w:val="009905D4"/>
    <w:rsid w:val="00990898"/>
    <w:rsid w:val="009A341E"/>
    <w:rsid w:val="009B10A3"/>
    <w:rsid w:val="009B4D8F"/>
    <w:rsid w:val="009B7CE9"/>
    <w:rsid w:val="009C7582"/>
    <w:rsid w:val="009D7E7E"/>
    <w:rsid w:val="009F48D9"/>
    <w:rsid w:val="00A0142F"/>
    <w:rsid w:val="00A025F2"/>
    <w:rsid w:val="00A16F83"/>
    <w:rsid w:val="00A24506"/>
    <w:rsid w:val="00A27E7A"/>
    <w:rsid w:val="00A42998"/>
    <w:rsid w:val="00A454A1"/>
    <w:rsid w:val="00A4684D"/>
    <w:rsid w:val="00A5581B"/>
    <w:rsid w:val="00A56327"/>
    <w:rsid w:val="00A57A28"/>
    <w:rsid w:val="00A67A73"/>
    <w:rsid w:val="00A801DF"/>
    <w:rsid w:val="00A807A5"/>
    <w:rsid w:val="00AC1F3D"/>
    <w:rsid w:val="00AC6D75"/>
    <w:rsid w:val="00AE3A01"/>
    <w:rsid w:val="00AE4869"/>
    <w:rsid w:val="00AF09E6"/>
    <w:rsid w:val="00AF0A18"/>
    <w:rsid w:val="00AF3ED9"/>
    <w:rsid w:val="00B12683"/>
    <w:rsid w:val="00B24C2C"/>
    <w:rsid w:val="00B330AF"/>
    <w:rsid w:val="00B36BEC"/>
    <w:rsid w:val="00B41A5E"/>
    <w:rsid w:val="00B45C64"/>
    <w:rsid w:val="00B464C5"/>
    <w:rsid w:val="00B537B2"/>
    <w:rsid w:val="00B56956"/>
    <w:rsid w:val="00B57412"/>
    <w:rsid w:val="00B60DFB"/>
    <w:rsid w:val="00B65025"/>
    <w:rsid w:val="00B735EA"/>
    <w:rsid w:val="00B73E3B"/>
    <w:rsid w:val="00B77872"/>
    <w:rsid w:val="00B778B5"/>
    <w:rsid w:val="00B800DB"/>
    <w:rsid w:val="00B8343B"/>
    <w:rsid w:val="00B8642E"/>
    <w:rsid w:val="00BB4444"/>
    <w:rsid w:val="00BD3906"/>
    <w:rsid w:val="00BE16D6"/>
    <w:rsid w:val="00BF14B2"/>
    <w:rsid w:val="00C060B6"/>
    <w:rsid w:val="00C13C17"/>
    <w:rsid w:val="00C14E02"/>
    <w:rsid w:val="00C14F68"/>
    <w:rsid w:val="00C465FD"/>
    <w:rsid w:val="00C724AD"/>
    <w:rsid w:val="00C91C7D"/>
    <w:rsid w:val="00C92293"/>
    <w:rsid w:val="00CC18DC"/>
    <w:rsid w:val="00CF17A5"/>
    <w:rsid w:val="00CF538E"/>
    <w:rsid w:val="00D02778"/>
    <w:rsid w:val="00D30748"/>
    <w:rsid w:val="00D36434"/>
    <w:rsid w:val="00D40B25"/>
    <w:rsid w:val="00D4124C"/>
    <w:rsid w:val="00D42195"/>
    <w:rsid w:val="00D672C5"/>
    <w:rsid w:val="00D82083"/>
    <w:rsid w:val="00D84069"/>
    <w:rsid w:val="00D910B6"/>
    <w:rsid w:val="00D958A4"/>
    <w:rsid w:val="00D97057"/>
    <w:rsid w:val="00DA30FF"/>
    <w:rsid w:val="00DA4C25"/>
    <w:rsid w:val="00DB133E"/>
    <w:rsid w:val="00DC1CB6"/>
    <w:rsid w:val="00DD48B6"/>
    <w:rsid w:val="00DD4C96"/>
    <w:rsid w:val="00DE4D82"/>
    <w:rsid w:val="00DF06FA"/>
    <w:rsid w:val="00DF6989"/>
    <w:rsid w:val="00E07A99"/>
    <w:rsid w:val="00E121C5"/>
    <w:rsid w:val="00E40078"/>
    <w:rsid w:val="00E4783F"/>
    <w:rsid w:val="00E50BDA"/>
    <w:rsid w:val="00E72B0C"/>
    <w:rsid w:val="00E80693"/>
    <w:rsid w:val="00E82719"/>
    <w:rsid w:val="00E82E77"/>
    <w:rsid w:val="00E87834"/>
    <w:rsid w:val="00E96A0D"/>
    <w:rsid w:val="00EA175F"/>
    <w:rsid w:val="00EA1EAB"/>
    <w:rsid w:val="00EA20FA"/>
    <w:rsid w:val="00EB0196"/>
    <w:rsid w:val="00EB2065"/>
    <w:rsid w:val="00EB5592"/>
    <w:rsid w:val="00EC3111"/>
    <w:rsid w:val="00EE4B0C"/>
    <w:rsid w:val="00F00E59"/>
    <w:rsid w:val="00F23613"/>
    <w:rsid w:val="00F3117E"/>
    <w:rsid w:val="00F365AA"/>
    <w:rsid w:val="00F42CF6"/>
    <w:rsid w:val="00F4653E"/>
    <w:rsid w:val="00F50F33"/>
    <w:rsid w:val="00F55CC6"/>
    <w:rsid w:val="00F5638E"/>
    <w:rsid w:val="00F76A07"/>
    <w:rsid w:val="00F77216"/>
    <w:rsid w:val="00F772F5"/>
    <w:rsid w:val="00F8576C"/>
    <w:rsid w:val="00F936C5"/>
    <w:rsid w:val="00F946CA"/>
    <w:rsid w:val="00FC1D92"/>
    <w:rsid w:val="00FC2226"/>
    <w:rsid w:val="00FD1857"/>
    <w:rsid w:val="00FE7A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4CCA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4F1158"/>
    <w:pPr>
      <w:keepNext/>
      <w:spacing w:line="240" w:lineRule="atLeast"/>
      <w:outlineLvl w:val="0"/>
    </w:pPr>
    <w:rPr>
      <w:rFonts w:ascii="Arial" w:hAnsi="Arial"/>
      <w:b/>
      <w:snapToGrid w:val="0"/>
      <w:color w:val="000000"/>
      <w:szCs w:val="20"/>
      <w:lang w:val="cs-CZ" w:eastAsia="cs-CZ"/>
    </w:rPr>
  </w:style>
  <w:style w:type="paragraph" w:styleId="Nadpis2">
    <w:name w:val="heading 2"/>
    <w:basedOn w:val="Normlny"/>
    <w:next w:val="Normlny"/>
    <w:link w:val="Nadpis2Char"/>
    <w:qFormat/>
    <w:rsid w:val="004F1158"/>
    <w:pPr>
      <w:keepNext/>
      <w:tabs>
        <w:tab w:val="left" w:pos="567"/>
      </w:tabs>
      <w:spacing w:line="240" w:lineRule="atLeast"/>
      <w:jc w:val="both"/>
      <w:outlineLvl w:val="1"/>
    </w:pPr>
    <w:rPr>
      <w:rFonts w:ascii="Arial" w:hAnsi="Arial"/>
      <w:b/>
      <w:snapToGrid w:val="0"/>
      <w:color w:val="FF0000"/>
      <w:sz w:val="22"/>
      <w:szCs w:val="20"/>
      <w:lang w:val="cs-CZ" w:eastAsia="cs-CZ"/>
    </w:rPr>
  </w:style>
  <w:style w:type="paragraph" w:styleId="Nadpis3">
    <w:name w:val="heading 3"/>
    <w:basedOn w:val="Normlny"/>
    <w:next w:val="Normlny"/>
    <w:link w:val="Nadpis3Char"/>
    <w:qFormat/>
    <w:rsid w:val="004F1158"/>
    <w:pPr>
      <w:keepNext/>
      <w:spacing w:line="240" w:lineRule="atLeast"/>
      <w:outlineLvl w:val="2"/>
    </w:pPr>
    <w:rPr>
      <w:b/>
      <w:snapToGrid w:val="0"/>
      <w:color w:val="000000"/>
      <w:sz w:val="22"/>
      <w:szCs w:val="21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F1158"/>
    <w:pPr>
      <w:keepNext/>
      <w:tabs>
        <w:tab w:val="left" w:pos="9214"/>
      </w:tabs>
      <w:jc w:val="both"/>
      <w:outlineLvl w:val="3"/>
    </w:pPr>
    <w:rPr>
      <w:b/>
      <w:snapToGrid w:val="0"/>
      <w:color w:val="000000"/>
      <w:sz w:val="22"/>
      <w:szCs w:val="21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4F1158"/>
    <w:pPr>
      <w:keepNext/>
      <w:spacing w:line="240" w:lineRule="atLeast"/>
      <w:ind w:firstLine="567"/>
      <w:outlineLvl w:val="4"/>
    </w:pPr>
    <w:rPr>
      <w:b/>
      <w:snapToGrid w:val="0"/>
      <w:color w:val="000000"/>
      <w:sz w:val="22"/>
      <w:szCs w:val="21"/>
    </w:rPr>
  </w:style>
  <w:style w:type="paragraph" w:styleId="Nadpis6">
    <w:name w:val="heading 6"/>
    <w:basedOn w:val="Normlny"/>
    <w:next w:val="Normlny"/>
    <w:link w:val="Nadpis6Char"/>
    <w:qFormat/>
    <w:rsid w:val="004F1158"/>
    <w:pPr>
      <w:keepNext/>
      <w:spacing w:line="360" w:lineRule="atLeast"/>
      <w:ind w:firstLine="567"/>
      <w:jc w:val="center"/>
      <w:outlineLvl w:val="5"/>
    </w:pPr>
    <w:rPr>
      <w:rFonts w:ascii="Tahoma" w:hAnsi="Tahoma"/>
      <w:b/>
      <w:snapToGrid w:val="0"/>
      <w:color w:val="000000"/>
      <w:sz w:val="28"/>
      <w:szCs w:val="21"/>
    </w:rPr>
  </w:style>
  <w:style w:type="paragraph" w:styleId="Nadpis7">
    <w:name w:val="heading 7"/>
    <w:basedOn w:val="Normlny"/>
    <w:next w:val="Normlny"/>
    <w:link w:val="Nadpis7Char"/>
    <w:qFormat/>
    <w:rsid w:val="004F1158"/>
    <w:pPr>
      <w:keepNext/>
      <w:spacing w:line="240" w:lineRule="atLeast"/>
      <w:outlineLvl w:val="6"/>
    </w:pPr>
    <w:rPr>
      <w:rFonts w:ascii="Tahoma" w:hAnsi="Tahoma"/>
      <w:b/>
      <w:snapToGrid w:val="0"/>
      <w:color w:val="000000"/>
      <w:sz w:val="28"/>
      <w:szCs w:val="21"/>
    </w:rPr>
  </w:style>
  <w:style w:type="paragraph" w:styleId="Nadpis8">
    <w:name w:val="heading 8"/>
    <w:basedOn w:val="Normlny"/>
    <w:next w:val="Normlny"/>
    <w:link w:val="Nadpis8Char"/>
    <w:qFormat/>
    <w:rsid w:val="004F1158"/>
    <w:pPr>
      <w:keepNext/>
      <w:tabs>
        <w:tab w:val="left" w:pos="567"/>
      </w:tabs>
      <w:spacing w:line="240" w:lineRule="atLeast"/>
      <w:jc w:val="both"/>
      <w:outlineLvl w:val="7"/>
    </w:pPr>
    <w:rPr>
      <w:rFonts w:ascii="Tahoma" w:hAnsi="Tahoma"/>
      <w:b/>
      <w:snapToGrid w:val="0"/>
      <w:color w:val="000000"/>
      <w:sz w:val="28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4714C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F1158"/>
    <w:rPr>
      <w:rFonts w:ascii="Arial" w:hAnsi="Arial"/>
      <w:b/>
      <w:snapToGrid w:val="0"/>
      <w:color w:val="000000"/>
      <w:sz w:val="24"/>
      <w:lang w:val="cs-CZ" w:eastAsia="cs-CZ"/>
    </w:rPr>
  </w:style>
  <w:style w:type="character" w:customStyle="1" w:styleId="Nadpis2Char">
    <w:name w:val="Nadpis 2 Char"/>
    <w:link w:val="Nadpis2"/>
    <w:rsid w:val="004F1158"/>
    <w:rPr>
      <w:rFonts w:ascii="Arial" w:hAnsi="Arial"/>
      <w:b/>
      <w:snapToGrid w:val="0"/>
      <w:color w:val="FF0000"/>
      <w:sz w:val="22"/>
      <w:lang w:val="cs-CZ" w:eastAsia="cs-CZ"/>
    </w:rPr>
  </w:style>
  <w:style w:type="character" w:customStyle="1" w:styleId="Nadpis3Char">
    <w:name w:val="Nadpis 3 Char"/>
    <w:link w:val="Nadpis3"/>
    <w:rsid w:val="004F1158"/>
    <w:rPr>
      <w:b/>
      <w:snapToGrid w:val="0"/>
      <w:color w:val="000000"/>
      <w:sz w:val="22"/>
      <w:szCs w:val="21"/>
      <w:lang w:eastAsia="cs-CZ"/>
    </w:rPr>
  </w:style>
  <w:style w:type="character" w:customStyle="1" w:styleId="Nadpis4Char">
    <w:name w:val="Nadpis 4 Char"/>
    <w:link w:val="Nadpis4"/>
    <w:rsid w:val="004F1158"/>
    <w:rPr>
      <w:b/>
      <w:snapToGrid w:val="0"/>
      <w:color w:val="000000"/>
      <w:sz w:val="22"/>
      <w:szCs w:val="21"/>
      <w:lang w:eastAsia="cs-CZ"/>
    </w:rPr>
  </w:style>
  <w:style w:type="character" w:customStyle="1" w:styleId="Nadpis5Char">
    <w:name w:val="Nadpis 5 Char"/>
    <w:link w:val="Nadpis5"/>
    <w:rsid w:val="004F1158"/>
    <w:rPr>
      <w:b/>
      <w:snapToGrid w:val="0"/>
      <w:color w:val="000000"/>
      <w:sz w:val="22"/>
      <w:szCs w:val="21"/>
    </w:rPr>
  </w:style>
  <w:style w:type="character" w:customStyle="1" w:styleId="Nadpis6Char">
    <w:name w:val="Nadpis 6 Char"/>
    <w:link w:val="Nadpis6"/>
    <w:rsid w:val="004F1158"/>
    <w:rPr>
      <w:rFonts w:ascii="Tahoma" w:hAnsi="Tahoma" w:cs="Tahoma"/>
      <w:b/>
      <w:snapToGrid w:val="0"/>
      <w:color w:val="000000"/>
      <w:sz w:val="28"/>
      <w:szCs w:val="21"/>
    </w:rPr>
  </w:style>
  <w:style w:type="character" w:customStyle="1" w:styleId="Nadpis7Char">
    <w:name w:val="Nadpis 7 Char"/>
    <w:link w:val="Nadpis7"/>
    <w:rsid w:val="004F1158"/>
    <w:rPr>
      <w:rFonts w:ascii="Tahoma" w:hAnsi="Tahoma" w:cs="Tahoma"/>
      <w:b/>
      <w:snapToGrid w:val="0"/>
      <w:color w:val="000000"/>
      <w:sz w:val="28"/>
      <w:szCs w:val="21"/>
    </w:rPr>
  </w:style>
  <w:style w:type="character" w:customStyle="1" w:styleId="Nadpis8Char">
    <w:name w:val="Nadpis 8 Char"/>
    <w:link w:val="Nadpis8"/>
    <w:rsid w:val="004F1158"/>
    <w:rPr>
      <w:rFonts w:ascii="Tahoma" w:hAnsi="Tahoma" w:cs="Tahoma"/>
      <w:b/>
      <w:snapToGrid w:val="0"/>
      <w:color w:val="000000"/>
      <w:sz w:val="28"/>
      <w:szCs w:val="21"/>
    </w:rPr>
  </w:style>
  <w:style w:type="paragraph" w:styleId="Odsekzoznamu">
    <w:name w:val="List Paragraph"/>
    <w:basedOn w:val="Normlny"/>
    <w:uiPriority w:val="34"/>
    <w:qFormat/>
    <w:rsid w:val="004F1158"/>
    <w:pPr>
      <w:ind w:left="708"/>
    </w:pPr>
  </w:style>
  <w:style w:type="paragraph" w:styleId="Zkladntext2">
    <w:name w:val="Body Text 2"/>
    <w:basedOn w:val="Normlny"/>
    <w:link w:val="Zkladntext2Char"/>
    <w:semiHidden/>
    <w:rsid w:val="00534CCA"/>
    <w:rPr>
      <w:i/>
      <w:iCs/>
      <w:sz w:val="26"/>
    </w:rPr>
  </w:style>
  <w:style w:type="character" w:customStyle="1" w:styleId="Zkladntext2Char">
    <w:name w:val="Základný text 2 Char"/>
    <w:link w:val="Zkladntext2"/>
    <w:semiHidden/>
    <w:rsid w:val="00534CCA"/>
    <w:rPr>
      <w:i/>
      <w:iCs/>
      <w:sz w:val="26"/>
      <w:szCs w:val="24"/>
    </w:rPr>
  </w:style>
  <w:style w:type="paragraph" w:styleId="Zkladntext3">
    <w:name w:val="Body Text 3"/>
    <w:basedOn w:val="Normlny"/>
    <w:link w:val="Zkladntext3Char"/>
    <w:semiHidden/>
    <w:rsid w:val="00534CC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semiHidden/>
    <w:rsid w:val="00534CCA"/>
    <w:rPr>
      <w:sz w:val="16"/>
      <w:szCs w:val="16"/>
    </w:rPr>
  </w:style>
  <w:style w:type="character" w:customStyle="1" w:styleId="textnormalnormal1">
    <w:name w:val="text_normal_normal1"/>
    <w:rsid w:val="00534CCA"/>
    <w:rPr>
      <w:rFonts w:ascii="Verdana" w:hAnsi="Verdana" w:hint="default"/>
      <w:strike w:val="0"/>
      <w:dstrike w:val="0"/>
      <w:sz w:val="12"/>
      <w:szCs w:val="12"/>
      <w:u w:val="none"/>
      <w:effect w:val="none"/>
    </w:rPr>
  </w:style>
  <w:style w:type="paragraph" w:styleId="Hlavika">
    <w:name w:val="header"/>
    <w:basedOn w:val="Normlny"/>
    <w:link w:val="HlavikaChar"/>
    <w:semiHidden/>
    <w:rsid w:val="00534C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semiHidden/>
    <w:rsid w:val="00534CCA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semiHidden/>
    <w:rsid w:val="00534CCA"/>
    <w:pPr>
      <w:ind w:right="720" w:firstLine="993"/>
    </w:pPr>
    <w:rPr>
      <w:color w:val="000000"/>
    </w:rPr>
  </w:style>
  <w:style w:type="character" w:customStyle="1" w:styleId="ZarkazkladnhotextuChar">
    <w:name w:val="Zarážka základného textu Char"/>
    <w:link w:val="Zarkazkladnhotextu"/>
    <w:semiHidden/>
    <w:rsid w:val="00534CCA"/>
    <w:rPr>
      <w:color w:val="000000"/>
      <w:sz w:val="24"/>
      <w:szCs w:val="24"/>
    </w:rPr>
  </w:style>
  <w:style w:type="paragraph" w:styleId="Zarkazkladnhotextu2">
    <w:name w:val="Body Text Indent 2"/>
    <w:basedOn w:val="Normlny"/>
    <w:link w:val="Zarkazkladnhotextu2Char"/>
    <w:semiHidden/>
    <w:rsid w:val="00534CCA"/>
    <w:pPr>
      <w:ind w:right="720" w:firstLine="708"/>
      <w:jc w:val="both"/>
    </w:pPr>
  </w:style>
  <w:style w:type="character" w:customStyle="1" w:styleId="Zarkazkladnhotextu2Char">
    <w:name w:val="Zarážka základného textu 2 Char"/>
    <w:link w:val="Zarkazkladnhotextu2"/>
    <w:semiHidden/>
    <w:rsid w:val="00534CC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34CCA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34CCA"/>
    <w:rPr>
      <w:rFonts w:ascii="Tahoma" w:hAnsi="Tahoma" w:cs="Tahoma"/>
      <w:sz w:val="16"/>
      <w:szCs w:val="16"/>
    </w:rPr>
  </w:style>
  <w:style w:type="character" w:customStyle="1" w:styleId="Nadpis9Char">
    <w:name w:val="Nadpis 9 Char"/>
    <w:link w:val="Nadpis9"/>
    <w:uiPriority w:val="9"/>
    <w:semiHidden/>
    <w:rsid w:val="0064714C"/>
    <w:rPr>
      <w:rFonts w:ascii="Cambria" w:eastAsia="Times New Roman" w:hAnsi="Cambria" w:cs="Times New Roman"/>
      <w:sz w:val="22"/>
      <w:szCs w:val="2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4714C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64714C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4714C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rsid w:val="0064714C"/>
    <w:rPr>
      <w:sz w:val="16"/>
      <w:szCs w:val="16"/>
    </w:rPr>
  </w:style>
  <w:style w:type="paragraph" w:styleId="Bezriadkovania">
    <w:name w:val="No Spacing"/>
    <w:uiPriority w:val="1"/>
    <w:qFormat/>
    <w:rsid w:val="0064714C"/>
    <w:rPr>
      <w:sz w:val="24"/>
      <w:szCs w:val="24"/>
    </w:rPr>
  </w:style>
  <w:style w:type="character" w:customStyle="1" w:styleId="ra">
    <w:name w:val="ra"/>
    <w:basedOn w:val="Predvolenpsmoodseku"/>
    <w:rsid w:val="0064714C"/>
  </w:style>
  <w:style w:type="character" w:customStyle="1" w:styleId="ro">
    <w:name w:val="ro"/>
    <w:basedOn w:val="Predvolenpsmoodseku"/>
    <w:rsid w:val="0064714C"/>
  </w:style>
  <w:style w:type="character" w:customStyle="1" w:styleId="tl">
    <w:name w:val="tl"/>
    <w:basedOn w:val="Predvolenpsmoodseku"/>
    <w:rsid w:val="0064714C"/>
  </w:style>
  <w:style w:type="paragraph" w:styleId="Normlnywebov">
    <w:name w:val="Normal (Web)"/>
    <w:basedOn w:val="Normlny"/>
    <w:uiPriority w:val="99"/>
    <w:unhideWhenUsed/>
    <w:rsid w:val="00B65025"/>
    <w:pPr>
      <w:spacing w:before="100" w:beforeAutospacing="1" w:after="100" w:afterAutospacing="1"/>
    </w:pPr>
  </w:style>
  <w:style w:type="character" w:styleId="Siln">
    <w:name w:val="Strong"/>
    <w:uiPriority w:val="22"/>
    <w:qFormat/>
    <w:rsid w:val="00B65025"/>
    <w:rPr>
      <w:b/>
      <w:bCs/>
    </w:rPr>
  </w:style>
  <w:style w:type="paragraph" w:styleId="Pta">
    <w:name w:val="footer"/>
    <w:basedOn w:val="Normlny"/>
    <w:link w:val="PtaChar"/>
    <w:uiPriority w:val="99"/>
    <w:unhideWhenUsed/>
    <w:rsid w:val="000F4AB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F4AB5"/>
    <w:rPr>
      <w:sz w:val="24"/>
      <w:szCs w:val="24"/>
    </w:rPr>
  </w:style>
  <w:style w:type="character" w:styleId="Hypertextovprepojenie">
    <w:name w:val="Hyperlink"/>
    <w:uiPriority w:val="99"/>
    <w:semiHidden/>
    <w:unhideWhenUsed/>
    <w:rsid w:val="005D0ADD"/>
    <w:rPr>
      <w:color w:val="0000FF"/>
      <w:u w:val="single"/>
    </w:rPr>
  </w:style>
  <w:style w:type="character" w:styleId="Zvraznenie">
    <w:name w:val="Emphasis"/>
    <w:uiPriority w:val="20"/>
    <w:qFormat/>
    <w:rsid w:val="00324172"/>
    <w:rPr>
      <w:i/>
      <w:iCs/>
    </w:rPr>
  </w:style>
  <w:style w:type="character" w:styleId="PouitHypertextovPrepojenie">
    <w:name w:val="FollowedHyperlink"/>
    <w:uiPriority w:val="99"/>
    <w:semiHidden/>
    <w:unhideWhenUsed/>
    <w:rsid w:val="00D36434"/>
    <w:rPr>
      <w:color w:val="800080"/>
      <w:u w:val="single"/>
    </w:rPr>
  </w:style>
  <w:style w:type="character" w:customStyle="1" w:styleId="FontStyle12">
    <w:name w:val="Font Style12"/>
    <w:uiPriority w:val="99"/>
    <w:rsid w:val="00BE16D6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13">
    <w:name w:val="Font Style13"/>
    <w:uiPriority w:val="99"/>
    <w:rsid w:val="00BE16D6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96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752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043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501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213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231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87535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47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9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7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6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3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4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7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2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0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5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3647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463326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0" w:color="FF0000"/>
                <w:bottom w:val="single" w:sz="2" w:space="0" w:color="FF0000"/>
                <w:right w:val="single" w:sz="2" w:space="0" w:color="FF0000"/>
              </w:divBdr>
              <w:divsChild>
                <w:div w:id="1086653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209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86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31038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70161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0" w:color="FF0000"/>
                <w:bottom w:val="single" w:sz="2" w:space="0" w:color="FF0000"/>
                <w:right w:val="single" w:sz="2" w:space="0" w:color="FF0000"/>
              </w:divBdr>
              <w:divsChild>
                <w:div w:id="1496649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865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9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8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0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73898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466771">
              <w:marLeft w:val="0"/>
              <w:marRight w:val="0"/>
              <w:marTop w:val="0"/>
              <w:marBottom w:val="0"/>
              <w:divBdr>
                <w:top w:val="single" w:sz="2" w:space="0" w:color="FF0000"/>
                <w:left w:val="single" w:sz="2" w:space="0" w:color="FF0000"/>
                <w:bottom w:val="single" w:sz="2" w:space="0" w:color="FF0000"/>
                <w:right w:val="single" w:sz="2" w:space="0" w:color="FF0000"/>
              </w:divBdr>
              <w:divsChild>
                <w:div w:id="447627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182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9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470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3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2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100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3564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8807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53942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248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9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7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2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0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4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3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2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35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64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285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1039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5580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0370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6488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325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26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microsoft.com/office/2007/relationships/stylesWithEffects" Target="stylesWithEffect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ocuments\AMG%20s.r.o\ukazovatele%20v&#253;r.spr&#225;va_2016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ocuments\1%20ATCL\AUDIT\AMG\V%20&#221;RO&#268;N&#193;%20SPR&#193;VA\2016\ukazovatele%20v&#253;r.spr&#225;va_2016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ocuments\1%20ATCL\AUDIT\AMG\V%20&#221;RO&#268;N&#193;%20SPR&#193;VA\2016\ukazovatele%20v&#253;r.spr&#225;va_2016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Hárok1!$A$3</c:f>
              <c:strCache>
                <c:ptCount val="1"/>
                <c:pt idx="0">
                  <c:v>Likvidita I. stupňa</c:v>
                </c:pt>
              </c:strCache>
            </c:strRef>
          </c:tx>
          <c:cat>
            <c:strRef>
              <c:f>Hárok1!$B$2:$E$2</c:f>
              <c:strCache>
                <c:ptCount val="4"/>
                <c:pt idx="0">
                  <c:v>rok 2013</c:v>
                </c:pt>
                <c:pt idx="1">
                  <c:v>rok 2014</c:v>
                </c:pt>
                <c:pt idx="2">
                  <c:v>rok 2015</c:v>
                </c:pt>
                <c:pt idx="3">
                  <c:v>rok 2016</c:v>
                </c:pt>
              </c:strCache>
            </c:strRef>
          </c:cat>
          <c:val>
            <c:numRef>
              <c:f>Hárok1!$B$3:$E$3</c:f>
              <c:numCache>
                <c:formatCode>#,##0.00</c:formatCode>
                <c:ptCount val="4"/>
                <c:pt idx="0">
                  <c:v>0.47000000000000008</c:v>
                </c:pt>
                <c:pt idx="1">
                  <c:v>0.67000000000000048</c:v>
                </c:pt>
                <c:pt idx="2">
                  <c:v>0.49000000000000016</c:v>
                </c:pt>
                <c:pt idx="3">
                  <c:v>0.15301820956098783</c:v>
                </c:pt>
              </c:numCache>
            </c:numRef>
          </c:val>
        </c:ser>
        <c:ser>
          <c:idx val="1"/>
          <c:order val="1"/>
          <c:tx>
            <c:strRef>
              <c:f>Hárok1!$A$4</c:f>
              <c:strCache>
                <c:ptCount val="1"/>
                <c:pt idx="0">
                  <c:v>Likvidita II. stupňa</c:v>
                </c:pt>
              </c:strCache>
            </c:strRef>
          </c:tx>
          <c:cat>
            <c:strRef>
              <c:f>Hárok1!$B$2:$E$2</c:f>
              <c:strCache>
                <c:ptCount val="4"/>
                <c:pt idx="0">
                  <c:v>rok 2013</c:v>
                </c:pt>
                <c:pt idx="1">
                  <c:v>rok 2014</c:v>
                </c:pt>
                <c:pt idx="2">
                  <c:v>rok 2015</c:v>
                </c:pt>
                <c:pt idx="3">
                  <c:v>rok 2016</c:v>
                </c:pt>
              </c:strCache>
            </c:strRef>
          </c:cat>
          <c:val>
            <c:numRef>
              <c:f>Hárok1!$B$4:$E$4</c:f>
              <c:numCache>
                <c:formatCode>#,##0.00</c:formatCode>
                <c:ptCount val="4"/>
                <c:pt idx="0">
                  <c:v>1.1000000000000001</c:v>
                </c:pt>
                <c:pt idx="1">
                  <c:v>1.1700000000000006</c:v>
                </c:pt>
                <c:pt idx="2">
                  <c:v>1.5</c:v>
                </c:pt>
                <c:pt idx="3">
                  <c:v>0.96363832347078981</c:v>
                </c:pt>
              </c:numCache>
            </c:numRef>
          </c:val>
        </c:ser>
        <c:ser>
          <c:idx val="2"/>
          <c:order val="2"/>
          <c:tx>
            <c:strRef>
              <c:f>Hárok1!$A$5</c:f>
              <c:strCache>
                <c:ptCount val="1"/>
                <c:pt idx="0">
                  <c:v>Likvidita III. stupňa</c:v>
                </c:pt>
              </c:strCache>
            </c:strRef>
          </c:tx>
          <c:cat>
            <c:strRef>
              <c:f>Hárok1!$B$2:$E$2</c:f>
              <c:strCache>
                <c:ptCount val="4"/>
                <c:pt idx="0">
                  <c:v>rok 2013</c:v>
                </c:pt>
                <c:pt idx="1">
                  <c:v>rok 2014</c:v>
                </c:pt>
                <c:pt idx="2">
                  <c:v>rok 2015</c:v>
                </c:pt>
                <c:pt idx="3">
                  <c:v>rok 2016</c:v>
                </c:pt>
              </c:strCache>
            </c:strRef>
          </c:cat>
          <c:val>
            <c:numRef>
              <c:f>Hárok1!$B$5:$E$5</c:f>
              <c:numCache>
                <c:formatCode>#,##0.00</c:formatCode>
                <c:ptCount val="4"/>
                <c:pt idx="0">
                  <c:v>1.1000000000000001</c:v>
                </c:pt>
                <c:pt idx="1">
                  <c:v>1.1700000000000006</c:v>
                </c:pt>
                <c:pt idx="2">
                  <c:v>1.5</c:v>
                </c:pt>
                <c:pt idx="3">
                  <c:v>0.96363832347078981</c:v>
                </c:pt>
              </c:numCache>
            </c:numRef>
          </c:val>
        </c:ser>
        <c:shape val="cylinder"/>
        <c:axId val="3587072"/>
        <c:axId val="3597056"/>
        <c:axId val="0"/>
      </c:bar3DChart>
      <c:catAx>
        <c:axId val="3587072"/>
        <c:scaling>
          <c:orientation val="minMax"/>
        </c:scaling>
        <c:axPos val="b"/>
        <c:tickLblPos val="nextTo"/>
        <c:crossAx val="3597056"/>
        <c:crosses val="autoZero"/>
        <c:auto val="1"/>
        <c:lblAlgn val="ctr"/>
        <c:lblOffset val="100"/>
      </c:catAx>
      <c:valAx>
        <c:axId val="3597056"/>
        <c:scaling>
          <c:orientation val="minMax"/>
        </c:scaling>
        <c:axPos val="l"/>
        <c:majorGridlines/>
        <c:numFmt formatCode="#,##0.00" sourceLinked="1"/>
        <c:tickLblPos val="nextTo"/>
        <c:crossAx val="3587072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autoTitleDeleted val="1"/>
    <c:plotArea>
      <c:layout/>
      <c:lineChart>
        <c:grouping val="stacked"/>
        <c:ser>
          <c:idx val="0"/>
          <c:order val="0"/>
          <c:tx>
            <c:strRef>
              <c:f>'[ukazovatele výr.správa_2016.xlsx]Hárok1'!$A$49</c:f>
              <c:strCache>
                <c:ptCount val="1"/>
                <c:pt idx="0">
                  <c:v>nákladová náročnosť tržieb </c:v>
                </c:pt>
              </c:strCache>
            </c:strRef>
          </c:tx>
          <c:marker>
            <c:symbol val="none"/>
          </c:marker>
          <c:cat>
            <c:numRef>
              <c:f>'[ukazovatele výr.správa_2016.xlsx]Hárok1'!$B$48:$E$48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'[ukazovatele výr.správa_2016.xlsx]Hárok1'!$B$49:$E$49</c:f>
              <c:numCache>
                <c:formatCode>General</c:formatCode>
                <c:ptCount val="4"/>
                <c:pt idx="0">
                  <c:v>0.9700000000000002</c:v>
                </c:pt>
                <c:pt idx="1">
                  <c:v>0.9700000000000002</c:v>
                </c:pt>
                <c:pt idx="2">
                  <c:v>1</c:v>
                </c:pt>
                <c:pt idx="3">
                  <c:v>0.9700000000000002</c:v>
                </c:pt>
              </c:numCache>
            </c:numRef>
          </c:val>
        </c:ser>
        <c:marker val="1"/>
        <c:axId val="3281280"/>
        <c:axId val="3282816"/>
      </c:lineChart>
      <c:catAx>
        <c:axId val="3281280"/>
        <c:scaling>
          <c:orientation val="minMax"/>
        </c:scaling>
        <c:axPos val="b"/>
        <c:numFmt formatCode="General" sourceLinked="1"/>
        <c:tickLblPos val="nextTo"/>
        <c:crossAx val="3282816"/>
        <c:crosses val="autoZero"/>
        <c:auto val="1"/>
        <c:lblAlgn val="ctr"/>
        <c:lblOffset val="100"/>
      </c:catAx>
      <c:valAx>
        <c:axId val="3282816"/>
        <c:scaling>
          <c:orientation val="minMax"/>
        </c:scaling>
        <c:axPos val="l"/>
        <c:majorGridlines/>
        <c:numFmt formatCode="General" sourceLinked="1"/>
        <c:tickLblPos val="nextTo"/>
        <c:crossAx val="3281280"/>
        <c:crosses val="autoZero"/>
        <c:crossBetween val="between"/>
      </c:valAx>
    </c:plotArea>
    <c:legend>
      <c:legendPos val="r"/>
    </c:legend>
    <c:plotVisOnly val="1"/>
    <c:dispBlanksAs val="zero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plotArea>
      <c:layout/>
      <c:barChart>
        <c:barDir val="col"/>
        <c:grouping val="clustered"/>
        <c:ser>
          <c:idx val="0"/>
          <c:order val="0"/>
          <c:tx>
            <c:strRef>
              <c:f>'[ukazovatele výr.správa_2016.xlsx]Hárok1'!$A$43</c:f>
              <c:strCache>
                <c:ptCount val="1"/>
                <c:pt idx="0">
                  <c:v>Rentabilita celkového kapitálu</c:v>
                </c:pt>
              </c:strCache>
            </c:strRef>
          </c:tx>
          <c:cat>
            <c:numRef>
              <c:f>'[ukazovatele výr.správa_2016.xlsx]Hárok1'!$B$42:$E$42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'[ukazovatele výr.správa_2016.xlsx]Hárok1'!$B$43:$E$43</c:f>
              <c:numCache>
                <c:formatCode>General</c:formatCode>
                <c:ptCount val="4"/>
                <c:pt idx="0">
                  <c:v>4.0000000000000015E-2</c:v>
                </c:pt>
                <c:pt idx="1">
                  <c:v>0.05</c:v>
                </c:pt>
                <c:pt idx="2">
                  <c:v>0</c:v>
                </c:pt>
                <c:pt idx="3">
                  <c:v>0.05</c:v>
                </c:pt>
              </c:numCache>
            </c:numRef>
          </c:val>
        </c:ser>
        <c:ser>
          <c:idx val="1"/>
          <c:order val="1"/>
          <c:tx>
            <c:strRef>
              <c:f>'[ukazovatele výr.správa_2016.xlsx]Hárok1'!$A$44</c:f>
              <c:strCache>
                <c:ptCount val="1"/>
                <c:pt idx="0">
                  <c:v>Rentabilita vlastného kapitálu</c:v>
                </c:pt>
              </c:strCache>
            </c:strRef>
          </c:tx>
          <c:cat>
            <c:numRef>
              <c:f>'[ukazovatele výr.správa_2016.xlsx]Hárok1'!$B$42:$E$42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'[ukazovatele výr.správa_2016.xlsx]Hárok1'!$B$44:$E$44</c:f>
              <c:numCache>
                <c:formatCode>General</c:formatCode>
                <c:ptCount val="4"/>
                <c:pt idx="0">
                  <c:v>0.38000000000000012</c:v>
                </c:pt>
                <c:pt idx="1">
                  <c:v>0.28000000000000008</c:v>
                </c:pt>
                <c:pt idx="2">
                  <c:v>2.0000000000000007E-2</c:v>
                </c:pt>
                <c:pt idx="3">
                  <c:v>0.95000000000000018</c:v>
                </c:pt>
              </c:numCache>
            </c:numRef>
          </c:val>
        </c:ser>
        <c:ser>
          <c:idx val="2"/>
          <c:order val="2"/>
          <c:tx>
            <c:strRef>
              <c:f>'[ukazovatele výr.správa_2016.xlsx]Hárok1'!$A$45</c:f>
              <c:strCache>
                <c:ptCount val="1"/>
                <c:pt idx="0">
                  <c:v>Rentabilita tržieb</c:v>
                </c:pt>
              </c:strCache>
            </c:strRef>
          </c:tx>
          <c:cat>
            <c:numRef>
              <c:f>'[ukazovatele výr.správa_2016.xlsx]Hárok1'!$B$42:$E$42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'[ukazovatele výr.správa_2016.xlsx]Hárok1'!$B$45:$E$45</c:f>
              <c:numCache>
                <c:formatCode>General</c:formatCode>
                <c:ptCount val="4"/>
                <c:pt idx="0">
                  <c:v>2.0000000000000007E-2</c:v>
                </c:pt>
                <c:pt idx="1">
                  <c:v>2.0000000000000007E-2</c:v>
                </c:pt>
                <c:pt idx="2">
                  <c:v>0</c:v>
                </c:pt>
                <c:pt idx="3">
                  <c:v>3.0000000000000002E-2</c:v>
                </c:pt>
              </c:numCache>
            </c:numRef>
          </c:val>
        </c:ser>
        <c:ser>
          <c:idx val="3"/>
          <c:order val="3"/>
          <c:tx>
            <c:strRef>
              <c:f>'[ukazovatele výr.správa_2016.xlsx]Hárok1'!$A$46</c:f>
              <c:strCache>
                <c:ptCount val="1"/>
                <c:pt idx="0">
                  <c:v>Rentabilita nákladov</c:v>
                </c:pt>
              </c:strCache>
            </c:strRef>
          </c:tx>
          <c:cat>
            <c:numRef>
              <c:f>'[ukazovatele výr.správa_2016.xlsx]Hárok1'!$B$42:$E$42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'[ukazovatele výr.správa_2016.xlsx]Hárok1'!$B$46:$E$46</c:f>
              <c:numCache>
                <c:formatCode>General</c:formatCode>
                <c:ptCount val="4"/>
                <c:pt idx="0">
                  <c:v>3.0000000000000002E-2</c:v>
                </c:pt>
                <c:pt idx="1">
                  <c:v>2.0000000000000007E-2</c:v>
                </c:pt>
                <c:pt idx="2">
                  <c:v>0</c:v>
                </c:pt>
                <c:pt idx="3">
                  <c:v>3.0000000000000002E-2</c:v>
                </c:pt>
              </c:numCache>
            </c:numRef>
          </c:val>
        </c:ser>
        <c:axId val="143602816"/>
        <c:axId val="143604352"/>
      </c:barChart>
      <c:catAx>
        <c:axId val="143602816"/>
        <c:scaling>
          <c:orientation val="minMax"/>
        </c:scaling>
        <c:axPos val="b"/>
        <c:numFmt formatCode="General" sourceLinked="1"/>
        <c:tickLblPos val="nextTo"/>
        <c:crossAx val="143604352"/>
        <c:crosses val="autoZero"/>
        <c:auto val="1"/>
        <c:lblAlgn val="ctr"/>
        <c:lblOffset val="100"/>
      </c:catAx>
      <c:valAx>
        <c:axId val="143604352"/>
        <c:scaling>
          <c:orientation val="minMax"/>
        </c:scaling>
        <c:axPos val="l"/>
        <c:majorGridlines/>
        <c:numFmt formatCode="General" sourceLinked="1"/>
        <c:tickLblPos val="nextTo"/>
        <c:crossAx val="143602816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AE4AC4-7569-46F9-BF79-A4022A6DA4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1603</Words>
  <Characters>9141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10723</CharactersWithSpaces>
  <SharedDoc>false</SharedDoc>
  <HLinks>
    <vt:vector size="6" baseType="variant">
      <vt:variant>
        <vt:i4>6225927</vt:i4>
      </vt:variant>
      <vt:variant>
        <vt:i4>0</vt:i4>
      </vt:variant>
      <vt:variant>
        <vt:i4>0</vt:i4>
      </vt:variant>
      <vt:variant>
        <vt:i4>5</vt:i4>
      </vt:variant>
      <vt:variant>
        <vt:lpwstr>http://euronics.com/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2015-07-14T14:29:00Z</cp:lastPrinted>
  <dcterms:created xsi:type="dcterms:W3CDTF">2017-12-30T18:34:00Z</dcterms:created>
  <dcterms:modified xsi:type="dcterms:W3CDTF">2017-12-30T18:34:00Z</dcterms:modified>
</cp:coreProperties>
</file>