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2DC6" w:rsidRPr="00614BC9" w:rsidRDefault="00614BC9" w:rsidP="00614BC9">
      <w:pPr>
        <w:jc w:val="center"/>
        <w:rPr>
          <w:rFonts w:ascii="Times New Roman" w:hAnsi="Times New Roman" w:cs="Times New Roman"/>
          <w:sz w:val="24"/>
        </w:rPr>
      </w:pPr>
      <w:r w:rsidRPr="00614BC9">
        <w:rPr>
          <w:rFonts w:ascii="Times New Roman" w:hAnsi="Times New Roman" w:cs="Times New Roman"/>
          <w:sz w:val="24"/>
        </w:rPr>
        <w:t>Pozemkové spoločenstvo Urbár Kysak, 044 81 Kysak 121</w:t>
      </w:r>
    </w:p>
    <w:p w:rsidR="00614BC9" w:rsidRPr="00614BC9" w:rsidRDefault="00614BC9" w:rsidP="00614BC9">
      <w:pPr>
        <w:jc w:val="center"/>
        <w:rPr>
          <w:rFonts w:ascii="Times New Roman" w:hAnsi="Times New Roman" w:cs="Times New Roman"/>
          <w:sz w:val="24"/>
        </w:rPr>
      </w:pPr>
    </w:p>
    <w:p w:rsidR="00614BC9" w:rsidRPr="00614BC9" w:rsidRDefault="00614BC9" w:rsidP="00614BC9">
      <w:pPr>
        <w:jc w:val="center"/>
        <w:rPr>
          <w:rFonts w:ascii="Times New Roman" w:hAnsi="Times New Roman" w:cs="Times New Roman"/>
          <w:sz w:val="24"/>
        </w:rPr>
      </w:pPr>
    </w:p>
    <w:p w:rsidR="00614BC9" w:rsidRPr="00614BC9" w:rsidRDefault="00614BC9" w:rsidP="00614BC9">
      <w:pPr>
        <w:jc w:val="center"/>
        <w:rPr>
          <w:rFonts w:ascii="Times New Roman" w:hAnsi="Times New Roman" w:cs="Times New Roman"/>
          <w:sz w:val="24"/>
        </w:rPr>
      </w:pPr>
    </w:p>
    <w:p w:rsidR="00614BC9" w:rsidRPr="00614BC9" w:rsidRDefault="00614BC9" w:rsidP="00614BC9">
      <w:pPr>
        <w:jc w:val="center"/>
        <w:rPr>
          <w:rFonts w:ascii="Times New Roman" w:hAnsi="Times New Roman" w:cs="Times New Roman"/>
          <w:sz w:val="24"/>
        </w:rPr>
      </w:pPr>
    </w:p>
    <w:p w:rsidR="00614BC9" w:rsidRPr="00614BC9" w:rsidRDefault="00614BC9" w:rsidP="00614BC9">
      <w:pPr>
        <w:jc w:val="center"/>
        <w:rPr>
          <w:rFonts w:ascii="Times New Roman" w:hAnsi="Times New Roman" w:cs="Times New Roman"/>
          <w:sz w:val="24"/>
        </w:rPr>
      </w:pPr>
    </w:p>
    <w:p w:rsidR="00614BC9" w:rsidRPr="00614BC9" w:rsidRDefault="00614BC9" w:rsidP="00614BC9">
      <w:pPr>
        <w:jc w:val="center"/>
        <w:rPr>
          <w:rFonts w:ascii="Times New Roman" w:hAnsi="Times New Roman" w:cs="Times New Roman"/>
          <w:sz w:val="24"/>
        </w:rPr>
      </w:pPr>
    </w:p>
    <w:p w:rsidR="00614BC9" w:rsidRPr="00614BC9" w:rsidRDefault="00614BC9" w:rsidP="00614BC9">
      <w:pPr>
        <w:jc w:val="center"/>
        <w:rPr>
          <w:rFonts w:ascii="Times New Roman" w:hAnsi="Times New Roman" w:cs="Times New Roman"/>
          <w:sz w:val="24"/>
        </w:rPr>
      </w:pPr>
    </w:p>
    <w:p w:rsidR="00614BC9" w:rsidRPr="00614BC9" w:rsidRDefault="00614BC9" w:rsidP="00614BC9">
      <w:pPr>
        <w:jc w:val="center"/>
        <w:rPr>
          <w:rFonts w:ascii="Times New Roman" w:hAnsi="Times New Roman" w:cs="Times New Roman"/>
          <w:sz w:val="24"/>
        </w:rPr>
      </w:pPr>
    </w:p>
    <w:p w:rsidR="00614BC9" w:rsidRPr="00614BC9" w:rsidRDefault="00614BC9" w:rsidP="00614BC9">
      <w:pPr>
        <w:jc w:val="center"/>
        <w:rPr>
          <w:rFonts w:ascii="Times New Roman" w:hAnsi="Times New Roman" w:cs="Times New Roman"/>
          <w:sz w:val="24"/>
        </w:rPr>
      </w:pPr>
    </w:p>
    <w:p w:rsidR="00614BC9" w:rsidRPr="00614BC9" w:rsidRDefault="00614BC9" w:rsidP="00614BC9">
      <w:pPr>
        <w:jc w:val="center"/>
        <w:rPr>
          <w:rFonts w:ascii="Times New Roman" w:hAnsi="Times New Roman" w:cs="Times New Roman"/>
          <w:sz w:val="24"/>
        </w:rPr>
      </w:pPr>
      <w:r w:rsidRPr="00614BC9">
        <w:rPr>
          <w:rFonts w:ascii="Times New Roman" w:hAnsi="Times New Roman" w:cs="Times New Roman"/>
          <w:sz w:val="24"/>
        </w:rPr>
        <w:t>Účtovná závierka za rok 2017</w:t>
      </w:r>
    </w:p>
    <w:p w:rsidR="00614BC9" w:rsidRPr="00614BC9" w:rsidRDefault="00614BC9" w:rsidP="00614BC9">
      <w:pPr>
        <w:jc w:val="center"/>
        <w:rPr>
          <w:rFonts w:ascii="Times New Roman" w:hAnsi="Times New Roman" w:cs="Times New Roman"/>
          <w:sz w:val="24"/>
        </w:rPr>
      </w:pPr>
    </w:p>
    <w:p w:rsidR="00614BC9" w:rsidRPr="00614BC9" w:rsidRDefault="00614BC9" w:rsidP="00614BC9">
      <w:pPr>
        <w:jc w:val="center"/>
        <w:rPr>
          <w:rFonts w:ascii="Times New Roman" w:hAnsi="Times New Roman" w:cs="Times New Roman"/>
          <w:sz w:val="24"/>
        </w:rPr>
      </w:pPr>
    </w:p>
    <w:p w:rsidR="00614BC9" w:rsidRPr="00614BC9" w:rsidRDefault="00614BC9" w:rsidP="00614BC9">
      <w:pPr>
        <w:jc w:val="center"/>
        <w:rPr>
          <w:rFonts w:ascii="Times New Roman" w:hAnsi="Times New Roman" w:cs="Times New Roman"/>
          <w:sz w:val="24"/>
        </w:rPr>
      </w:pPr>
    </w:p>
    <w:p w:rsidR="00614BC9" w:rsidRPr="00614BC9" w:rsidRDefault="00614BC9" w:rsidP="00614BC9">
      <w:pPr>
        <w:jc w:val="center"/>
        <w:rPr>
          <w:rFonts w:ascii="Times New Roman" w:hAnsi="Times New Roman" w:cs="Times New Roman"/>
          <w:sz w:val="24"/>
        </w:rPr>
      </w:pPr>
    </w:p>
    <w:p w:rsidR="00614BC9" w:rsidRPr="00614BC9" w:rsidRDefault="00614BC9" w:rsidP="00614BC9">
      <w:pPr>
        <w:jc w:val="center"/>
        <w:rPr>
          <w:rFonts w:ascii="Times New Roman" w:hAnsi="Times New Roman" w:cs="Times New Roman"/>
          <w:sz w:val="24"/>
        </w:rPr>
      </w:pPr>
    </w:p>
    <w:p w:rsidR="00614BC9" w:rsidRPr="00614BC9" w:rsidRDefault="00614BC9" w:rsidP="00614BC9">
      <w:pPr>
        <w:jc w:val="center"/>
        <w:rPr>
          <w:rFonts w:ascii="Times New Roman" w:hAnsi="Times New Roman" w:cs="Times New Roman"/>
          <w:sz w:val="24"/>
        </w:rPr>
      </w:pPr>
    </w:p>
    <w:p w:rsidR="00614BC9" w:rsidRPr="00614BC9" w:rsidRDefault="00614BC9" w:rsidP="00614BC9">
      <w:pPr>
        <w:jc w:val="center"/>
        <w:rPr>
          <w:rFonts w:ascii="Times New Roman" w:hAnsi="Times New Roman" w:cs="Times New Roman"/>
          <w:sz w:val="24"/>
        </w:rPr>
      </w:pPr>
    </w:p>
    <w:p w:rsidR="00614BC9" w:rsidRPr="00614BC9" w:rsidRDefault="00614BC9" w:rsidP="00614BC9">
      <w:pPr>
        <w:jc w:val="center"/>
        <w:rPr>
          <w:rFonts w:ascii="Times New Roman" w:hAnsi="Times New Roman" w:cs="Times New Roman"/>
          <w:sz w:val="24"/>
        </w:rPr>
      </w:pPr>
    </w:p>
    <w:p w:rsidR="00614BC9" w:rsidRPr="00614BC9" w:rsidRDefault="00614BC9" w:rsidP="00614BC9">
      <w:pPr>
        <w:jc w:val="center"/>
        <w:rPr>
          <w:rFonts w:ascii="Times New Roman" w:hAnsi="Times New Roman" w:cs="Times New Roman"/>
          <w:sz w:val="24"/>
        </w:rPr>
      </w:pPr>
    </w:p>
    <w:p w:rsidR="00614BC9" w:rsidRPr="00614BC9" w:rsidRDefault="00614BC9" w:rsidP="00614BC9">
      <w:pPr>
        <w:jc w:val="center"/>
        <w:rPr>
          <w:rFonts w:ascii="Times New Roman" w:hAnsi="Times New Roman" w:cs="Times New Roman"/>
          <w:sz w:val="24"/>
        </w:rPr>
      </w:pPr>
    </w:p>
    <w:p w:rsidR="00614BC9" w:rsidRPr="00614BC9" w:rsidRDefault="00614BC9" w:rsidP="00614BC9">
      <w:pPr>
        <w:jc w:val="center"/>
        <w:rPr>
          <w:rFonts w:ascii="Times New Roman" w:hAnsi="Times New Roman" w:cs="Times New Roman"/>
          <w:sz w:val="24"/>
        </w:rPr>
      </w:pPr>
    </w:p>
    <w:p w:rsidR="00614BC9" w:rsidRPr="00614BC9" w:rsidRDefault="00614BC9" w:rsidP="00614BC9">
      <w:pPr>
        <w:jc w:val="center"/>
        <w:rPr>
          <w:rFonts w:ascii="Times New Roman" w:hAnsi="Times New Roman" w:cs="Times New Roman"/>
          <w:sz w:val="24"/>
        </w:rPr>
      </w:pPr>
    </w:p>
    <w:p w:rsidR="00614BC9" w:rsidRPr="00614BC9" w:rsidRDefault="00614BC9" w:rsidP="00614BC9">
      <w:pPr>
        <w:jc w:val="center"/>
        <w:rPr>
          <w:rFonts w:ascii="Times New Roman" w:hAnsi="Times New Roman" w:cs="Times New Roman"/>
          <w:sz w:val="24"/>
        </w:rPr>
      </w:pPr>
    </w:p>
    <w:p w:rsidR="00614BC9" w:rsidRPr="00614BC9" w:rsidRDefault="00614BC9" w:rsidP="00614BC9">
      <w:pPr>
        <w:jc w:val="center"/>
        <w:rPr>
          <w:rFonts w:ascii="Times New Roman" w:hAnsi="Times New Roman" w:cs="Times New Roman"/>
          <w:sz w:val="24"/>
        </w:rPr>
      </w:pPr>
    </w:p>
    <w:p w:rsidR="00614BC9" w:rsidRPr="00614BC9" w:rsidRDefault="00614BC9" w:rsidP="00614BC9">
      <w:pPr>
        <w:jc w:val="center"/>
        <w:rPr>
          <w:rFonts w:ascii="Times New Roman" w:hAnsi="Times New Roman" w:cs="Times New Roman"/>
          <w:sz w:val="24"/>
        </w:rPr>
      </w:pPr>
    </w:p>
    <w:p w:rsidR="00614BC9" w:rsidRPr="00614BC9" w:rsidRDefault="00614BC9" w:rsidP="00614BC9">
      <w:pPr>
        <w:rPr>
          <w:rFonts w:ascii="Times New Roman" w:hAnsi="Times New Roman" w:cs="Times New Roman"/>
          <w:sz w:val="24"/>
        </w:rPr>
      </w:pPr>
      <w:r w:rsidRPr="00614BC9">
        <w:rPr>
          <w:rFonts w:ascii="Times New Roman" w:hAnsi="Times New Roman" w:cs="Times New Roman"/>
          <w:sz w:val="24"/>
        </w:rPr>
        <w:t xml:space="preserve">Spracoval: Ing. Jaroslav </w:t>
      </w:r>
      <w:proofErr w:type="spellStart"/>
      <w:r w:rsidRPr="00614BC9">
        <w:rPr>
          <w:rFonts w:ascii="Times New Roman" w:hAnsi="Times New Roman" w:cs="Times New Roman"/>
          <w:sz w:val="24"/>
        </w:rPr>
        <w:t>Ferenc</w:t>
      </w:r>
      <w:proofErr w:type="spellEnd"/>
    </w:p>
    <w:p w:rsidR="00614BC9" w:rsidRDefault="00614BC9" w:rsidP="00614BC9">
      <w:pPr>
        <w:rPr>
          <w:rFonts w:ascii="Times New Roman" w:hAnsi="Times New Roman" w:cs="Times New Roman"/>
          <w:sz w:val="24"/>
        </w:rPr>
      </w:pPr>
      <w:r w:rsidRPr="00614BC9">
        <w:rPr>
          <w:rFonts w:ascii="Times New Roman" w:hAnsi="Times New Roman" w:cs="Times New Roman"/>
          <w:sz w:val="24"/>
        </w:rPr>
        <w:t>07.02.2018</w:t>
      </w:r>
    </w:p>
    <w:p w:rsidR="00614BC9" w:rsidRDefault="00614BC9" w:rsidP="00614BC9">
      <w:pPr>
        <w:rPr>
          <w:rFonts w:ascii="Times New Roman" w:hAnsi="Times New Roman" w:cs="Times New Roman"/>
          <w:sz w:val="24"/>
        </w:rPr>
      </w:pPr>
    </w:p>
    <w:p w:rsidR="00614BC9" w:rsidRDefault="00614BC9" w:rsidP="00614BC9">
      <w:pPr>
        <w:rPr>
          <w:rFonts w:ascii="Times New Roman" w:hAnsi="Times New Roman" w:cs="Times New Roman"/>
          <w:sz w:val="24"/>
        </w:rPr>
      </w:pPr>
    </w:p>
    <w:p w:rsidR="00614BC9" w:rsidRDefault="00614BC9" w:rsidP="000E14FF">
      <w:pPr>
        <w:spacing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 xml:space="preserve">Pozemkové spoločenstvo Urbár Kysak v zmysle zákona o účtovníctve vedie podvojné účtovníctvo. Účtovná závierka zobrazuje stav jednotlivých účtov. Zostavuje sa účtovná závierka </w:t>
      </w:r>
      <w:proofErr w:type="spellStart"/>
      <w:r>
        <w:rPr>
          <w:rFonts w:ascii="Times New Roman" w:hAnsi="Times New Roman" w:cs="Times New Roman"/>
          <w:sz w:val="24"/>
        </w:rPr>
        <w:t>mik</w:t>
      </w:r>
      <w:r w:rsidR="00077B20">
        <w:rPr>
          <w:rFonts w:ascii="Times New Roman" w:hAnsi="Times New Roman" w:cs="Times New Roman"/>
          <w:sz w:val="24"/>
        </w:rPr>
        <w:t>r</w:t>
      </w:r>
      <w:r>
        <w:rPr>
          <w:rFonts w:ascii="Times New Roman" w:hAnsi="Times New Roman" w:cs="Times New Roman"/>
          <w:sz w:val="24"/>
        </w:rPr>
        <w:t>oúčtovnej</w:t>
      </w:r>
      <w:proofErr w:type="spellEnd"/>
      <w:r>
        <w:rPr>
          <w:rFonts w:ascii="Times New Roman" w:hAnsi="Times New Roman" w:cs="Times New Roman"/>
          <w:sz w:val="24"/>
        </w:rPr>
        <w:t xml:space="preserve"> jednotky. </w:t>
      </w:r>
    </w:p>
    <w:p w:rsidR="00614BC9" w:rsidRDefault="00614BC9" w:rsidP="000E14FF">
      <w:pPr>
        <w:spacing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obsahuje:</w:t>
      </w:r>
      <w:r>
        <w:rPr>
          <w:rFonts w:ascii="Times New Roman" w:hAnsi="Times New Roman" w:cs="Times New Roman"/>
          <w:sz w:val="24"/>
        </w:rPr>
        <w:tab/>
        <w:t>Súvahu</w:t>
      </w:r>
    </w:p>
    <w:p w:rsidR="00614BC9" w:rsidRDefault="00614BC9" w:rsidP="000E14FF">
      <w:pPr>
        <w:spacing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>Výkaz ziskov a strát</w:t>
      </w:r>
    </w:p>
    <w:p w:rsidR="00614BC9" w:rsidRDefault="00614BC9" w:rsidP="000E14FF">
      <w:pPr>
        <w:spacing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>Poznámky</w:t>
      </w:r>
    </w:p>
    <w:p w:rsidR="00614BC9" w:rsidRDefault="00614BC9" w:rsidP="000E14FF">
      <w:pPr>
        <w:spacing w:line="360" w:lineRule="auto"/>
        <w:rPr>
          <w:rFonts w:ascii="Times New Roman" w:hAnsi="Times New Roman" w:cs="Times New Roman"/>
          <w:sz w:val="24"/>
        </w:rPr>
      </w:pPr>
    </w:p>
    <w:p w:rsidR="00614BC9" w:rsidRDefault="00614BC9" w:rsidP="000E14FF">
      <w:pPr>
        <w:spacing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Súvaha</w:t>
      </w:r>
    </w:p>
    <w:p w:rsidR="00614BC9" w:rsidRDefault="00614BC9" w:rsidP="000E14FF">
      <w:pPr>
        <w:spacing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Je porovnaním aktivít a práv, ktoré sa musia rovnať na konci účtovného obdobia. Hodnota aktív a pasív k 31.12.2017 bola 19 892 EUR. Je to o 4 259 EUR viac ako v predchádzajúcom účtovnom období.</w:t>
      </w:r>
    </w:p>
    <w:p w:rsidR="00614BC9" w:rsidRDefault="00614BC9" w:rsidP="000E14FF">
      <w:pPr>
        <w:spacing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Aktíva tvorí finančný majetok (bežný účet a pokladnica) a pohľadávky z obchodného styku – neuhradená vystavená faktúra.</w:t>
      </w:r>
    </w:p>
    <w:p w:rsidR="00614BC9" w:rsidRDefault="00614BC9" w:rsidP="000E14FF">
      <w:pPr>
        <w:spacing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Pasíva u nás tvoria: </w:t>
      </w:r>
    </w:p>
    <w:p w:rsidR="00614BC9" w:rsidRDefault="00614BC9" w:rsidP="000E14FF">
      <w:pPr>
        <w:pStyle w:val="Odsekzoznamu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Vlastné imanie – fondy zo zisku </w:t>
      </w:r>
      <w:r w:rsidR="000E14FF">
        <w:rPr>
          <w:rFonts w:ascii="Times New Roman" w:hAnsi="Times New Roman" w:cs="Times New Roman"/>
          <w:sz w:val="24"/>
        </w:rPr>
        <w:t>, nerozdelený zisk alebo neuhradená strata minulých období, výsledok hospodárenia za bežné účtovné obdobie po zdanení</w:t>
      </w:r>
    </w:p>
    <w:p w:rsidR="000E14FF" w:rsidRDefault="000E14FF" w:rsidP="000E14FF">
      <w:pPr>
        <w:pStyle w:val="Odsekzoznamu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Záväzky – záväzky voči zamestnancom a zo sociálneho poistenia a daňové záväzky.</w:t>
      </w:r>
    </w:p>
    <w:p w:rsidR="000E14FF" w:rsidRDefault="000E14FF" w:rsidP="000E14FF">
      <w:pPr>
        <w:spacing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Výsledok hospodárenia za rok 2017 po zdanení je 3 5</w:t>
      </w:r>
      <w:r w:rsidR="00077B20">
        <w:rPr>
          <w:rFonts w:ascii="Times New Roman" w:hAnsi="Times New Roman" w:cs="Times New Roman"/>
          <w:sz w:val="24"/>
        </w:rPr>
        <w:t>17</w:t>
      </w:r>
      <w:r>
        <w:rPr>
          <w:rFonts w:ascii="Times New Roman" w:hAnsi="Times New Roman" w:cs="Times New Roman"/>
          <w:sz w:val="24"/>
        </w:rPr>
        <w:t xml:space="preserve"> EUR.</w:t>
      </w:r>
    </w:p>
    <w:p w:rsidR="000E14FF" w:rsidRDefault="000E14FF" w:rsidP="000E14FF">
      <w:pPr>
        <w:spacing w:line="360" w:lineRule="auto"/>
        <w:rPr>
          <w:rFonts w:ascii="Times New Roman" w:hAnsi="Times New Roman" w:cs="Times New Roman"/>
          <w:sz w:val="24"/>
        </w:rPr>
      </w:pPr>
    </w:p>
    <w:p w:rsidR="000E14FF" w:rsidRDefault="000E14FF" w:rsidP="000E14FF">
      <w:pPr>
        <w:spacing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Výkaz ziskov a strát</w:t>
      </w:r>
    </w:p>
    <w:p w:rsidR="000E14FF" w:rsidRDefault="000E14FF" w:rsidP="000E14FF">
      <w:pPr>
        <w:spacing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Do výnosových položiek patria tržby z predaja výrobkov a služieb – sú to tržby za drevo a prenájom pozemkov, ďalej dotácie na trvalé trávne porasty.</w:t>
      </w:r>
    </w:p>
    <w:p w:rsidR="000E14FF" w:rsidRDefault="000E14FF" w:rsidP="000E14FF">
      <w:pPr>
        <w:spacing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Nákladové položky tvoria – spotreba materiálu, služby, osobné náklady – mzdy a odmeny, dane a poplatky.</w:t>
      </w:r>
    </w:p>
    <w:p w:rsidR="000E14FF" w:rsidRDefault="000E14FF" w:rsidP="000E14FF">
      <w:pPr>
        <w:spacing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Výnosy boli v roku 2017 6 424 EUR a náklady 1 898 EUR. Výsledok hospodárenia z hospodárskej činnosti bol zisk 4 526 EUR. Výnosy z bežného účtu – úroky boli 2 EUR. Náklady na bankové poplatky 85 EUR. Výsledok hospodárenia z finančnej činnosti bola strata 83 EUR. Výsledok hospodárenia za bežné účtovné obdobie je zisk 4 443 EUR. Daň </w:t>
      </w:r>
      <w:r>
        <w:rPr>
          <w:rFonts w:ascii="Times New Roman" w:hAnsi="Times New Roman" w:cs="Times New Roman"/>
          <w:sz w:val="24"/>
        </w:rPr>
        <w:lastRenderedPageBreak/>
        <w:t>z úrokov bola 1 EUR a daň z príjmov 9</w:t>
      </w:r>
      <w:r w:rsidR="00077B20">
        <w:rPr>
          <w:rFonts w:ascii="Times New Roman" w:hAnsi="Times New Roman" w:cs="Times New Roman"/>
          <w:sz w:val="24"/>
        </w:rPr>
        <w:t>25</w:t>
      </w:r>
      <w:r>
        <w:rPr>
          <w:rFonts w:ascii="Times New Roman" w:hAnsi="Times New Roman" w:cs="Times New Roman"/>
          <w:sz w:val="24"/>
        </w:rPr>
        <w:t xml:space="preserve"> EUR. Výsledok hospodárenia po zdanení je 3 5</w:t>
      </w:r>
      <w:r w:rsidR="00077B20">
        <w:rPr>
          <w:rFonts w:ascii="Times New Roman" w:hAnsi="Times New Roman" w:cs="Times New Roman"/>
          <w:sz w:val="24"/>
        </w:rPr>
        <w:t>17</w:t>
      </w:r>
      <w:r>
        <w:rPr>
          <w:rFonts w:ascii="Times New Roman" w:hAnsi="Times New Roman" w:cs="Times New Roman"/>
          <w:sz w:val="24"/>
        </w:rPr>
        <w:t xml:space="preserve"> EUR.</w:t>
      </w:r>
    </w:p>
    <w:p w:rsidR="000E14FF" w:rsidRDefault="000E14FF" w:rsidP="000E14FF">
      <w:pPr>
        <w:spacing w:line="360" w:lineRule="auto"/>
        <w:rPr>
          <w:rFonts w:ascii="Times New Roman" w:hAnsi="Times New Roman" w:cs="Times New Roman"/>
          <w:sz w:val="24"/>
        </w:rPr>
      </w:pPr>
    </w:p>
    <w:p w:rsidR="000E14FF" w:rsidRDefault="000E14FF" w:rsidP="000E14FF">
      <w:pPr>
        <w:spacing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Poznámky k účtovnej závierke</w:t>
      </w:r>
    </w:p>
    <w:p w:rsidR="000E14FF" w:rsidRDefault="000E14FF" w:rsidP="000E14FF">
      <w:pPr>
        <w:spacing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Uvádzajú sa tam údaje, ktoré nie sú uvedené v súvahe a výkaze ziskov a strát. V našich poznámkach je väčšina bez náplne.</w:t>
      </w:r>
    </w:p>
    <w:p w:rsidR="000E14FF" w:rsidRDefault="000E14FF" w:rsidP="000E14FF">
      <w:pPr>
        <w:spacing w:line="360" w:lineRule="auto"/>
        <w:rPr>
          <w:rFonts w:ascii="Times New Roman" w:hAnsi="Times New Roman" w:cs="Times New Roman"/>
          <w:sz w:val="24"/>
        </w:rPr>
      </w:pPr>
    </w:p>
    <w:p w:rsidR="000E14FF" w:rsidRDefault="000E14FF" w:rsidP="000E14FF">
      <w:pPr>
        <w:spacing w:line="360" w:lineRule="auto"/>
        <w:rPr>
          <w:rFonts w:ascii="Times New Roman" w:hAnsi="Times New Roman" w:cs="Times New Roman"/>
          <w:sz w:val="24"/>
        </w:rPr>
      </w:pPr>
    </w:p>
    <w:p w:rsidR="000E14FF" w:rsidRDefault="000E14FF" w:rsidP="000E14FF">
      <w:pPr>
        <w:spacing w:line="360" w:lineRule="auto"/>
        <w:rPr>
          <w:rFonts w:ascii="Times New Roman" w:hAnsi="Times New Roman" w:cs="Times New Roman"/>
          <w:sz w:val="24"/>
        </w:rPr>
      </w:pPr>
    </w:p>
    <w:p w:rsidR="000E14FF" w:rsidRDefault="000E14FF" w:rsidP="000E14FF">
      <w:pPr>
        <w:spacing w:line="360" w:lineRule="auto"/>
        <w:rPr>
          <w:rFonts w:ascii="Times New Roman" w:hAnsi="Times New Roman" w:cs="Times New Roman"/>
          <w:sz w:val="24"/>
        </w:rPr>
      </w:pPr>
    </w:p>
    <w:p w:rsidR="000E14FF" w:rsidRDefault="000E14FF" w:rsidP="000E14FF">
      <w:pPr>
        <w:spacing w:line="360" w:lineRule="auto"/>
        <w:rPr>
          <w:rFonts w:ascii="Times New Roman" w:hAnsi="Times New Roman" w:cs="Times New Roman"/>
          <w:sz w:val="24"/>
        </w:rPr>
      </w:pPr>
    </w:p>
    <w:p w:rsidR="000E14FF" w:rsidRDefault="000E14FF" w:rsidP="000E14FF">
      <w:pPr>
        <w:spacing w:line="360" w:lineRule="auto"/>
        <w:rPr>
          <w:rFonts w:ascii="Times New Roman" w:hAnsi="Times New Roman" w:cs="Times New Roman"/>
          <w:sz w:val="24"/>
        </w:rPr>
      </w:pPr>
    </w:p>
    <w:p w:rsidR="000E14FF" w:rsidRDefault="000E14FF" w:rsidP="000E14FF">
      <w:pPr>
        <w:spacing w:line="360" w:lineRule="auto"/>
        <w:rPr>
          <w:rFonts w:ascii="Times New Roman" w:hAnsi="Times New Roman" w:cs="Times New Roman"/>
          <w:sz w:val="24"/>
        </w:rPr>
      </w:pPr>
    </w:p>
    <w:p w:rsidR="000E14FF" w:rsidRDefault="000E14FF" w:rsidP="000E14FF">
      <w:pPr>
        <w:spacing w:line="360" w:lineRule="auto"/>
        <w:rPr>
          <w:rFonts w:ascii="Times New Roman" w:hAnsi="Times New Roman" w:cs="Times New Roman"/>
          <w:sz w:val="24"/>
        </w:rPr>
      </w:pPr>
    </w:p>
    <w:p w:rsidR="000E14FF" w:rsidRDefault="000E14FF" w:rsidP="000E14FF">
      <w:pPr>
        <w:spacing w:line="360" w:lineRule="auto"/>
        <w:rPr>
          <w:rFonts w:ascii="Times New Roman" w:hAnsi="Times New Roman" w:cs="Times New Roman"/>
          <w:sz w:val="24"/>
        </w:rPr>
      </w:pPr>
    </w:p>
    <w:p w:rsidR="000E14FF" w:rsidRDefault="000E14FF" w:rsidP="000E14FF">
      <w:pPr>
        <w:spacing w:line="360" w:lineRule="auto"/>
        <w:rPr>
          <w:rFonts w:ascii="Times New Roman" w:hAnsi="Times New Roman" w:cs="Times New Roman"/>
          <w:sz w:val="24"/>
        </w:rPr>
      </w:pPr>
    </w:p>
    <w:p w:rsidR="000E14FF" w:rsidRDefault="000E14FF" w:rsidP="000E14FF">
      <w:pPr>
        <w:spacing w:line="360" w:lineRule="auto"/>
        <w:rPr>
          <w:rFonts w:ascii="Times New Roman" w:hAnsi="Times New Roman" w:cs="Times New Roman"/>
          <w:sz w:val="24"/>
        </w:rPr>
      </w:pPr>
    </w:p>
    <w:p w:rsidR="000E14FF" w:rsidRDefault="000E14FF" w:rsidP="000E14FF">
      <w:pPr>
        <w:spacing w:line="360" w:lineRule="auto"/>
        <w:rPr>
          <w:rFonts w:ascii="Times New Roman" w:hAnsi="Times New Roman" w:cs="Times New Roman"/>
          <w:sz w:val="24"/>
        </w:rPr>
      </w:pPr>
    </w:p>
    <w:p w:rsidR="000E14FF" w:rsidRDefault="000E14FF" w:rsidP="000E14FF">
      <w:pPr>
        <w:spacing w:line="360" w:lineRule="auto"/>
        <w:rPr>
          <w:rFonts w:ascii="Times New Roman" w:hAnsi="Times New Roman" w:cs="Times New Roman"/>
          <w:sz w:val="24"/>
        </w:rPr>
      </w:pPr>
    </w:p>
    <w:p w:rsidR="000E14FF" w:rsidRDefault="000E14FF" w:rsidP="000E14FF">
      <w:pPr>
        <w:spacing w:line="360" w:lineRule="auto"/>
        <w:rPr>
          <w:rFonts w:ascii="Times New Roman" w:hAnsi="Times New Roman" w:cs="Times New Roman"/>
          <w:sz w:val="24"/>
        </w:rPr>
      </w:pPr>
    </w:p>
    <w:p w:rsidR="000E14FF" w:rsidRDefault="000E14FF" w:rsidP="000E14FF">
      <w:pPr>
        <w:spacing w:line="360" w:lineRule="auto"/>
        <w:rPr>
          <w:rFonts w:ascii="Times New Roman" w:hAnsi="Times New Roman" w:cs="Times New Roman"/>
          <w:sz w:val="24"/>
        </w:rPr>
      </w:pPr>
    </w:p>
    <w:p w:rsidR="000E14FF" w:rsidRDefault="000E14FF" w:rsidP="000E14FF">
      <w:pPr>
        <w:spacing w:line="360" w:lineRule="auto"/>
        <w:rPr>
          <w:rFonts w:ascii="Times New Roman" w:hAnsi="Times New Roman" w:cs="Times New Roman"/>
          <w:sz w:val="24"/>
        </w:rPr>
      </w:pPr>
    </w:p>
    <w:p w:rsidR="000E14FF" w:rsidRDefault="000E14FF" w:rsidP="000E14FF">
      <w:pPr>
        <w:spacing w:line="360" w:lineRule="auto"/>
        <w:rPr>
          <w:rFonts w:ascii="Times New Roman" w:hAnsi="Times New Roman" w:cs="Times New Roman"/>
          <w:sz w:val="24"/>
        </w:rPr>
      </w:pPr>
    </w:p>
    <w:p w:rsidR="000E14FF" w:rsidRDefault="000E14FF" w:rsidP="000E14FF">
      <w:pPr>
        <w:spacing w:line="360" w:lineRule="auto"/>
        <w:rPr>
          <w:rFonts w:ascii="Times New Roman" w:hAnsi="Times New Roman" w:cs="Times New Roman"/>
          <w:sz w:val="24"/>
        </w:rPr>
      </w:pPr>
    </w:p>
    <w:p w:rsidR="000E14FF" w:rsidRDefault="000E14FF" w:rsidP="000E14FF">
      <w:pPr>
        <w:spacing w:line="360" w:lineRule="auto"/>
        <w:rPr>
          <w:rFonts w:ascii="Times New Roman" w:hAnsi="Times New Roman" w:cs="Times New Roman"/>
          <w:sz w:val="24"/>
        </w:rPr>
      </w:pPr>
    </w:p>
    <w:p w:rsidR="000E14FF" w:rsidRDefault="000E14FF" w:rsidP="000E14FF">
      <w:pPr>
        <w:spacing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>Návrh na rozdelenie hospodárskeho výsledku roka 2017</w:t>
      </w:r>
    </w:p>
    <w:p w:rsidR="000E14FF" w:rsidRDefault="000E14FF" w:rsidP="000E14FF">
      <w:pPr>
        <w:spacing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Zisk po zdanení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>3 5</w:t>
      </w:r>
      <w:r w:rsidR="00077B20">
        <w:rPr>
          <w:rFonts w:ascii="Times New Roman" w:hAnsi="Times New Roman" w:cs="Times New Roman"/>
          <w:sz w:val="24"/>
        </w:rPr>
        <w:t>17</w:t>
      </w:r>
      <w:r>
        <w:rPr>
          <w:rFonts w:ascii="Times New Roman" w:hAnsi="Times New Roman" w:cs="Times New Roman"/>
          <w:sz w:val="24"/>
        </w:rPr>
        <w:t xml:space="preserve"> EUR</w:t>
      </w:r>
    </w:p>
    <w:p w:rsidR="000E14FF" w:rsidRDefault="000E14FF" w:rsidP="000E14FF">
      <w:pPr>
        <w:spacing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Prídel do rezervného fondu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 xml:space="preserve">   2</w:t>
      </w:r>
      <w:r w:rsidR="00077B20">
        <w:rPr>
          <w:rFonts w:ascii="Times New Roman" w:hAnsi="Times New Roman" w:cs="Times New Roman"/>
          <w:sz w:val="24"/>
        </w:rPr>
        <w:t>17</w:t>
      </w:r>
      <w:bookmarkStart w:id="0" w:name="_GoBack"/>
      <w:bookmarkEnd w:id="0"/>
      <w:r>
        <w:rPr>
          <w:rFonts w:ascii="Times New Roman" w:hAnsi="Times New Roman" w:cs="Times New Roman"/>
          <w:sz w:val="24"/>
        </w:rPr>
        <w:t xml:space="preserve"> EUR</w:t>
      </w:r>
    </w:p>
    <w:p w:rsidR="000E14FF" w:rsidRPr="000E14FF" w:rsidRDefault="000E14FF" w:rsidP="000E14FF">
      <w:pPr>
        <w:spacing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Nerozdelený zisk minulých rokov</w:t>
      </w:r>
      <w:r>
        <w:rPr>
          <w:rFonts w:ascii="Times New Roman" w:hAnsi="Times New Roman" w:cs="Times New Roman"/>
          <w:sz w:val="24"/>
        </w:rPr>
        <w:tab/>
        <w:t>3 300 EUR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</w:p>
    <w:p w:rsidR="00614BC9" w:rsidRPr="00614BC9" w:rsidRDefault="000E14FF" w:rsidP="00614BC9">
      <w:pPr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</w:t>
      </w:r>
    </w:p>
    <w:p w:rsidR="00614BC9" w:rsidRPr="00614BC9" w:rsidRDefault="00614BC9" w:rsidP="00614BC9">
      <w:pPr>
        <w:jc w:val="center"/>
        <w:rPr>
          <w:rFonts w:ascii="Times New Roman" w:hAnsi="Times New Roman" w:cs="Times New Roman"/>
          <w:sz w:val="24"/>
        </w:rPr>
      </w:pPr>
    </w:p>
    <w:sectPr w:rsidR="00614BC9" w:rsidRPr="00614BC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A1C13D7"/>
    <w:multiLevelType w:val="hybridMultilevel"/>
    <w:tmpl w:val="7FF8CE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3B493C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1E0E"/>
    <w:rsid w:val="00077B20"/>
    <w:rsid w:val="000A1E0E"/>
    <w:rsid w:val="000E14FF"/>
    <w:rsid w:val="00614BC9"/>
    <w:rsid w:val="00ED2D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73E176C-B55C-41D2-AECC-F81E3D5856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14BC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77B2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77B2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312</Words>
  <Characters>1780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Lenka</dc:creator>
  <cp:keywords/>
  <dc:description/>
  <cp:lastModifiedBy>Jaroslav</cp:lastModifiedBy>
  <cp:revision>3</cp:revision>
  <cp:lastPrinted>2018-02-10T09:20:00Z</cp:lastPrinted>
  <dcterms:created xsi:type="dcterms:W3CDTF">2018-02-10T09:21:00Z</dcterms:created>
  <dcterms:modified xsi:type="dcterms:W3CDTF">2018-02-10T09:21:00Z</dcterms:modified>
</cp:coreProperties>
</file>