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A2A92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A2A92" w:rsidP="00EA2A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Metalex</w:t>
            </w:r>
            <w:proofErr w:type="spellEnd"/>
            <w:r>
              <w:rPr>
                <w:rFonts w:ascii="Arial" w:hAnsi="Arial" w:cs="Arial"/>
              </w:rPr>
              <w:t xml:space="preserve"> 7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A2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36510611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A2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Biela voda 25, 06001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A2A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A2A92" w:rsidRDefault="00EA2A9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v roku 2017 zamestnancov.</w:t>
      </w:r>
    </w:p>
    <w:p w:rsidR="00EA2A92" w:rsidRPr="00A55E63" w:rsidRDefault="00EA2A92" w:rsidP="00AD6C8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 nepretržitého pokračovania činnosti v nasledujúcich obdobiach.</w:t>
      </w:r>
    </w:p>
    <w:p w:rsidR="00EA2A92" w:rsidRPr="00A55E63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A2A92" w:rsidRPr="00A55E63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mala v majetku dlhodobý majetok, ktorý bol odpisovaný v súlade so zostaveným odpisovým plánom. Účtovná jednotka má rovnomerné odpisy a daňové odpisy sa rovnajú účtovným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A2A92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časovo rozlišovala náklady bez ohľadu na ich výšku a zostavila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naďalej spĺňa podmienky pre zatriedenie do tejto skupiny.</w:t>
      </w:r>
    </w:p>
    <w:p w:rsidR="00EA2A92" w:rsidRPr="00A55E63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A2A92" w:rsidRPr="00A55E63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A2A92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2017  o opravách významných chýb minulých účtovných období.</w:t>
      </w:r>
    </w:p>
    <w:p w:rsidR="00EA2A92" w:rsidRPr="00A55E63" w:rsidRDefault="00EA2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A2A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2017 o nákladoch alebo výnosoch, ktoré by mali výnimočný rozsah alebo výskyt.</w:t>
      </w:r>
    </w:p>
    <w:p w:rsidR="00EA2A92" w:rsidRPr="00A55E63" w:rsidRDefault="00EA2A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A2A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dlhšou ako 5 rokov.</w:t>
      </w:r>
    </w:p>
    <w:p w:rsidR="00EA2A92" w:rsidRDefault="00EA2A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záväzky voči spoločníkovi v celkovej výške</w:t>
      </w:r>
      <w:r w:rsidR="00B837E0">
        <w:rPr>
          <w:rFonts w:ascii="Arial" w:hAnsi="Arial" w:cs="Arial"/>
          <w:sz w:val="22"/>
          <w:szCs w:val="22"/>
        </w:rPr>
        <w:t xml:space="preserve"> 34 503,49  Eur.</w:t>
      </w:r>
    </w:p>
    <w:p w:rsidR="00B837E0" w:rsidRDefault="00B837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sú k 31.12.2017 v sume 5 457,87 Eur – zostatok pre rok 2019 zo zmluvy  č. 659358-U, krátkodobý záväzok z tejto zmluvy je vo výške 6 209,58 Eur.</w:t>
      </w:r>
    </w:p>
    <w:sectPr w:rsidR="00B837E0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05D2" w:rsidRDefault="00BA05D2">
      <w:r>
        <w:separator/>
      </w:r>
    </w:p>
  </w:endnote>
  <w:endnote w:type="continuationSeparator" w:id="0">
    <w:p w:rsidR="00BA05D2" w:rsidRDefault="00BA05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5EF0">
    <w:pPr>
      <w:spacing w:line="200" w:lineRule="exact"/>
      <w:rPr>
        <w:sz w:val="20"/>
        <w:szCs w:val="20"/>
      </w:rPr>
    </w:pPr>
    <w:r w:rsidRPr="00A75EF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75EF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75EF0">
                  <w:fldChar w:fldCharType="separate"/>
                </w:r>
                <w:r w:rsidR="00B837E0">
                  <w:rPr>
                    <w:rFonts w:cs="Times New Roman"/>
                    <w:noProof/>
                  </w:rPr>
                  <w:t>1</w:t>
                </w:r>
                <w:r w:rsidR="00A75EF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05D2" w:rsidRDefault="00BA05D2">
      <w:r>
        <w:separator/>
      </w:r>
    </w:p>
  </w:footnote>
  <w:footnote w:type="continuationSeparator" w:id="0">
    <w:p w:rsidR="00BA05D2" w:rsidRDefault="00BA05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A2A92">
      <w:rPr>
        <w:rFonts w:ascii="Arial" w:hAnsi="Arial" w:cs="Arial"/>
        <w:sz w:val="22"/>
        <w:szCs w:val="22"/>
        <w:bdr w:val="single" w:sz="4" w:space="0" w:color="auto"/>
      </w:rPr>
      <w:t>36510611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A2A92">
      <w:rPr>
        <w:rFonts w:ascii="Arial" w:hAnsi="Arial" w:cs="Arial"/>
        <w:sz w:val="22"/>
        <w:szCs w:val="22"/>
        <w:bdr w:val="single" w:sz="4" w:space="0" w:color="auto"/>
      </w:rPr>
      <w:t>2022085406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75EF0"/>
    <w:rsid w:val="00AD6C8A"/>
    <w:rsid w:val="00AD749D"/>
    <w:rsid w:val="00B15E67"/>
    <w:rsid w:val="00B7440A"/>
    <w:rsid w:val="00B837E0"/>
    <w:rsid w:val="00BA05D2"/>
    <w:rsid w:val="00C01CB7"/>
    <w:rsid w:val="00CC3205"/>
    <w:rsid w:val="00CD545D"/>
    <w:rsid w:val="00EA2A9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620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2018-02-24T18:30:00Z</cp:lastPrinted>
  <dcterms:created xsi:type="dcterms:W3CDTF">2018-02-24T18:31:00Z</dcterms:created>
  <dcterms:modified xsi:type="dcterms:W3CDTF">2018-02-24T18:31:00Z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