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 xml:space="preserve">Poznámky Úč PODV 3-01                               IČO: </w:t>
      </w:r>
      <w:r>
        <w:rPr>
          <w:b/>
          <w:bCs/>
          <w:u w:val="single"/>
          <w:shd w:fill="99FF66" w:val="clear"/>
        </w:rPr>
        <w:t>51053683</w:t>
      </w:r>
      <w:r>
        <w:rPr>
          <w:b/>
          <w:bCs/>
          <w:u w:val="single"/>
          <w:shd w:fill="99FF66" w:val="clear"/>
        </w:rPr>
        <w:t xml:space="preserve">                             DIČ: </w:t>
      </w:r>
      <w:r>
        <w:rPr>
          <w:b/>
          <w:bCs/>
          <w:u w:val="single"/>
          <w:shd w:fill="99FF66" w:val="clear"/>
        </w:rPr>
        <w:t>2120573851</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2017</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4"/>
        <w:gridCol w:w="5101"/>
      </w:tblGrid>
      <w:tr>
        <w:trPr>
          <w:cantSplit w:val="false"/>
        </w:trPr>
        <w:tc>
          <w:tcPr>
            <w:tcW w:type="dxa" w:w="3964"/>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JUSKA s.r.o.</w:t>
            </w:r>
            <w:r>
              <w:rPr>
                <w:b/>
                <w:bCs/>
                <w:color w:val="000000"/>
                <w:sz w:val="15"/>
                <w:szCs w:val="15"/>
                <w:lang w:eastAsia="sk-SK"/>
              </w:rPr>
              <w:t xml:space="preserve"> </w:t>
            </w:r>
          </w:p>
          <w:p>
            <w:pPr>
              <w:pStyle w:val="style0"/>
              <w:rPr>
                <w:b/>
                <w:bCs/>
                <w:color w:val="000000"/>
                <w:sz w:val="15"/>
                <w:szCs w:val="15"/>
              </w:rPr>
            </w:pPr>
            <w:r>
              <w:rPr>
                <w:b/>
                <w:bCs/>
                <w:color w:val="000000"/>
                <w:sz w:val="15"/>
                <w:szCs w:val="15"/>
              </w:rPr>
              <w:t>Hladovka 224, 027 13 Hladovka</w:t>
            </w:r>
          </w:p>
          <w:p>
            <w:pPr>
              <w:pStyle w:val="style0"/>
              <w:rPr>
                <w:b/>
                <w:bCs/>
                <w:color w:val="000000"/>
              </w:rPr>
            </w:pPr>
            <w:r>
              <w:rPr>
                <w:b/>
                <w:bCs/>
                <w:color w:val="000000"/>
              </w:rPr>
            </w:r>
          </w:p>
          <w:p>
            <w:pPr>
              <w:pStyle w:val="style0"/>
              <w:rPr>
                <w:b/>
                <w:bCs/>
                <w:color w:val="000000"/>
                <w:sz w:val="15"/>
                <w:szCs w:val="15"/>
              </w:rPr>
            </w:pPr>
            <w:r>
              <w:rPr>
                <w:b/>
                <w:bCs/>
                <w:color w:val="000000"/>
                <w:sz w:val="15"/>
                <w:szCs w:val="15"/>
              </w:rPr>
              <w:t>17.08.2017</w:t>
            </w:r>
          </w:p>
          <w:p>
            <w:pPr>
              <w:pStyle w:val="style0"/>
              <w:rPr>
                <w:b/>
                <w:bCs/>
                <w:color w:val="000000"/>
              </w:rPr>
            </w:pPr>
            <w:r>
              <w:rPr>
                <w:b/>
                <w:bCs/>
                <w:color w:val="000000"/>
              </w:rPr>
            </w:r>
          </w:p>
        </w:tc>
      </w:tr>
      <w:tr>
        <w:trPr>
          <w:cantSplit w:val="false"/>
        </w:trPr>
        <w:tc>
          <w:tcPr>
            <w:tcW w:type="dxa" w:w="3964"/>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 xml:space="preserve">sprostredkovateľská čínnosť o oblasti obchodu a služieb </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uskutočňovanie stavieb a ich zmien a ďalšie 4 činnosti</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40"/>
        <w:gridCol w:w="1310"/>
        <w:gridCol w:w="1320"/>
      </w:tblGrid>
      <w:tr>
        <w:trPr>
          <w:cantSplit w:val="false"/>
        </w:trPr>
        <w:tc>
          <w:tcPr>
            <w:tcW w:type="dxa" w:w="6440"/>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2017</w:t>
            </w:r>
          </w:p>
        </w:tc>
        <w:tc>
          <w:tcPr>
            <w:tcW w:type="dxa" w:w="132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2016</w:t>
            </w:r>
          </w:p>
        </w:tc>
      </w:tr>
      <w:tr>
        <w:trPr>
          <w:cantSplit w:val="false"/>
        </w:trPr>
        <w:tc>
          <w:tcPr>
            <w:tcW w:type="dxa" w:w="6440"/>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2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2017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lang w:eastAsia="sk-SK"/>
        </w:rPr>
        <w:t>JUSKA s.r.o.</w:t>
      </w:r>
      <w:r>
        <w:rPr>
          <w:lang w:eastAsia="sk-SK"/>
        </w:rPr>
        <w:t>, bola zostavená za účtovné obdobie od 1. </w:t>
      </w:r>
      <w:r>
        <w:rPr>
          <w:lang w:eastAsia="sk-SK"/>
        </w:rPr>
        <w:t>augusta</w:t>
      </w:r>
      <w:r>
        <w:rPr>
          <w:lang w:eastAsia="sk-SK"/>
        </w:rPr>
        <w:t xml:space="preserve"> do 31. decembra 2017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2016</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Účtovná závierka spoločnosti </w:t>
      </w:r>
      <w:r>
        <w:rPr>
          <w:lang w:eastAsia="sk-SK"/>
        </w:rPr>
        <w:t>JUSKA s.r.o. schvaľovaná nebola, nakoľko spoločnosť vznikla 17.08.2017.</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 xml:space="preserve">Spoločnosť </w:t>
      </w:r>
      <w:r>
        <w:rPr>
          <w:rFonts w:cs="Arial"/>
          <w:b w:val="false"/>
          <w:bCs w:val="false"/>
          <w:iCs/>
          <w:szCs w:val="28"/>
        </w:rPr>
        <w:t>JUSKA</w:t>
      </w:r>
      <w:r>
        <w:rPr>
          <w:rFonts w:cs="Arial"/>
          <w:b w:val="false"/>
          <w:bCs w:val="false"/>
          <w:iCs/>
          <w:szCs w:val="28"/>
        </w:rPr>
        <w:t xml:space="preserve">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45"/>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45"/>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45"/>
        <w:rPr>
          <w:b w:val="false"/>
          <w:bCs w:val="false"/>
        </w:rPr>
      </w:pPr>
      <w:r>
        <w:rPr>
          <w:b w:val="false"/>
          <w:bCs w:val="false"/>
        </w:rPr>
      </w:r>
    </w:p>
    <w:p>
      <w:pPr>
        <w:pStyle w:val="style45"/>
        <w:rPr>
          <w:b/>
          <w:bCs/>
          <w:sz w:val="16"/>
          <w:szCs w:val="16"/>
        </w:rPr>
      </w:pPr>
      <w:r>
        <w:rPr>
          <w:b/>
          <w:bCs/>
          <w:sz w:val="16"/>
          <w:szCs w:val="16"/>
        </w:rPr>
        <w:t>2.  Pôžičky poskytnuté členom orgánov spoločnosti</w:t>
      </w:r>
    </w:p>
    <w:p>
      <w:pPr>
        <w:pStyle w:val="style45"/>
        <w:rPr>
          <w:b w:val="false"/>
          <w:bCs w:val="false"/>
          <w:sz w:val="18"/>
          <w:szCs w:val="18"/>
        </w:rPr>
      </w:pPr>
      <w:r>
        <w:rPr>
          <w:b w:val="false"/>
          <w:bCs w:val="false"/>
          <w:sz w:val="18"/>
          <w:szCs w:val="18"/>
        </w:rPr>
        <w:t>Spoločnosť v účtovnom období 2017 neposkytla členom orgánov spoločnosti žiadne záruky alebo iné zabezpečenie a poskytnuté pôžičky.</w:t>
      </w:r>
    </w:p>
    <w:p>
      <w:pPr>
        <w:pStyle w:val="style45"/>
        <w:rPr>
          <w:b w:val="false"/>
          <w:bCs w:val="false"/>
        </w:rPr>
      </w:pPr>
      <w:r>
        <w:rPr>
          <w:b w:val="false"/>
          <w:bCs w:val="false"/>
        </w:rPr>
      </w:r>
    </w:p>
    <w:p>
      <w:pPr>
        <w:pStyle w:val="style45"/>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45"/>
        <w:rPr>
          <w:b/>
          <w:bCs/>
        </w:rPr>
      </w:pPr>
      <w:r>
        <w:rPr>
          <w:b/>
          <w:bCs/>
        </w:rPr>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2017 bola spracovaná za predpokladu nepretržitého pokračovania činnosti.</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bCs/>
          <w:u w:val="none"/>
        </w:rPr>
      </w:pPr>
      <w:r>
        <w:rPr>
          <w:b/>
          <w:bCs/>
          <w:u w:val="none"/>
        </w:rPr>
      </w:r>
    </w:p>
    <w:p>
      <w:pPr>
        <w:pStyle w:val="style45"/>
        <w:widowControl/>
        <w:suppressAutoHyphens w:val="true"/>
        <w:spacing w:after="120" w:before="0"/>
        <w:ind w:hanging="214" w:left="246" w:right="0"/>
        <w:contextualSpacing w:val="false"/>
        <w:jc w:val="both"/>
        <w:rPr>
          <w:b/>
          <w:bCs/>
          <w:u w:val="none"/>
        </w:rPr>
      </w:pPr>
      <w:r>
        <w:rPr>
          <w:b/>
          <w:bCs/>
          <w:u w:val="none"/>
        </w:rPr>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45"/>
        <w:widowControl/>
        <w:suppressAutoHyphens w:val="true"/>
        <w:spacing w:after="120" w:before="0"/>
        <w:ind w:hanging="214" w:left="246" w:right="0"/>
        <w:contextualSpacing w:val="false"/>
        <w:jc w:val="both"/>
        <w:rPr>
          <w:b/>
          <w:bCs/>
          <w:u w:val="none"/>
        </w:rPr>
      </w:pPr>
      <w:r>
        <w:rPr>
          <w:b/>
          <w:bCs/>
          <w:u w:val="none"/>
        </w:rPr>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2017 nevyplynula povinnosť tvorby rezervy.</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45"/>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45"/>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5"/>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45"/>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účtovnom období roku 2017 nenastali v spoločnosti </w:t>
      </w:r>
      <w:r>
        <w:rPr>
          <w:b w:val="false"/>
          <w:bCs w:val="false"/>
          <w:sz w:val="18"/>
          <w:szCs w:val="18"/>
          <w:u w:val="none"/>
        </w:rPr>
        <w:t>JUSKA</w:t>
      </w:r>
      <w:r>
        <w:rPr>
          <w:b w:val="false"/>
          <w:bCs w:val="false"/>
          <w:sz w:val="18"/>
          <w:szCs w:val="18"/>
          <w:u w:val="none"/>
        </w:rPr>
        <w:t xml:space="preserve"> s.r.o. žiadne zmeny týkajúce sa účtovných zásad a účtovných metód.</w:t>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45"/>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45"/>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5"/>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spoločnosti </w:t>
      </w:r>
      <w:r>
        <w:rPr>
          <w:b w:val="false"/>
          <w:bCs w:val="false"/>
          <w:sz w:val="18"/>
          <w:szCs w:val="18"/>
          <w:u w:val="none"/>
        </w:rPr>
        <w:t>JUSKA</w:t>
      </w:r>
      <w:r>
        <w:rPr>
          <w:b w:val="false"/>
          <w:bCs w:val="false"/>
          <w:sz w:val="18"/>
          <w:szCs w:val="18"/>
          <w:u w:val="none"/>
        </w:rPr>
        <w:t xml:space="preserve"> s.r.o. nedošlo v účtovnom období roku 2017 k žiadnzm opravám významných chýb minulých období., </w:t>
      </w:r>
      <w:r>
        <w:rPr>
          <w:b w:val="false"/>
          <w:bCs w:val="false"/>
          <w:sz w:val="18"/>
          <w:szCs w:val="18"/>
          <w:u w:val="none"/>
        </w:rPr>
        <w:t>nakoľko spoločnosť bola zapísaná do OR OS Žilina až dňa 17.08.2017.</w:t>
      </w:r>
    </w:p>
    <w:p>
      <w:pPr>
        <w:pStyle w:val="style45"/>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45"/>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5"/>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45"/>
        <w:widowControl/>
        <w:suppressAutoHyphens w:val="true"/>
        <w:spacing w:after="120" w:before="0"/>
        <w:ind w:hanging="214" w:left="246" w:right="0"/>
        <w:contextualSpacing w:val="false"/>
        <w:jc w:val="both"/>
        <w:rPr>
          <w:b/>
          <w:bCs/>
          <w:u w:val="none"/>
        </w:rPr>
      </w:pPr>
      <w:r>
        <w:rPr>
          <w:b/>
          <w:bCs/>
          <w:u w:val="none"/>
        </w:rPr>
      </w:r>
    </w:p>
    <w:p>
      <w:pPr>
        <w:pStyle w:val="style45"/>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45"/>
        <w:rPr>
          <w:b w:val="false"/>
          <w:bCs w:val="false"/>
          <w:sz w:val="18"/>
          <w:szCs w:val="18"/>
        </w:rPr>
      </w:pPr>
      <w:r>
        <w:rPr>
          <w:b w:val="false"/>
          <w:bCs w:val="false"/>
          <w:sz w:val="18"/>
          <w:szCs w:val="18"/>
        </w:rPr>
      </w:r>
    </w:p>
    <w:p>
      <w:pPr>
        <w:pStyle w:val="style45"/>
        <w:rPr>
          <w:b w:val="false"/>
          <w:bCs w:val="false"/>
        </w:rPr>
      </w:pPr>
      <w:r>
        <w:rPr>
          <w:b w:val="false"/>
          <w:bCs w:val="false"/>
        </w:rPr>
      </w:r>
    </w:p>
    <w:p>
      <w:pPr>
        <w:pStyle w:val="style45"/>
        <w:rPr>
          <w:b w:val="false"/>
          <w:bCs w:val="false"/>
        </w:rPr>
      </w:pPr>
      <w:r>
        <w:rPr>
          <w:b w:val="false"/>
          <w:bCs w:val="false"/>
        </w:rPr>
      </w:r>
    </w:p>
    <w:p>
      <w:pPr>
        <w:pStyle w:val="style45"/>
        <w:rPr>
          <w:b w:val="false"/>
          <w:bCs w:val="false"/>
        </w:rPr>
      </w:pPr>
      <w:r>
        <w:rPr>
          <w:b w:val="false"/>
          <w:bCs w:val="false"/>
        </w:rPr>
      </w:r>
    </w:p>
    <w:p>
      <w:pPr>
        <w:pStyle w:val="style45"/>
        <w:rPr>
          <w:b/>
          <w:bCs/>
          <w:sz w:val="18"/>
          <w:szCs w:val="18"/>
        </w:rPr>
      </w:pPr>
      <w:r>
        <w:rPr>
          <w:b/>
          <w:bCs/>
          <w:sz w:val="18"/>
          <w:szCs w:val="18"/>
        </w:rPr>
        <w:t>2.  Pohľadávky</w:t>
      </w:r>
    </w:p>
    <w:p>
      <w:pPr>
        <w:pStyle w:val="style45"/>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1"/>
        <w:gridCol w:w="2389"/>
      </w:tblGrid>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b/>
                <w:bCs/>
              </w:rPr>
            </w:pPr>
            <w:r>
              <w:rPr>
                <w:b/>
                <w:bCs/>
              </w:rPr>
              <w:t>bežné účtovné obdobie</w:t>
            </w:r>
          </w:p>
        </w:tc>
        <w:tc>
          <w:tcPr>
            <w:tcW w:type="dxa" w:w="2389"/>
            <w:tcBorders>
              <w:top w:val="nil"/>
              <w:left w:val="nil"/>
              <w:bottom w:val="nil"/>
              <w:right w:val="nil"/>
            </w:tcBorders>
            <w:shd w:fill="FFFFFF" w:val="clear"/>
            <w:vAlign w:val="center"/>
          </w:tcPr>
          <w:p>
            <w:pPr>
              <w:pStyle w:val="style60"/>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b/>
                <w:bCs/>
              </w:rPr>
            </w:pPr>
            <w:r>
              <w:rPr>
                <w:b/>
                <w:bCs/>
              </w:rPr>
              <w:t>obdobie</w:t>
            </w:r>
          </w:p>
        </w:tc>
        <w:tc>
          <w:tcPr>
            <w:tcW w:type="dxa" w:w="2389"/>
            <w:tcBorders>
              <w:top w:val="nil"/>
              <w:left w:val="nil"/>
              <w:bottom w:val="nil"/>
              <w:right w:val="nil"/>
            </w:tcBorders>
            <w:shd w:fill="FFFFFF" w:val="clear"/>
            <w:vAlign w:val="center"/>
          </w:tcPr>
          <w:p>
            <w:pPr>
              <w:pStyle w:val="style60"/>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pPr>
            <w:r>
              <w:rPr/>
              <w:t>Názov položky</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Pohľadávky z obchodného styku</w:t>
            </w:r>
          </w:p>
        </w:tc>
        <w:tc>
          <w:tcPr>
            <w:tcW w:type="dxa" w:w="2381"/>
            <w:tcBorders>
              <w:top w:val="nil"/>
              <w:left w:val="nil"/>
              <w:bottom w:val="nil"/>
              <w:right w:val="nil"/>
            </w:tcBorders>
            <w:shd w:fill="FFFFFF" w:val="clear"/>
            <w:vAlign w:val="center"/>
          </w:tcPr>
          <w:p>
            <w:pPr>
              <w:pStyle w:val="style60"/>
              <w:rPr/>
            </w:pPr>
            <w:r>
              <w:rPr/>
              <w:t xml:space="preserve">                   </w:t>
            </w:r>
            <w:r>
              <w:rPr/>
              <w:t>0</w:t>
            </w:r>
          </w:p>
        </w:tc>
        <w:tc>
          <w:tcPr>
            <w:tcW w:type="dxa" w:w="2389"/>
            <w:tcBorders>
              <w:top w:val="nil"/>
              <w:left w:val="nil"/>
              <w:bottom w:val="nil"/>
              <w:right w:val="nil"/>
            </w:tcBorders>
            <w:shd w:fill="FFFFFF" w:val="clear"/>
            <w:vAlign w:val="center"/>
          </w:tcPr>
          <w:p>
            <w:pPr>
              <w:pStyle w:val="style60"/>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Daňové pohľadávky</w:t>
            </w:r>
          </w:p>
        </w:tc>
        <w:tc>
          <w:tcPr>
            <w:tcW w:type="dxa" w:w="2381"/>
            <w:tcBorders>
              <w:top w:val="nil"/>
              <w:left w:val="nil"/>
              <w:bottom w:val="nil"/>
              <w:right w:val="nil"/>
            </w:tcBorders>
            <w:shd w:fill="FFFFFF" w:val="clear"/>
            <w:vAlign w:val="center"/>
          </w:tcPr>
          <w:p>
            <w:pPr>
              <w:pStyle w:val="style60"/>
              <w:rPr/>
            </w:pPr>
            <w:r>
              <w:rPr/>
              <w:t xml:space="preserve">                   </w:t>
            </w:r>
            <w:r>
              <w:rPr/>
              <w:t>0</w:t>
            </w:r>
          </w:p>
        </w:tc>
        <w:tc>
          <w:tcPr>
            <w:tcW w:type="dxa" w:w="2389"/>
            <w:tcBorders>
              <w:top w:val="nil"/>
              <w:left w:val="nil"/>
              <w:bottom w:val="nil"/>
              <w:right w:val="nil"/>
            </w:tcBorders>
            <w:shd w:fill="FFFFFF" w:val="clear"/>
            <w:vAlign w:val="center"/>
          </w:tcPr>
          <w:p>
            <w:pPr>
              <w:pStyle w:val="style60"/>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Ostatné pohľadávky</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b/>
                <w:bCs/>
              </w:rPr>
            </w:pPr>
            <w:r>
              <w:rPr>
                <w:b/>
                <w:bCs/>
              </w:rPr>
              <w:t>Pohľadávky spolu:</w:t>
            </w:r>
          </w:p>
        </w:tc>
        <w:tc>
          <w:tcPr>
            <w:tcW w:type="dxa" w:w="2381"/>
            <w:tcBorders>
              <w:top w:val="nil"/>
              <w:left w:val="nil"/>
              <w:bottom w:val="nil"/>
              <w:right w:val="nil"/>
            </w:tcBorders>
            <w:shd w:fill="FFFFFF" w:val="clear"/>
            <w:vAlign w:val="center"/>
          </w:tcPr>
          <w:p>
            <w:pPr>
              <w:pStyle w:val="style60"/>
              <w:rPr>
                <w:b/>
                <w:bCs/>
              </w:rPr>
            </w:pPr>
            <w:r>
              <w:rPr>
                <w:b/>
                <w:bCs/>
              </w:rPr>
              <w:t xml:space="preserve">                   </w:t>
            </w:r>
            <w:r>
              <w:rPr>
                <w:b/>
                <w:bCs/>
              </w:rPr>
              <w:t>0</w:t>
            </w:r>
          </w:p>
        </w:tc>
        <w:tc>
          <w:tcPr>
            <w:tcW w:type="dxa" w:w="2389"/>
            <w:tcBorders>
              <w:top w:val="nil"/>
              <w:left w:val="nil"/>
              <w:bottom w:val="nil"/>
              <w:right w:val="nil"/>
            </w:tcBorders>
            <w:shd w:fill="FFFFFF" w:val="clear"/>
            <w:vAlign w:val="center"/>
          </w:tcPr>
          <w:p>
            <w:pPr>
              <w:pStyle w:val="style60"/>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jc w:val="center"/>
              <w:rPr/>
            </w:pPr>
            <w:r>
              <w:rPr/>
              <w:t> </w:t>
            </w:r>
          </w:p>
        </w:tc>
      </w:tr>
    </w:tbl>
    <w:p>
      <w:pPr>
        <w:pStyle w:val="style45"/>
        <w:rPr>
          <w:b/>
          <w:bCs/>
          <w:sz w:val="18"/>
          <w:szCs w:val="18"/>
        </w:rPr>
      </w:pPr>
      <w:r>
        <w:rPr>
          <w:b/>
          <w:bCs/>
          <w:sz w:val="18"/>
          <w:szCs w:val="18"/>
        </w:rPr>
      </w:r>
    </w:p>
    <w:p>
      <w:pPr>
        <w:pStyle w:val="style45"/>
        <w:rPr>
          <w:b w:val="false"/>
          <w:bCs w:val="false"/>
          <w:sz w:val="18"/>
          <w:szCs w:val="18"/>
        </w:rPr>
      </w:pPr>
      <w:r>
        <w:rPr>
          <w:b w:val="false"/>
          <w:bCs w:val="false"/>
          <w:sz w:val="18"/>
          <w:szCs w:val="18"/>
        </w:rPr>
        <w:t xml:space="preserve">V časti pohľadávok spoločnosť nevykazuje žiadne pohľadávky.  </w:t>
      </w:r>
    </w:p>
    <w:p>
      <w:pPr>
        <w:pStyle w:val="style45"/>
        <w:rPr/>
      </w:pPr>
      <w:r>
        <w:rPr/>
      </w:r>
    </w:p>
    <w:p>
      <w:pPr>
        <w:pStyle w:val="style45"/>
        <w:rPr>
          <w:b w:val="false"/>
          <w:bCs w:val="false"/>
          <w:sz w:val="18"/>
          <w:szCs w:val="18"/>
        </w:rPr>
      </w:pPr>
      <w:r>
        <w:rPr>
          <w:b w:val="false"/>
          <w:bCs w:val="false"/>
          <w:sz w:val="18"/>
          <w:szCs w:val="18"/>
        </w:rPr>
        <w:t xml:space="preserve">Tým, že spoločnosť neeviduje k 31.12.2017 pohľadávky žiadne pohľadávky, nebolo </w:t>
      </w:r>
    </w:p>
    <w:p>
      <w:pPr>
        <w:pStyle w:val="style45"/>
        <w:rPr>
          <w:b w:val="false"/>
          <w:bCs w:val="false"/>
          <w:sz w:val="18"/>
          <w:szCs w:val="18"/>
        </w:rPr>
      </w:pPr>
      <w:r>
        <w:rPr>
          <w:b w:val="false"/>
          <w:bCs w:val="false"/>
          <w:sz w:val="18"/>
          <w:szCs w:val="18"/>
        </w:rPr>
        <w:t>potrebné tvoriť opravné položky k pohľadávkam.</w:t>
      </w:r>
    </w:p>
    <w:p>
      <w:pPr>
        <w:pStyle w:val="style45"/>
        <w:rPr>
          <w:b w:val="false"/>
          <w:bCs w:val="false"/>
          <w:sz w:val="18"/>
          <w:szCs w:val="18"/>
        </w:rPr>
      </w:pPr>
      <w:r>
        <w:rPr>
          <w:b w:val="false"/>
          <w:bCs w:val="false"/>
          <w:sz w:val="18"/>
          <w:szCs w:val="18"/>
        </w:rPr>
      </w:r>
    </w:p>
    <w:p>
      <w:pPr>
        <w:pStyle w:val="style45"/>
        <w:rPr>
          <w:b/>
          <w:bCs/>
          <w:sz w:val="18"/>
          <w:szCs w:val="18"/>
        </w:rPr>
      </w:pPr>
      <w:r>
        <w:rPr>
          <w:b/>
          <w:bCs/>
          <w:sz w:val="18"/>
          <w:szCs w:val="18"/>
        </w:rPr>
        <w:t>3.  Krátkodobý finančný majetok</w:t>
      </w:r>
    </w:p>
    <w:p>
      <w:pPr>
        <w:pStyle w:val="style45"/>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1"/>
        <w:gridCol w:w="2389"/>
      </w:tblGrid>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b/>
                <w:bCs/>
              </w:rPr>
            </w:pPr>
            <w:r>
              <w:rPr>
                <w:b/>
                <w:bCs/>
              </w:rPr>
              <w:t>bežné účtovné obdobie</w:t>
            </w:r>
          </w:p>
        </w:tc>
        <w:tc>
          <w:tcPr>
            <w:tcW w:type="dxa" w:w="2389"/>
            <w:tcBorders>
              <w:top w:val="nil"/>
              <w:left w:val="nil"/>
              <w:bottom w:val="nil"/>
              <w:right w:val="nil"/>
            </w:tcBorders>
            <w:shd w:fill="FFFFFF" w:val="clear"/>
            <w:vAlign w:val="center"/>
          </w:tcPr>
          <w:p>
            <w:pPr>
              <w:pStyle w:val="style60"/>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b/>
                <w:bCs/>
              </w:rPr>
            </w:pPr>
            <w:r>
              <w:rPr>
                <w:b/>
                <w:bCs/>
              </w:rPr>
              <w:t>obdobie</w:t>
            </w:r>
          </w:p>
        </w:tc>
        <w:tc>
          <w:tcPr>
            <w:tcW w:type="dxa" w:w="2389"/>
            <w:tcBorders>
              <w:top w:val="nil"/>
              <w:left w:val="nil"/>
              <w:bottom w:val="nil"/>
              <w:right w:val="nil"/>
            </w:tcBorders>
            <w:shd w:fill="FFFFFF" w:val="clear"/>
            <w:vAlign w:val="center"/>
          </w:tcPr>
          <w:p>
            <w:pPr>
              <w:pStyle w:val="style60"/>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pPr>
            <w:r>
              <w:rPr/>
              <w:t>Názov položky</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 </w:t>
            </w:r>
          </w:p>
        </w:tc>
        <w:tc>
          <w:tcPr>
            <w:tcW w:type="dxa" w:w="2381"/>
            <w:tcBorders>
              <w:top w:val="nil"/>
              <w:left w:val="nil"/>
              <w:bottom w:val="nil"/>
              <w:right w:val="nil"/>
            </w:tcBorders>
            <w:shd w:fill="FFFFFF" w:val="clear"/>
            <w:vAlign w:val="center"/>
          </w:tcPr>
          <w:p>
            <w:pPr>
              <w:pStyle w:val="style60"/>
              <w:rPr/>
            </w:pPr>
            <w:r>
              <w:rPr/>
              <w:t> </w:t>
            </w:r>
          </w:p>
        </w:tc>
        <w:tc>
          <w:tcPr>
            <w:tcW w:type="dxa" w:w="238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Pokladnica</w:t>
            </w:r>
          </w:p>
        </w:tc>
        <w:tc>
          <w:tcPr>
            <w:tcW w:type="dxa" w:w="2381"/>
            <w:tcBorders>
              <w:top w:val="nil"/>
              <w:left w:val="nil"/>
              <w:bottom w:val="nil"/>
              <w:right w:val="nil"/>
            </w:tcBorders>
            <w:shd w:fill="FFFFFF" w:val="clear"/>
            <w:vAlign w:val="center"/>
          </w:tcPr>
          <w:p>
            <w:pPr>
              <w:pStyle w:val="style60"/>
              <w:rPr/>
            </w:pPr>
            <w:r>
              <w:rPr/>
              <w:t xml:space="preserve">                    </w:t>
            </w:r>
            <w:r>
              <w:rPr/>
              <w:t>4681</w:t>
            </w:r>
          </w:p>
        </w:tc>
        <w:tc>
          <w:tcPr>
            <w:tcW w:type="dxa" w:w="2389"/>
            <w:tcBorders>
              <w:top w:val="nil"/>
              <w:left w:val="nil"/>
              <w:bottom w:val="nil"/>
              <w:right w:val="nil"/>
            </w:tcBorders>
            <w:shd w:fill="FFFFFF" w:val="clear"/>
            <w:vAlign w:val="center"/>
          </w:tcPr>
          <w:p>
            <w:pPr>
              <w:pStyle w:val="style60"/>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Ceniny</w:t>
            </w:r>
          </w:p>
        </w:tc>
        <w:tc>
          <w:tcPr>
            <w:tcW w:type="dxa" w:w="2381"/>
            <w:tcBorders>
              <w:top w:val="nil"/>
              <w:left w:val="nil"/>
              <w:bottom w:val="nil"/>
              <w:right w:val="nil"/>
            </w:tcBorders>
            <w:shd w:fill="FFFFFF" w:val="clear"/>
            <w:vAlign w:val="center"/>
          </w:tcPr>
          <w:p>
            <w:pPr>
              <w:pStyle w:val="style60"/>
              <w:rPr/>
            </w:pPr>
            <w:r>
              <w:rPr/>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Bankový účet v mene EUR</w:t>
            </w:r>
          </w:p>
        </w:tc>
        <w:tc>
          <w:tcPr>
            <w:tcW w:type="dxa" w:w="2381"/>
            <w:tcBorders>
              <w:top w:val="nil"/>
              <w:left w:val="nil"/>
              <w:bottom w:val="nil"/>
              <w:right w:val="nil"/>
            </w:tcBorders>
            <w:shd w:fill="FFFFFF" w:val="clear"/>
            <w:vAlign w:val="center"/>
          </w:tcPr>
          <w:p>
            <w:pPr>
              <w:pStyle w:val="style60"/>
              <w:rPr/>
            </w:pPr>
            <w:r>
              <w:rPr/>
              <w:t xml:space="preserve">                       </w:t>
            </w:r>
            <w:r>
              <w:rPr/>
              <w:t>0</w:t>
            </w:r>
          </w:p>
        </w:tc>
        <w:tc>
          <w:tcPr>
            <w:tcW w:type="dxa" w:w="2389"/>
            <w:tcBorders>
              <w:top w:val="nil"/>
              <w:left w:val="nil"/>
              <w:bottom w:val="nil"/>
              <w:right w:val="nil"/>
            </w:tcBorders>
            <w:shd w:fill="FFFFFF" w:val="clear"/>
            <w:vAlign w:val="center"/>
          </w:tcPr>
          <w:p>
            <w:pPr>
              <w:pStyle w:val="style60"/>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Bankový účet v mene PLN</w:t>
            </w:r>
          </w:p>
        </w:tc>
        <w:tc>
          <w:tcPr>
            <w:tcW w:type="dxa" w:w="2381"/>
            <w:tcBorders>
              <w:top w:val="nil"/>
              <w:left w:val="nil"/>
              <w:bottom w:val="nil"/>
              <w:right w:val="nil"/>
            </w:tcBorders>
            <w:shd w:fill="FFFFFF" w:val="clear"/>
            <w:vAlign w:val="center"/>
          </w:tcPr>
          <w:p>
            <w:pPr>
              <w:pStyle w:val="style60"/>
              <w:rPr/>
            </w:pPr>
            <w:r>
              <w:rPr/>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0"/>
              <w:rPr/>
            </w:pPr>
            <w:r>
              <w:rPr/>
              <w:t>PeyPal</w:t>
            </w:r>
          </w:p>
        </w:tc>
        <w:tc>
          <w:tcPr>
            <w:tcW w:type="dxa" w:w="2381"/>
            <w:tcBorders>
              <w:top w:val="nil"/>
              <w:left w:val="nil"/>
              <w:bottom w:val="nil"/>
              <w:right w:val="nil"/>
            </w:tcBorders>
            <w:shd w:fill="FFFFFF" w:val="clear"/>
            <w:vAlign w:val="center"/>
          </w:tcPr>
          <w:p>
            <w:pPr>
              <w:pStyle w:val="style60"/>
              <w:rPr/>
            </w:pPr>
            <w:r>
              <w:rPr/>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pPr>
            <w:r>
              <w:rPr/>
              <w:t>Peniaze na ceste</w:t>
            </w:r>
          </w:p>
        </w:tc>
        <w:tc>
          <w:tcPr>
            <w:tcW w:type="dxa" w:w="2381"/>
            <w:tcBorders>
              <w:top w:val="nil"/>
              <w:left w:val="nil"/>
              <w:bottom w:val="nil"/>
              <w:right w:val="nil"/>
            </w:tcBorders>
            <w:shd w:fill="FFFFFF" w:val="clear"/>
            <w:vAlign w:val="center"/>
          </w:tcPr>
          <w:p>
            <w:pPr>
              <w:pStyle w:val="style60"/>
              <w:rPr/>
            </w:pPr>
            <w:r>
              <w:rPr/>
            </w:r>
          </w:p>
        </w:tc>
        <w:tc>
          <w:tcPr>
            <w:tcW w:type="dxa" w:w="2389"/>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0"/>
              <w:rPr>
                <w:b/>
                <w:bCs/>
              </w:rPr>
            </w:pPr>
            <w:r>
              <w:rPr/>
              <w:t> </w:t>
            </w:r>
            <w:r>
              <w:rPr>
                <w:b/>
                <w:bCs/>
              </w:rPr>
              <w:t>Spolu:</w:t>
            </w:r>
          </w:p>
        </w:tc>
        <w:tc>
          <w:tcPr>
            <w:tcW w:type="dxa" w:w="2381"/>
            <w:tcBorders>
              <w:top w:val="nil"/>
              <w:left w:val="nil"/>
              <w:bottom w:val="nil"/>
              <w:right w:val="nil"/>
            </w:tcBorders>
            <w:shd w:fill="FFFFFF" w:val="clear"/>
            <w:vAlign w:val="center"/>
          </w:tcPr>
          <w:p>
            <w:pPr>
              <w:pStyle w:val="style60"/>
              <w:rPr>
                <w:b/>
                <w:bCs/>
              </w:rPr>
            </w:pPr>
            <w:r>
              <w:rPr>
                <w:b/>
                <w:bCs/>
              </w:rPr>
              <w:t xml:space="preserve">                    </w:t>
            </w:r>
            <w:r>
              <w:rPr>
                <w:b/>
                <w:bCs/>
              </w:rPr>
              <w:t>4681</w:t>
            </w:r>
          </w:p>
        </w:tc>
        <w:tc>
          <w:tcPr>
            <w:tcW w:type="dxa" w:w="2389"/>
            <w:tcBorders>
              <w:top w:val="nil"/>
              <w:left w:val="nil"/>
              <w:bottom w:val="nil"/>
              <w:right w:val="nil"/>
            </w:tcBorders>
            <w:shd w:fill="FFFFFF" w:val="clear"/>
            <w:vAlign w:val="center"/>
          </w:tcPr>
          <w:p>
            <w:pPr>
              <w:pStyle w:val="style60"/>
              <w:jc w:val="center"/>
              <w:rPr>
                <w:b/>
                <w:bCs/>
              </w:rPr>
            </w:pPr>
            <w:r>
              <w:rPr>
                <w:b/>
                <w:bCs/>
              </w:rPr>
              <w:t>0</w:t>
            </w:r>
          </w:p>
        </w:tc>
      </w:tr>
    </w:tbl>
    <w:p>
      <w:pPr>
        <w:pStyle w:val="style45"/>
        <w:rPr>
          <w:b/>
          <w:bCs/>
          <w:sz w:val="18"/>
          <w:szCs w:val="18"/>
        </w:rPr>
      </w:pPr>
      <w:r>
        <w:rPr>
          <w:b/>
          <w:bCs/>
          <w:sz w:val="18"/>
          <w:szCs w:val="18"/>
        </w:rPr>
      </w:r>
    </w:p>
    <w:p>
      <w:pPr>
        <w:pStyle w:val="style45"/>
        <w:rPr>
          <w:b w:val="false"/>
          <w:bCs w:val="false"/>
          <w:sz w:val="18"/>
          <w:szCs w:val="18"/>
        </w:rPr>
      </w:pPr>
      <w:r>
        <w:rPr>
          <w:b w:val="false"/>
          <w:bCs w:val="false"/>
          <w:sz w:val="18"/>
          <w:szCs w:val="18"/>
        </w:rPr>
        <w:t>Spoločnosť má zriadený  účt vo Fio banke, a.s., pobočka zahraničnej banky, Nám.</w:t>
      </w:r>
    </w:p>
    <w:p>
      <w:pPr>
        <w:pStyle w:val="style45"/>
        <w:rPr>
          <w:b w:val="false"/>
          <w:bCs w:val="false"/>
          <w:sz w:val="18"/>
          <w:szCs w:val="18"/>
        </w:rPr>
      </w:pPr>
      <w:r>
        <w:rPr>
          <w:b w:val="false"/>
          <w:bCs w:val="false"/>
          <w:sz w:val="18"/>
          <w:szCs w:val="18"/>
        </w:rPr>
        <w:t>SNP 21, Bratislava.</w:t>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bCs/>
          <w:sz w:val="18"/>
          <w:szCs w:val="18"/>
        </w:rPr>
      </w:pPr>
      <w:r>
        <w:rPr>
          <w:b/>
          <w:bCs/>
          <w:sz w:val="18"/>
          <w:szCs w:val="18"/>
        </w:rPr>
        <w:t>4.  Informácie o rozdelení účtovného zisku alebo vysporiadanie účtovnej straty.</w:t>
      </w:r>
    </w:p>
    <w:p>
      <w:pPr>
        <w:pStyle w:val="style45"/>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2"/>
        <w:gridCol w:w="3049"/>
      </w:tblGrid>
      <w:tr>
        <w:trPr>
          <w:trHeight w:hRule="atLeast" w:val="315"/>
          <w:cantSplit w:val="false"/>
        </w:trPr>
        <w:tc>
          <w:tcPr>
            <w:tcW w:type="dxa" w:w="4132"/>
            <w:tcBorders>
              <w:top w:val="nil"/>
              <w:left w:val="nil"/>
              <w:bottom w:val="nil"/>
              <w:right w:val="nil"/>
            </w:tcBorders>
            <w:shd w:fill="FFFFFF" w:val="clear"/>
            <w:vAlign w:val="center"/>
          </w:tcPr>
          <w:p>
            <w:pPr>
              <w:pStyle w:val="style60"/>
              <w:rPr/>
            </w:pPr>
            <w:r>
              <w:rPr/>
              <w:t>tabuľka č. 1</w:t>
            </w:r>
          </w:p>
        </w:tc>
        <w:tc>
          <w:tcPr>
            <w:tcW w:type="dxa" w:w="3049"/>
            <w:tcBorders>
              <w:top w:val="nil"/>
              <w:left w:val="nil"/>
              <w:bottom w:val="nil"/>
              <w:right w:val="nil"/>
            </w:tcBorders>
            <w:shd w:fill="FFFFFF" w:val="clear"/>
            <w:vAlign w:val="center"/>
          </w:tcPr>
          <w:p>
            <w:pPr>
              <w:pStyle w:val="style60"/>
              <w:rPr>
                <w:sz w:val="4"/>
                <w:szCs w:val="4"/>
              </w:rPr>
            </w:pPr>
            <w:r>
              <w:rPr>
                <w:sz w:val="4"/>
                <w:szCs w:val="4"/>
              </w:rPr>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b/>
                <w:bCs/>
              </w:rPr>
            </w:pPr>
            <w:r>
              <w:rPr/>
              <w:t>N</w:t>
            </w:r>
            <w:r>
              <w:rPr>
                <w:b/>
                <w:bCs/>
              </w:rPr>
              <w:t>ázov položky</w:t>
            </w:r>
          </w:p>
        </w:tc>
        <w:tc>
          <w:tcPr>
            <w:tcW w:type="dxa" w:w="3049"/>
            <w:tcBorders>
              <w:top w:val="nil"/>
              <w:left w:val="nil"/>
              <w:bottom w:val="nil"/>
              <w:right w:val="nil"/>
            </w:tcBorders>
            <w:shd w:fill="FFFFFF" w:val="clear"/>
            <w:vAlign w:val="center"/>
          </w:tcPr>
          <w:p>
            <w:pPr>
              <w:pStyle w:val="style60"/>
              <w:rPr>
                <w:b/>
                <w:bCs/>
              </w:rPr>
            </w:pPr>
            <w:r>
              <w:rPr>
                <w:b/>
                <w:bCs/>
              </w:rPr>
              <w:t>Bezprostredne predchádzajúce</w:t>
            </w:r>
          </w:p>
        </w:tc>
      </w:tr>
      <w:tr>
        <w:trPr>
          <w:trHeight w:hRule="atLeast" w:val="315"/>
          <w:cantSplit w:val="false"/>
        </w:trPr>
        <w:tc>
          <w:tcPr>
            <w:tcW w:type="dxa" w:w="4132"/>
            <w:tcBorders>
              <w:top w:val="nil"/>
              <w:left w:val="nil"/>
              <w:bottom w:val="nil"/>
              <w:right w:val="nil"/>
            </w:tcBorders>
            <w:shd w:fill="FFFFFF" w:val="clear"/>
            <w:vAlign w:val="center"/>
          </w:tcPr>
          <w:p>
            <w:pPr>
              <w:pStyle w:val="style60"/>
              <w:rPr/>
            </w:pPr>
            <w:r>
              <w:rPr/>
              <w:t> </w:t>
            </w:r>
          </w:p>
        </w:tc>
        <w:tc>
          <w:tcPr>
            <w:tcW w:type="dxa" w:w="3049"/>
            <w:tcBorders>
              <w:top w:val="nil"/>
              <w:left w:val="nil"/>
              <w:bottom w:val="nil"/>
              <w:right w:val="nil"/>
            </w:tcBorders>
            <w:shd w:fill="FFFFFF" w:val="clear"/>
            <w:vAlign w:val="center"/>
          </w:tcPr>
          <w:p>
            <w:pPr>
              <w:pStyle w:val="style60"/>
              <w:jc w:val="center"/>
              <w:rPr>
                <w:b/>
                <w:bCs/>
              </w:rPr>
            </w:pPr>
            <w:r>
              <w:rPr>
                <w:b/>
                <w:bCs/>
              </w:rPr>
              <w:t>účtovné obdobie</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b/>
                <w:bCs/>
              </w:rPr>
            </w:pPr>
            <w:r>
              <w:rPr>
                <w:b/>
                <w:bCs/>
              </w:rPr>
              <w:t>Účtovný zisk</w:t>
            </w:r>
          </w:p>
        </w:tc>
        <w:tc>
          <w:tcPr>
            <w:tcW w:type="dxa" w:w="3049"/>
            <w:tcBorders>
              <w:top w:val="nil"/>
              <w:left w:val="nil"/>
              <w:bottom w:val="nil"/>
              <w:right w:val="nil"/>
            </w:tcBorders>
            <w:shd w:fill="FFFFFF" w:val="clear"/>
            <w:vAlign w:val="center"/>
          </w:tcPr>
          <w:p>
            <w:pPr>
              <w:pStyle w:val="style60"/>
              <w:rPr/>
            </w:pPr>
            <w:r>
              <w:rPr/>
              <w:t xml:space="preserve">                      </w:t>
            </w:r>
            <w:r>
              <w:rPr/>
              <w:t>0</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 </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Rozdelenie účtovného zisku</w:t>
            </w:r>
          </w:p>
        </w:tc>
        <w:tc>
          <w:tcPr>
            <w:tcW w:type="dxa" w:w="3049"/>
            <w:tcBorders>
              <w:top w:val="nil"/>
              <w:left w:val="nil"/>
              <w:bottom w:val="nil"/>
              <w:right w:val="nil"/>
            </w:tcBorders>
            <w:shd w:fill="FFFFFF" w:val="clear"/>
            <w:vAlign w:val="center"/>
          </w:tcPr>
          <w:p>
            <w:pPr>
              <w:pStyle w:val="style60"/>
              <w:jc w:val="center"/>
              <w:rPr>
                <w:b/>
                <w:bCs/>
              </w:rPr>
            </w:pPr>
            <w:r>
              <w:rPr>
                <w:b/>
                <w:bCs/>
              </w:rPr>
              <w:t>Bežné účtovné obdobie</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Prídel do zákonného rezervného fondu</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Prídel do štatutárnych a ostatných fondov</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Prídel do sociálneho fondu</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Prídel na zvýšenie základného imania</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Úhrada straty minulých období</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Prevod do nerozdeleného zisku minulých rokov</w:t>
            </w:r>
          </w:p>
        </w:tc>
        <w:tc>
          <w:tcPr>
            <w:tcW w:type="dxa" w:w="3049"/>
            <w:tcBorders>
              <w:top w:val="nil"/>
              <w:left w:val="nil"/>
              <w:bottom w:val="nil"/>
              <w:right w:val="nil"/>
            </w:tcBorders>
            <w:shd w:fill="FFFFFF" w:val="clear"/>
            <w:vAlign w:val="center"/>
          </w:tcPr>
          <w:p>
            <w:pPr>
              <w:pStyle w:val="style60"/>
              <w:rPr/>
            </w:pPr>
            <w:r>
              <w:rPr/>
              <w:t xml:space="preserve">                     </w:t>
            </w:r>
            <w:r>
              <w:rPr/>
              <w:t>0</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t>Rozdelenie podielu na zisku spoločníkom</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32"/>
            <w:tcBorders>
              <w:top w:val="nil"/>
              <w:left w:val="nil"/>
              <w:bottom w:val="nil"/>
              <w:right w:val="nil"/>
            </w:tcBorders>
            <w:shd w:fill="FFFFFF" w:val="clear"/>
            <w:vAlign w:val="center"/>
          </w:tcPr>
          <w:p>
            <w:pPr>
              <w:pStyle w:val="style60"/>
              <w:rPr/>
            </w:pPr>
            <w:r>
              <w:rPr/>
            </w:r>
          </w:p>
        </w:tc>
        <w:tc>
          <w:tcPr>
            <w:tcW w:type="dxa" w:w="3049"/>
            <w:tcBorders>
              <w:top w:val="nil"/>
              <w:left w:val="nil"/>
              <w:bottom w:val="nil"/>
              <w:right w:val="nil"/>
            </w:tcBorders>
            <w:shd w:fill="FFFFFF" w:val="clear"/>
            <w:vAlign w:val="center"/>
          </w:tcPr>
          <w:p>
            <w:pPr>
              <w:pStyle w:val="style60"/>
              <w:rPr/>
            </w:pPr>
            <w:r>
              <w:rPr/>
              <w:t xml:space="preserve">                      </w:t>
            </w:r>
          </w:p>
        </w:tc>
      </w:tr>
      <w:tr>
        <w:trPr>
          <w:trHeight w:hRule="atLeast" w:val="315"/>
          <w:cantSplit w:val="false"/>
        </w:trPr>
        <w:tc>
          <w:tcPr>
            <w:tcW w:type="dxa" w:w="4132"/>
            <w:tcBorders>
              <w:top w:val="nil"/>
              <w:left w:val="nil"/>
              <w:bottom w:val="nil"/>
              <w:right w:val="nil"/>
            </w:tcBorders>
            <w:shd w:fill="FFFFFF" w:val="clear"/>
            <w:vAlign w:val="center"/>
          </w:tcPr>
          <w:p>
            <w:pPr>
              <w:pStyle w:val="style60"/>
              <w:rPr/>
            </w:pPr>
            <w:r>
              <w:rPr/>
              <w:t>iné</w:t>
            </w:r>
          </w:p>
        </w:tc>
        <w:tc>
          <w:tcPr>
            <w:tcW w:type="dxa" w:w="3049"/>
            <w:tcBorders>
              <w:top w:val="nil"/>
              <w:left w:val="nil"/>
              <w:bottom w:val="nil"/>
              <w:right w:val="nil"/>
            </w:tcBorders>
            <w:shd w:fill="FFFFFF" w:val="clear"/>
            <w:vAlign w:val="center"/>
          </w:tcPr>
          <w:p>
            <w:pPr>
              <w:pStyle w:val="style60"/>
              <w:rPr/>
            </w:pPr>
            <w:r>
              <w:rPr/>
              <w:t> </w:t>
            </w:r>
          </w:p>
        </w:tc>
      </w:tr>
      <w:tr>
        <w:trPr>
          <w:trHeight w:hRule="atLeast" w:val="315"/>
          <w:cantSplit w:val="false"/>
        </w:trPr>
        <w:tc>
          <w:tcPr>
            <w:tcW w:type="dxa" w:w="4132"/>
            <w:tcBorders>
              <w:top w:val="nil"/>
              <w:left w:val="nil"/>
              <w:bottom w:val="nil"/>
              <w:right w:val="nil"/>
            </w:tcBorders>
            <w:shd w:fill="FFFFFF" w:val="clear"/>
            <w:vAlign w:val="center"/>
          </w:tcPr>
          <w:p>
            <w:pPr>
              <w:pStyle w:val="style60"/>
              <w:rPr>
                <w:b/>
                <w:bCs/>
              </w:rPr>
            </w:pPr>
            <w:r>
              <w:rPr>
                <w:b/>
                <w:bCs/>
              </w:rPr>
              <w:t>Spolu:</w:t>
            </w:r>
          </w:p>
        </w:tc>
        <w:tc>
          <w:tcPr>
            <w:tcW w:type="dxa" w:w="3049"/>
            <w:tcBorders>
              <w:top w:val="nil"/>
              <w:left w:val="nil"/>
              <w:bottom w:val="nil"/>
              <w:right w:val="nil"/>
            </w:tcBorders>
            <w:shd w:fill="FFFFFF" w:val="clear"/>
            <w:vAlign w:val="center"/>
          </w:tcPr>
          <w:p>
            <w:pPr>
              <w:pStyle w:val="style60"/>
              <w:rPr>
                <w:b/>
                <w:bCs/>
              </w:rPr>
            </w:pPr>
            <w:r>
              <w:rPr/>
              <w:t xml:space="preserve">              </w:t>
            </w:r>
            <w:r>
              <w:rPr>
                <w:b/>
                <w:bCs/>
              </w:rPr>
              <w:t xml:space="preserve">        </w:t>
            </w:r>
            <w:r>
              <w:rPr>
                <w:b/>
                <w:bCs/>
              </w:rPr>
              <w:t>0</w:t>
            </w:r>
          </w:p>
        </w:tc>
      </w:tr>
    </w:tbl>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t>Spoločnosť v účtovnom období nevykázala zisk, účtovala iba o odloženej dani.</w:t>
      </w:r>
    </w:p>
    <w:p>
      <w:pPr>
        <w:pStyle w:val="style45"/>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6"/>
        <w:gridCol w:w="3015"/>
      </w:tblGrid>
      <w:tr>
        <w:trPr>
          <w:trHeight w:hRule="atLeast" w:val="315"/>
          <w:cantSplit w:val="false"/>
        </w:trPr>
        <w:tc>
          <w:tcPr>
            <w:tcW w:type="dxa" w:w="4166"/>
            <w:tcBorders>
              <w:top w:val="nil"/>
              <w:left w:val="nil"/>
              <w:bottom w:val="nil"/>
              <w:right w:val="nil"/>
            </w:tcBorders>
            <w:shd w:fill="FFFFFF" w:val="clear"/>
            <w:vAlign w:val="center"/>
          </w:tcPr>
          <w:p>
            <w:pPr>
              <w:pStyle w:val="style60"/>
              <w:rPr/>
            </w:pPr>
            <w:r>
              <w:rPr/>
              <w:t>tabuľka č. 2</w:t>
            </w:r>
          </w:p>
        </w:tc>
        <w:tc>
          <w:tcPr>
            <w:tcW w:type="dxa" w:w="3015"/>
            <w:tcBorders>
              <w:top w:val="nil"/>
              <w:left w:val="nil"/>
              <w:bottom w:val="nil"/>
              <w:right w:val="nil"/>
            </w:tcBorders>
            <w:shd w:fill="FFFFFF" w:val="clear"/>
            <w:vAlign w:val="center"/>
          </w:tcPr>
          <w:p>
            <w:pPr>
              <w:pStyle w:val="style60"/>
              <w:rPr>
                <w:sz w:val="4"/>
                <w:szCs w:val="4"/>
              </w:rPr>
            </w:pPr>
            <w:r>
              <w:rPr>
                <w:sz w:val="4"/>
                <w:szCs w:val="4"/>
              </w:rPr>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b/>
                <w:bCs/>
              </w:rPr>
            </w:pPr>
            <w:r>
              <w:rPr>
                <w:b/>
                <w:bCs/>
              </w:rPr>
              <w:t>Názov položky</w:t>
            </w:r>
          </w:p>
        </w:tc>
        <w:tc>
          <w:tcPr>
            <w:tcW w:type="dxa" w:w="3015"/>
            <w:tcBorders>
              <w:top w:val="nil"/>
              <w:left w:val="nil"/>
              <w:bottom w:val="nil"/>
              <w:right w:val="nil"/>
            </w:tcBorders>
            <w:shd w:fill="FFFFFF" w:val="clear"/>
            <w:vAlign w:val="center"/>
          </w:tcPr>
          <w:p>
            <w:pPr>
              <w:pStyle w:val="style60"/>
              <w:rPr>
                <w:b/>
                <w:bCs/>
              </w:rPr>
            </w:pPr>
            <w:r>
              <w:rPr>
                <w:b/>
                <w:bCs/>
              </w:rPr>
              <w:t>Bezprostredne predchádzajúce</w:t>
            </w:r>
          </w:p>
        </w:tc>
      </w:tr>
      <w:tr>
        <w:trPr>
          <w:trHeight w:hRule="atLeast" w:val="315"/>
          <w:cantSplit w:val="false"/>
        </w:trPr>
        <w:tc>
          <w:tcPr>
            <w:tcW w:type="dxa" w:w="4166"/>
            <w:tcBorders>
              <w:top w:val="nil"/>
              <w:left w:val="nil"/>
              <w:bottom w:val="nil"/>
              <w:right w:val="nil"/>
            </w:tcBorders>
            <w:shd w:fill="FFFFFF" w:val="clear"/>
            <w:vAlign w:val="center"/>
          </w:tcPr>
          <w:p>
            <w:pPr>
              <w:pStyle w:val="style60"/>
              <w:rPr/>
            </w:pPr>
            <w:r>
              <w:rPr/>
              <w:t> </w:t>
            </w:r>
          </w:p>
        </w:tc>
        <w:tc>
          <w:tcPr>
            <w:tcW w:type="dxa" w:w="3015"/>
            <w:tcBorders>
              <w:top w:val="nil"/>
              <w:left w:val="nil"/>
              <w:bottom w:val="nil"/>
              <w:right w:val="nil"/>
            </w:tcBorders>
            <w:shd w:fill="FFFFFF" w:val="clear"/>
            <w:vAlign w:val="center"/>
          </w:tcPr>
          <w:p>
            <w:pPr>
              <w:pStyle w:val="style60"/>
              <w:jc w:val="center"/>
              <w:rPr>
                <w:b/>
                <w:bCs/>
              </w:rPr>
            </w:pPr>
            <w:r>
              <w:rPr>
                <w:b/>
                <w:bCs/>
              </w:rPr>
              <w:t>účtovné obdobie</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b/>
                <w:bCs/>
              </w:rPr>
            </w:pPr>
            <w:r>
              <w:rPr>
                <w:b/>
                <w:bCs/>
              </w:rPr>
              <w:t>Účtovná strata</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 </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vysporiadanie účtovnej straty</w:t>
            </w:r>
          </w:p>
        </w:tc>
        <w:tc>
          <w:tcPr>
            <w:tcW w:type="dxa" w:w="3015"/>
            <w:tcBorders>
              <w:top w:val="nil"/>
              <w:left w:val="nil"/>
              <w:bottom w:val="nil"/>
              <w:right w:val="nil"/>
            </w:tcBorders>
            <w:shd w:fill="FFFFFF" w:val="clear"/>
            <w:vAlign w:val="center"/>
          </w:tcPr>
          <w:p>
            <w:pPr>
              <w:pStyle w:val="style60"/>
              <w:jc w:val="center"/>
              <w:rPr>
                <w:b/>
                <w:bCs/>
              </w:rPr>
            </w:pPr>
            <w:r>
              <w:rPr>
                <w:b/>
                <w:bCs/>
              </w:rPr>
              <w:t>Bežné účtovné obdobie</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Prídel do zákonného rezervného fondu</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Prídel do štatutárnych a ostatných fondov</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Prídel do sociálneho fondu</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Prídel na zvýšenie základného imania</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Úhrada straty minulých období</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Prevod do nerozdeleného zisku minulých rokov</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00"/>
          <w:cantSplit w:val="false"/>
        </w:trPr>
        <w:tc>
          <w:tcPr>
            <w:tcW w:type="dxa" w:w="4166"/>
            <w:tcBorders>
              <w:top w:val="nil"/>
              <w:left w:val="nil"/>
              <w:bottom w:val="nil"/>
              <w:right w:val="nil"/>
            </w:tcBorders>
            <w:shd w:fill="FFFFFF" w:val="clear"/>
            <w:vAlign w:val="center"/>
          </w:tcPr>
          <w:p>
            <w:pPr>
              <w:pStyle w:val="style60"/>
              <w:rPr/>
            </w:pPr>
            <w:r>
              <w:rPr/>
              <w:t>Rozdelenie podielu na zisku spoločníkom</w:t>
            </w:r>
          </w:p>
        </w:tc>
        <w:tc>
          <w:tcPr>
            <w:tcW w:type="dxa" w:w="3015"/>
            <w:tcBorders>
              <w:top w:val="nil"/>
              <w:left w:val="nil"/>
              <w:bottom w:val="nil"/>
              <w:right w:val="nil"/>
            </w:tcBorders>
            <w:shd w:fill="FFFFFF" w:val="clear"/>
            <w:vAlign w:val="center"/>
          </w:tcPr>
          <w:p>
            <w:pPr>
              <w:pStyle w:val="style60"/>
              <w:rPr/>
            </w:pPr>
            <w:r>
              <w:rPr/>
              <w:t> </w:t>
            </w:r>
          </w:p>
        </w:tc>
      </w:tr>
      <w:tr>
        <w:trPr>
          <w:trHeight w:hRule="atLeast" w:val="315"/>
          <w:cantSplit w:val="false"/>
        </w:trPr>
        <w:tc>
          <w:tcPr>
            <w:tcW w:type="dxa" w:w="4166"/>
            <w:tcBorders>
              <w:top w:val="nil"/>
              <w:left w:val="nil"/>
              <w:bottom w:val="nil"/>
              <w:right w:val="nil"/>
            </w:tcBorders>
            <w:shd w:fill="FFFFFF" w:val="clear"/>
            <w:vAlign w:val="center"/>
          </w:tcPr>
          <w:p>
            <w:pPr>
              <w:pStyle w:val="style60"/>
              <w:rPr/>
            </w:pPr>
            <w:r>
              <w:rPr/>
              <w:t>Daňová licencia</w:t>
            </w:r>
          </w:p>
        </w:tc>
        <w:tc>
          <w:tcPr>
            <w:tcW w:type="dxa" w:w="3015"/>
            <w:tcBorders>
              <w:top w:val="nil"/>
              <w:left w:val="nil"/>
              <w:bottom w:val="nil"/>
              <w:right w:val="nil"/>
            </w:tcBorders>
            <w:shd w:fill="FFFFFF" w:val="clear"/>
            <w:vAlign w:val="center"/>
          </w:tcPr>
          <w:p>
            <w:pPr>
              <w:pStyle w:val="style60"/>
              <w:rPr/>
            </w:pPr>
            <w:r>
              <w:rPr/>
            </w:r>
          </w:p>
        </w:tc>
      </w:tr>
      <w:tr>
        <w:trPr>
          <w:trHeight w:hRule="atLeast" w:val="315"/>
          <w:cantSplit w:val="false"/>
        </w:trPr>
        <w:tc>
          <w:tcPr>
            <w:tcW w:type="dxa" w:w="4166"/>
            <w:tcBorders>
              <w:top w:val="nil"/>
              <w:left w:val="nil"/>
              <w:bottom w:val="nil"/>
              <w:right w:val="nil"/>
            </w:tcBorders>
            <w:shd w:fill="FFFFFF" w:val="clear"/>
            <w:vAlign w:val="center"/>
          </w:tcPr>
          <w:p>
            <w:pPr>
              <w:pStyle w:val="style60"/>
              <w:rPr>
                <w:b/>
                <w:bCs/>
              </w:rPr>
            </w:pPr>
            <w:r>
              <w:rPr>
                <w:b/>
                <w:bCs/>
              </w:rPr>
              <w:t>Spolu:</w:t>
            </w:r>
          </w:p>
        </w:tc>
        <w:tc>
          <w:tcPr>
            <w:tcW w:type="dxa" w:w="3015"/>
            <w:tcBorders>
              <w:top w:val="nil"/>
              <w:left w:val="nil"/>
              <w:bottom w:val="nil"/>
              <w:right w:val="nil"/>
            </w:tcBorders>
            <w:shd w:fill="FFFFFF" w:val="clear"/>
            <w:vAlign w:val="center"/>
          </w:tcPr>
          <w:p>
            <w:pPr>
              <w:pStyle w:val="style60"/>
              <w:rPr/>
            </w:pPr>
            <w:r>
              <w:rPr/>
            </w:r>
          </w:p>
        </w:tc>
      </w:tr>
    </w:tbl>
    <w:p>
      <w:pPr>
        <w:pStyle w:val="style45"/>
        <w:rPr>
          <w:b w:val="false"/>
          <w:bCs w:val="false"/>
          <w:sz w:val="18"/>
          <w:szCs w:val="18"/>
        </w:rPr>
      </w:pPr>
      <w:r>
        <w:rPr>
          <w:b w:val="false"/>
          <w:bCs w:val="false"/>
          <w:sz w:val="18"/>
          <w:szCs w:val="18"/>
        </w:rPr>
      </w:r>
    </w:p>
    <w:p>
      <w:pPr>
        <w:pStyle w:val="style45"/>
        <w:rPr/>
      </w:pPr>
      <w:r>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val="false"/>
          <w:bCs w:val="false"/>
          <w:sz w:val="18"/>
          <w:szCs w:val="18"/>
        </w:rPr>
      </w:pPr>
      <w:r>
        <w:rPr>
          <w:b w:val="false"/>
          <w:bCs w:val="false"/>
          <w:sz w:val="18"/>
          <w:szCs w:val="18"/>
        </w:rPr>
      </w:r>
    </w:p>
    <w:p>
      <w:pPr>
        <w:pStyle w:val="style45"/>
        <w:rPr>
          <w:b/>
          <w:bCs/>
          <w:sz w:val="18"/>
          <w:szCs w:val="18"/>
        </w:rPr>
      </w:pPr>
      <w:r>
        <w:rPr>
          <w:b/>
          <w:bCs/>
          <w:sz w:val="18"/>
          <w:szCs w:val="18"/>
        </w:rPr>
        <w:t>5.  Informácie o rezervách</w:t>
      </w:r>
    </w:p>
    <w:p>
      <w:pPr>
        <w:pStyle w:val="style45"/>
        <w:rPr>
          <w:b w:val="false"/>
          <w:bCs w:val="false"/>
          <w:sz w:val="18"/>
          <w:szCs w:val="18"/>
        </w:rPr>
      </w:pPr>
      <w:r>
        <w:rPr>
          <w:b w:val="false"/>
          <w:bCs w:val="false"/>
          <w:sz w:val="18"/>
          <w:szCs w:val="18"/>
        </w:rPr>
        <w:t>Spoločnosť v bežnom účtovnom období nemala povinnosť tvoriť rezervy.</w:t>
      </w:r>
    </w:p>
    <w:p>
      <w:pPr>
        <w:pStyle w:val="style45"/>
        <w:rPr>
          <w:b w:val="false"/>
          <w:bCs w:val="false"/>
          <w:sz w:val="18"/>
          <w:szCs w:val="18"/>
        </w:rPr>
      </w:pPr>
      <w:r>
        <w:rPr>
          <w:b w:val="false"/>
          <w:bCs w:val="false"/>
          <w:sz w:val="18"/>
          <w:szCs w:val="18"/>
        </w:rPr>
      </w:r>
    </w:p>
    <w:p>
      <w:pPr>
        <w:pStyle w:val="style45"/>
        <w:rPr>
          <w:b/>
          <w:bCs/>
          <w:sz w:val="18"/>
          <w:szCs w:val="18"/>
        </w:rPr>
      </w:pPr>
      <w:r>
        <w:rPr>
          <w:b/>
          <w:bCs/>
          <w:sz w:val="18"/>
          <w:szCs w:val="18"/>
        </w:rPr>
        <w:t>6.  Informácie o záväzkoch</w:t>
      </w:r>
    </w:p>
    <w:p>
      <w:pPr>
        <w:pStyle w:val="style45"/>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900"/>
        <w:gridCol w:w="2484"/>
        <w:gridCol w:w="2491"/>
      </w:tblGrid>
      <w:tr>
        <w:trPr>
          <w:trHeight w:hRule="atLeast" w:val="300"/>
          <w:cantSplit w:val="false"/>
        </w:trPr>
        <w:tc>
          <w:tcPr>
            <w:tcW w:type="dxa" w:w="2900"/>
            <w:tcBorders>
              <w:top w:val="nil"/>
              <w:left w:val="nil"/>
              <w:bottom w:val="nil"/>
              <w:right w:val="nil"/>
            </w:tcBorders>
            <w:shd w:fill="FFFFFF" w:val="clear"/>
            <w:vAlign w:val="center"/>
          </w:tcPr>
          <w:p>
            <w:pPr>
              <w:pStyle w:val="style60"/>
              <w:rPr>
                <w:b/>
                <w:bCs/>
              </w:rPr>
            </w:pPr>
            <w:r>
              <w:rPr>
                <w:b/>
                <w:bCs/>
              </w:rPr>
              <w:t>Názov položky</w:t>
            </w:r>
          </w:p>
        </w:tc>
        <w:tc>
          <w:tcPr>
            <w:tcW w:type="dxa" w:w="2484"/>
            <w:tcBorders>
              <w:top w:val="nil"/>
              <w:left w:val="nil"/>
              <w:bottom w:val="nil"/>
              <w:right w:val="nil"/>
            </w:tcBorders>
            <w:shd w:fill="FFFFFF" w:val="clear"/>
            <w:vAlign w:val="center"/>
          </w:tcPr>
          <w:p>
            <w:pPr>
              <w:pStyle w:val="style60"/>
              <w:jc w:val="center"/>
              <w:rPr>
                <w:b/>
                <w:bCs/>
              </w:rPr>
            </w:pPr>
            <w:r>
              <w:rPr>
                <w:b/>
                <w:bCs/>
              </w:rPr>
              <w:t>Bežné účtovné obdobie</w:t>
            </w:r>
          </w:p>
        </w:tc>
        <w:tc>
          <w:tcPr>
            <w:tcW w:type="dxa" w:w="2491"/>
            <w:tcBorders>
              <w:top w:val="nil"/>
              <w:left w:val="nil"/>
              <w:bottom w:val="nil"/>
              <w:right w:val="nil"/>
            </w:tcBorders>
            <w:shd w:fill="FFFFFF" w:val="clear"/>
            <w:vAlign w:val="center"/>
          </w:tcPr>
          <w:p>
            <w:pPr>
              <w:pStyle w:val="style60"/>
              <w:jc w:val="center"/>
              <w:rPr>
                <w:b/>
                <w:bCs/>
              </w:rPr>
            </w:pPr>
            <w:r>
              <w:rPr>
                <w:b/>
                <w:bCs/>
              </w:rPr>
              <w:t>Bezprostredne predchádzajúce</w:t>
            </w:r>
          </w:p>
        </w:tc>
      </w:tr>
      <w:tr>
        <w:trPr>
          <w:trHeight w:hRule="atLeast" w:val="315"/>
          <w:cantSplit w:val="false"/>
        </w:trPr>
        <w:tc>
          <w:tcPr>
            <w:tcW w:type="dxa" w:w="2900"/>
            <w:tcBorders>
              <w:top w:val="nil"/>
              <w:left w:val="nil"/>
              <w:bottom w:val="nil"/>
              <w:right w:val="nil"/>
            </w:tcBorders>
            <w:shd w:fill="FFFFFF" w:val="clear"/>
            <w:vAlign w:val="center"/>
          </w:tcPr>
          <w:p>
            <w:pPr>
              <w:pStyle w:val="style60"/>
              <w:rPr/>
            </w:pPr>
            <w:r>
              <w:rPr/>
              <w:t> </w:t>
            </w:r>
          </w:p>
        </w:tc>
        <w:tc>
          <w:tcPr>
            <w:tcW w:type="dxa" w:w="2484"/>
            <w:tcBorders>
              <w:top w:val="nil"/>
              <w:left w:val="nil"/>
              <w:bottom w:val="nil"/>
              <w:right w:val="nil"/>
            </w:tcBorders>
            <w:shd w:fill="FFFFFF" w:val="clear"/>
            <w:vAlign w:val="center"/>
          </w:tcPr>
          <w:p>
            <w:pPr>
              <w:pStyle w:val="style60"/>
              <w:jc w:val="center"/>
              <w:rPr>
                <w:b/>
                <w:bCs/>
              </w:rPr>
            </w:pPr>
            <w:r>
              <w:rPr>
                <w:b/>
                <w:bCs/>
              </w:rPr>
              <w:t>účtovné obdobie</w:t>
            </w:r>
          </w:p>
        </w:tc>
        <w:tc>
          <w:tcPr>
            <w:tcW w:type="dxa" w:w="2491"/>
            <w:tcBorders>
              <w:top w:val="nil"/>
              <w:left w:val="nil"/>
              <w:bottom w:val="nil"/>
              <w:right w:val="nil"/>
            </w:tcBorders>
            <w:shd w:fill="FFFFFF" w:val="clear"/>
            <w:vAlign w:val="center"/>
          </w:tcPr>
          <w:p>
            <w:pPr>
              <w:pStyle w:val="style60"/>
              <w:jc w:val="center"/>
              <w:rPr>
                <w:b/>
                <w:bCs/>
              </w:rPr>
            </w:pPr>
            <w:r>
              <w:rPr>
                <w:b/>
                <w:bCs/>
              </w:rPr>
              <w:t>účtovné obdobie</w:t>
            </w:r>
          </w:p>
        </w:tc>
      </w:tr>
      <w:tr>
        <w:trPr>
          <w:trHeight w:hRule="atLeast" w:val="300"/>
          <w:cantSplit w:val="false"/>
        </w:trPr>
        <w:tc>
          <w:tcPr>
            <w:tcW w:type="dxa" w:w="2900"/>
            <w:tcBorders>
              <w:top w:val="nil"/>
              <w:left w:val="nil"/>
              <w:bottom w:val="nil"/>
              <w:right w:val="nil"/>
            </w:tcBorders>
            <w:shd w:fill="FFFFFF" w:val="clear"/>
            <w:vAlign w:val="center"/>
          </w:tcPr>
          <w:p>
            <w:pPr>
              <w:pStyle w:val="style60"/>
              <w:rPr/>
            </w:pPr>
            <w:r>
              <w:rPr/>
              <w:t>Záväzky z obchodného styku</w:t>
            </w:r>
          </w:p>
        </w:tc>
        <w:tc>
          <w:tcPr>
            <w:tcW w:type="dxa" w:w="2484"/>
            <w:tcBorders>
              <w:top w:val="nil"/>
              <w:left w:val="nil"/>
              <w:bottom w:val="nil"/>
              <w:right w:val="nil"/>
            </w:tcBorders>
            <w:shd w:fill="FFFFFF" w:val="clear"/>
            <w:vAlign w:val="center"/>
          </w:tcPr>
          <w:p>
            <w:pPr>
              <w:pStyle w:val="style60"/>
              <w:rPr/>
            </w:pPr>
            <w:r>
              <w:rPr/>
              <w:t xml:space="preserve">                    </w:t>
            </w:r>
            <w:r>
              <w:rPr/>
              <w:t>0</w:t>
            </w:r>
          </w:p>
        </w:tc>
        <w:tc>
          <w:tcPr>
            <w:tcW w:type="dxa" w:w="2491"/>
            <w:tcBorders>
              <w:top w:val="nil"/>
              <w:left w:val="nil"/>
              <w:bottom w:val="nil"/>
              <w:right w:val="nil"/>
            </w:tcBorders>
            <w:shd w:fill="FFFFFF" w:val="clear"/>
            <w:vAlign w:val="center"/>
          </w:tcPr>
          <w:p>
            <w:pPr>
              <w:pStyle w:val="style60"/>
              <w:rPr/>
            </w:pPr>
            <w:r>
              <w:rPr/>
              <w:t xml:space="preserve">                  </w:t>
            </w:r>
          </w:p>
        </w:tc>
      </w:tr>
      <w:tr>
        <w:trPr>
          <w:trHeight w:hRule="atLeast" w:val="300"/>
          <w:cantSplit w:val="false"/>
        </w:trPr>
        <w:tc>
          <w:tcPr>
            <w:tcW w:type="dxa" w:w="2900"/>
            <w:tcBorders>
              <w:top w:val="nil"/>
              <w:left w:val="nil"/>
              <w:bottom w:val="nil"/>
              <w:right w:val="nil"/>
            </w:tcBorders>
            <w:shd w:fill="FFFFFF" w:val="clear"/>
            <w:vAlign w:val="center"/>
          </w:tcPr>
          <w:p>
            <w:pPr>
              <w:pStyle w:val="style60"/>
              <w:rPr/>
            </w:pPr>
            <w:r>
              <w:rPr/>
              <w:t>Záväzky voči daňovému úradu</w:t>
            </w:r>
          </w:p>
        </w:tc>
        <w:tc>
          <w:tcPr>
            <w:tcW w:type="dxa" w:w="2484"/>
            <w:tcBorders>
              <w:top w:val="nil"/>
              <w:left w:val="nil"/>
              <w:bottom w:val="nil"/>
              <w:right w:val="nil"/>
            </w:tcBorders>
            <w:shd w:fill="FFFFFF" w:val="clear"/>
            <w:vAlign w:val="center"/>
          </w:tcPr>
          <w:p>
            <w:pPr>
              <w:pStyle w:val="style60"/>
              <w:rPr>
                <w:sz w:val="16"/>
                <w:szCs w:val="16"/>
              </w:rPr>
            </w:pPr>
            <w:r>
              <w:rPr/>
              <w:t xml:space="preserve">              </w:t>
            </w:r>
            <w:r>
              <w:rPr>
                <w:sz w:val="16"/>
                <w:szCs w:val="16"/>
              </w:rPr>
              <w:t xml:space="preserve">     </w:t>
            </w:r>
            <w:r>
              <w:rPr>
                <w:sz w:val="16"/>
                <w:szCs w:val="16"/>
              </w:rPr>
              <w:t>200</w:t>
            </w:r>
          </w:p>
        </w:tc>
        <w:tc>
          <w:tcPr>
            <w:tcW w:type="dxa" w:w="2491"/>
            <w:tcBorders>
              <w:top w:val="nil"/>
              <w:left w:val="nil"/>
              <w:bottom w:val="nil"/>
              <w:right w:val="nil"/>
            </w:tcBorders>
            <w:shd w:fill="FFFFFF" w:val="clear"/>
            <w:vAlign w:val="center"/>
          </w:tcPr>
          <w:p>
            <w:pPr>
              <w:pStyle w:val="style60"/>
              <w:jc w:val="center"/>
              <w:rPr/>
            </w:pPr>
            <w:r>
              <w:rPr/>
              <w:t>0</w:t>
            </w:r>
          </w:p>
        </w:tc>
      </w:tr>
      <w:tr>
        <w:trPr>
          <w:trHeight w:hRule="atLeast" w:val="315"/>
          <w:cantSplit w:val="false"/>
        </w:trPr>
        <w:tc>
          <w:tcPr>
            <w:tcW w:type="dxa" w:w="2900"/>
            <w:tcBorders>
              <w:top w:val="nil"/>
              <w:left w:val="nil"/>
              <w:bottom w:val="nil"/>
              <w:right w:val="nil"/>
            </w:tcBorders>
            <w:shd w:fill="FFFFFF" w:val="clear"/>
            <w:vAlign w:val="center"/>
          </w:tcPr>
          <w:p>
            <w:pPr>
              <w:pStyle w:val="style60"/>
              <w:rPr/>
            </w:pPr>
            <w:r>
              <w:rPr/>
              <w:t>Iné záväzky</w:t>
            </w:r>
          </w:p>
        </w:tc>
        <w:tc>
          <w:tcPr>
            <w:tcW w:type="dxa" w:w="2484"/>
            <w:tcBorders>
              <w:top w:val="nil"/>
              <w:left w:val="nil"/>
              <w:bottom w:val="nil"/>
              <w:right w:val="nil"/>
            </w:tcBorders>
            <w:shd w:fill="FFFFFF" w:val="clear"/>
            <w:vAlign w:val="center"/>
          </w:tcPr>
          <w:p>
            <w:pPr>
              <w:pStyle w:val="style60"/>
              <w:rPr/>
            </w:pPr>
            <w:r>
              <w:rPr/>
              <w:t> </w:t>
            </w:r>
          </w:p>
        </w:tc>
        <w:tc>
          <w:tcPr>
            <w:tcW w:type="dxa" w:w="2491"/>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900"/>
            <w:tcBorders>
              <w:top w:val="nil"/>
              <w:left w:val="nil"/>
              <w:bottom w:val="nil"/>
              <w:right w:val="nil"/>
            </w:tcBorders>
            <w:shd w:fill="FFFFFF" w:val="clear"/>
            <w:vAlign w:val="center"/>
          </w:tcPr>
          <w:p>
            <w:pPr>
              <w:pStyle w:val="style60"/>
              <w:rPr>
                <w:b/>
                <w:bCs/>
              </w:rPr>
            </w:pPr>
            <w:r>
              <w:rPr>
                <w:b/>
                <w:bCs/>
              </w:rPr>
              <w:t>Krátkodobé záväzky spolu:</w:t>
            </w:r>
          </w:p>
        </w:tc>
        <w:tc>
          <w:tcPr>
            <w:tcW w:type="dxa" w:w="2484"/>
            <w:tcBorders>
              <w:top w:val="nil"/>
              <w:left w:val="nil"/>
              <w:bottom w:val="nil"/>
              <w:right w:val="nil"/>
            </w:tcBorders>
            <w:shd w:fill="FFFFFF" w:val="clear"/>
            <w:vAlign w:val="center"/>
          </w:tcPr>
          <w:p>
            <w:pPr>
              <w:pStyle w:val="style60"/>
              <w:rPr>
                <w:b/>
                <w:bCs/>
                <w:sz w:val="16"/>
                <w:szCs w:val="16"/>
              </w:rPr>
            </w:pPr>
            <w:r>
              <w:rPr>
                <w:b/>
                <w:bCs/>
                <w:sz w:val="16"/>
                <w:szCs w:val="16"/>
              </w:rPr>
              <w:t xml:space="preserve">                    </w:t>
            </w:r>
            <w:r>
              <w:rPr>
                <w:b/>
                <w:bCs/>
                <w:sz w:val="16"/>
                <w:szCs w:val="16"/>
              </w:rPr>
              <w:t>200</w:t>
            </w:r>
          </w:p>
        </w:tc>
        <w:tc>
          <w:tcPr>
            <w:tcW w:type="dxa" w:w="2491"/>
            <w:tcBorders>
              <w:top w:val="nil"/>
              <w:left w:val="nil"/>
              <w:bottom w:val="nil"/>
              <w:right w:val="nil"/>
            </w:tcBorders>
            <w:shd w:fill="FFFFFF" w:val="clear"/>
            <w:vAlign w:val="center"/>
          </w:tcPr>
          <w:p>
            <w:pPr>
              <w:pStyle w:val="style60"/>
              <w:jc w:val="center"/>
              <w:rPr>
                <w:b/>
                <w:bCs/>
                <w:sz w:val="16"/>
                <w:szCs w:val="16"/>
              </w:rPr>
            </w:pPr>
            <w:r>
              <w:rPr>
                <w:b/>
                <w:bCs/>
                <w:sz w:val="16"/>
                <w:szCs w:val="16"/>
              </w:rPr>
              <w:t xml:space="preserve"> </w:t>
            </w:r>
            <w:r>
              <w:rPr>
                <w:b/>
                <w:bCs/>
                <w:sz w:val="16"/>
                <w:szCs w:val="16"/>
              </w:rPr>
              <w:t>0</w:t>
            </w:r>
          </w:p>
        </w:tc>
      </w:tr>
      <w:tr>
        <w:trPr>
          <w:trHeight w:hRule="atLeast" w:val="300"/>
          <w:cantSplit w:val="false"/>
        </w:trPr>
        <w:tc>
          <w:tcPr>
            <w:tcW w:type="dxa" w:w="2900"/>
            <w:tcBorders>
              <w:top w:val="nil"/>
              <w:left w:val="nil"/>
              <w:bottom w:val="nil"/>
              <w:right w:val="nil"/>
            </w:tcBorders>
            <w:shd w:fill="FFFFFF" w:val="clear"/>
            <w:vAlign w:val="center"/>
          </w:tcPr>
          <w:p>
            <w:pPr>
              <w:pStyle w:val="style60"/>
              <w:rPr/>
            </w:pPr>
            <w:r>
              <w:rPr/>
              <w:t>Záväzky s dobou splatnosti 1-5</w:t>
            </w:r>
          </w:p>
        </w:tc>
        <w:tc>
          <w:tcPr>
            <w:tcW w:type="dxa" w:w="2484"/>
            <w:tcBorders>
              <w:top w:val="nil"/>
              <w:left w:val="nil"/>
              <w:bottom w:val="nil"/>
              <w:right w:val="nil"/>
            </w:tcBorders>
            <w:shd w:fill="FFFFFF" w:val="clear"/>
            <w:vAlign w:val="center"/>
          </w:tcPr>
          <w:p>
            <w:pPr>
              <w:pStyle w:val="style60"/>
              <w:rPr/>
            </w:pPr>
            <w:r>
              <w:rPr/>
            </w:r>
          </w:p>
        </w:tc>
        <w:tc>
          <w:tcPr>
            <w:tcW w:type="dxa" w:w="2491"/>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900"/>
            <w:tcBorders>
              <w:top w:val="nil"/>
              <w:left w:val="nil"/>
              <w:bottom w:val="nil"/>
              <w:right w:val="nil"/>
            </w:tcBorders>
            <w:shd w:fill="FFFFFF" w:val="clear"/>
            <w:vAlign w:val="center"/>
          </w:tcPr>
          <w:p>
            <w:pPr>
              <w:pStyle w:val="style60"/>
              <w:rPr/>
            </w:pPr>
            <w:r>
              <w:rPr/>
              <w:t>Záväzky s dobou splatnosti nad 5</w:t>
            </w:r>
          </w:p>
        </w:tc>
        <w:tc>
          <w:tcPr>
            <w:tcW w:type="dxa" w:w="2484"/>
            <w:tcBorders>
              <w:top w:val="nil"/>
              <w:left w:val="nil"/>
              <w:bottom w:val="nil"/>
              <w:right w:val="nil"/>
            </w:tcBorders>
            <w:shd w:fill="FFFFFF" w:val="clear"/>
            <w:vAlign w:val="center"/>
          </w:tcPr>
          <w:p>
            <w:pPr>
              <w:pStyle w:val="style60"/>
              <w:rPr/>
            </w:pPr>
            <w:r>
              <w:rPr/>
            </w:r>
          </w:p>
        </w:tc>
        <w:tc>
          <w:tcPr>
            <w:tcW w:type="dxa" w:w="2491"/>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2900"/>
            <w:tcBorders>
              <w:top w:val="nil"/>
              <w:left w:val="nil"/>
              <w:bottom w:val="nil"/>
              <w:right w:val="nil"/>
            </w:tcBorders>
            <w:shd w:fill="FFFFFF" w:val="clear"/>
            <w:vAlign w:val="center"/>
          </w:tcPr>
          <w:p>
            <w:pPr>
              <w:pStyle w:val="style60"/>
              <w:rPr>
                <w:b/>
                <w:bCs/>
              </w:rPr>
            </w:pPr>
            <w:r>
              <w:rPr>
                <w:b/>
                <w:bCs/>
              </w:rPr>
              <w:t>Záväzky spolu:</w:t>
            </w:r>
          </w:p>
        </w:tc>
        <w:tc>
          <w:tcPr>
            <w:tcW w:type="dxa" w:w="2484"/>
            <w:tcBorders>
              <w:top w:val="nil"/>
              <w:left w:val="nil"/>
              <w:bottom w:val="nil"/>
              <w:right w:val="nil"/>
            </w:tcBorders>
            <w:shd w:fill="FFFFFF" w:val="clear"/>
            <w:vAlign w:val="center"/>
          </w:tcPr>
          <w:p>
            <w:pPr>
              <w:pStyle w:val="style60"/>
              <w:jc w:val="center"/>
              <w:rPr>
                <w:b/>
                <w:bCs/>
                <w:sz w:val="16"/>
                <w:szCs w:val="16"/>
              </w:rPr>
            </w:pPr>
            <w:r>
              <w:rPr>
                <w:b/>
                <w:bCs/>
                <w:sz w:val="16"/>
                <w:szCs w:val="16"/>
              </w:rPr>
              <w:t>200</w:t>
            </w:r>
            <w:r>
              <w:rPr>
                <w:b/>
                <w:bCs/>
                <w:sz w:val="16"/>
                <w:szCs w:val="16"/>
              </w:rPr>
              <w:t xml:space="preserve">                                                           </w:t>
            </w:r>
          </w:p>
        </w:tc>
        <w:tc>
          <w:tcPr>
            <w:tcW w:type="dxa" w:w="2491"/>
            <w:tcBorders>
              <w:top w:val="nil"/>
              <w:left w:val="nil"/>
              <w:bottom w:val="nil"/>
              <w:right w:val="nil"/>
            </w:tcBorders>
            <w:shd w:fill="FFFFFF" w:val="clear"/>
            <w:vAlign w:val="center"/>
          </w:tcPr>
          <w:p>
            <w:pPr>
              <w:pStyle w:val="style60"/>
              <w:jc w:val="center"/>
              <w:rPr>
                <w:b/>
                <w:bCs/>
                <w:sz w:val="16"/>
                <w:szCs w:val="16"/>
              </w:rPr>
            </w:pPr>
            <w:r>
              <w:rPr>
                <w:b/>
                <w:bCs/>
                <w:sz w:val="16"/>
                <w:szCs w:val="16"/>
              </w:rPr>
              <w:t>0</w:t>
            </w:r>
          </w:p>
        </w:tc>
      </w:tr>
    </w:tbl>
    <w:p>
      <w:pPr>
        <w:pStyle w:val="style45"/>
        <w:rPr>
          <w:b w:val="false"/>
          <w:bCs w:val="false"/>
          <w:sz w:val="18"/>
          <w:szCs w:val="18"/>
        </w:rPr>
      </w:pPr>
      <w:r>
        <w:rPr>
          <w:b w:val="false"/>
          <w:bCs w:val="false"/>
          <w:sz w:val="18"/>
          <w:szCs w:val="18"/>
        </w:rPr>
      </w:r>
    </w:p>
    <w:p>
      <w:pPr>
        <w:pStyle w:val="style45"/>
        <w:rPr>
          <w:b w:val="false"/>
          <w:bCs w:val="false"/>
          <w:sz w:val="16"/>
          <w:szCs w:val="16"/>
        </w:rPr>
      </w:pPr>
      <w:r>
        <w:rPr>
          <w:b w:val="false"/>
          <w:bCs w:val="false"/>
          <w:sz w:val="16"/>
          <w:szCs w:val="16"/>
        </w:rPr>
        <w:t>Spoločnosť vykazuje za hodnotiace obdobie iba krátkodobé záväzky v lehote splatnosti</w:t>
      </w:r>
    </w:p>
    <w:p>
      <w:pPr>
        <w:pStyle w:val="style45"/>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6"/>
        <w:gridCol w:w="2487"/>
        <w:gridCol w:w="2496"/>
      </w:tblGrid>
      <w:tr>
        <w:trPr>
          <w:trHeight w:hRule="atLeast" w:val="300"/>
          <w:cantSplit w:val="false"/>
        </w:trPr>
        <w:tc>
          <w:tcPr>
            <w:tcW w:type="dxa" w:w="2906"/>
            <w:tcBorders>
              <w:top w:val="nil"/>
              <w:left w:val="nil"/>
              <w:bottom w:val="nil"/>
              <w:right w:val="nil"/>
            </w:tcBorders>
            <w:shd w:fill="FFFFFF" w:val="clear"/>
            <w:vAlign w:val="center"/>
          </w:tcPr>
          <w:p>
            <w:pPr>
              <w:pStyle w:val="style60"/>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0"/>
              <w:jc w:val="center"/>
              <w:rPr>
                <w:b/>
                <w:bCs/>
                <w:sz w:val="16"/>
                <w:szCs w:val="16"/>
              </w:rPr>
            </w:pPr>
            <w:r>
              <w:rPr>
                <w:b/>
                <w:bCs/>
                <w:sz w:val="16"/>
                <w:szCs w:val="16"/>
              </w:rPr>
              <w:t>Bežné účtovné obdobie</w:t>
            </w:r>
          </w:p>
        </w:tc>
        <w:tc>
          <w:tcPr>
            <w:tcW w:type="dxa" w:w="2496"/>
            <w:tcBorders>
              <w:top w:val="nil"/>
              <w:left w:val="nil"/>
              <w:bottom w:val="nil"/>
              <w:right w:val="nil"/>
            </w:tcBorders>
            <w:shd w:fill="FFFFFF" w:val="clear"/>
            <w:vAlign w:val="center"/>
          </w:tcPr>
          <w:p>
            <w:pPr>
              <w:pStyle w:val="style60"/>
              <w:jc w:val="center"/>
              <w:rPr>
                <w:b/>
                <w:bCs/>
                <w:sz w:val="16"/>
                <w:szCs w:val="16"/>
              </w:rPr>
            </w:pPr>
            <w:r>
              <w:rPr>
                <w:b/>
                <w:bCs/>
                <w:sz w:val="16"/>
                <w:szCs w:val="16"/>
              </w:rPr>
              <w:t>Bezprostredne predchádzajúce</w:t>
            </w:r>
          </w:p>
        </w:tc>
      </w:tr>
      <w:tr>
        <w:trPr>
          <w:trHeight w:hRule="atLeast" w:val="315"/>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jc w:val="center"/>
              <w:rPr>
                <w:b/>
                <w:bCs/>
                <w:sz w:val="16"/>
                <w:szCs w:val="16"/>
              </w:rPr>
            </w:pPr>
            <w:r>
              <w:rPr>
                <w:b/>
                <w:bCs/>
                <w:sz w:val="16"/>
                <w:szCs w:val="16"/>
              </w:rPr>
              <w:t>účtovné obdobie</w:t>
            </w:r>
          </w:p>
        </w:tc>
        <w:tc>
          <w:tcPr>
            <w:tcW w:type="dxa" w:w="2496"/>
            <w:tcBorders>
              <w:top w:val="nil"/>
              <w:left w:val="nil"/>
              <w:bottom w:val="nil"/>
              <w:right w:val="nil"/>
            </w:tcBorders>
            <w:shd w:fill="FFFFFF" w:val="clear"/>
            <w:vAlign w:val="center"/>
          </w:tcPr>
          <w:p>
            <w:pPr>
              <w:pStyle w:val="style60"/>
              <w:jc w:val="center"/>
              <w:rPr>
                <w:b/>
                <w:bCs/>
                <w:sz w:val="16"/>
                <w:szCs w:val="16"/>
              </w:rPr>
            </w:pPr>
            <w:r>
              <w:rPr>
                <w:b/>
                <w:bCs/>
                <w:sz w:val="16"/>
                <w:szCs w:val="16"/>
              </w:rPr>
              <w:t>účtovné obdobie</w:t>
            </w:r>
          </w:p>
        </w:tc>
      </w:tr>
      <w:tr>
        <w:trPr>
          <w:trHeight w:hRule="atLeast" w:val="315"/>
          <w:cantSplit w:val="false"/>
        </w:trPr>
        <w:tc>
          <w:tcPr>
            <w:tcW w:type="dxa" w:w="2906"/>
            <w:tcBorders>
              <w:top w:val="nil"/>
              <w:left w:val="nil"/>
              <w:bottom w:val="nil"/>
              <w:right w:val="nil"/>
            </w:tcBorders>
            <w:shd w:fill="FFFFFF" w:val="clear"/>
            <w:vAlign w:val="center"/>
          </w:tcPr>
          <w:p>
            <w:pPr>
              <w:pStyle w:val="style60"/>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15"/>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15"/>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00"/>
          <w:cantSplit w:val="false"/>
        </w:trPr>
        <w:tc>
          <w:tcPr>
            <w:tcW w:type="dxa" w:w="2906"/>
            <w:tcBorders>
              <w:top w:val="nil"/>
              <w:left w:val="nil"/>
              <w:bottom w:val="nil"/>
              <w:right w:val="nil"/>
            </w:tcBorders>
            <w:shd w:fill="FFFFFF" w:val="clear"/>
            <w:vAlign w:val="center"/>
          </w:tcPr>
          <w:p>
            <w:pPr>
              <w:pStyle w:val="style60"/>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r>
        <w:trPr>
          <w:trHeight w:hRule="atLeast" w:val="315"/>
          <w:cantSplit w:val="false"/>
        </w:trPr>
        <w:tc>
          <w:tcPr>
            <w:tcW w:type="dxa" w:w="2906"/>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0"/>
              <w:rPr>
                <w:sz w:val="16"/>
                <w:szCs w:val="16"/>
              </w:rPr>
            </w:pPr>
            <w:r>
              <w:rPr>
                <w:sz w:val="16"/>
                <w:szCs w:val="16"/>
              </w:rPr>
              <w:t> </w:t>
            </w:r>
          </w:p>
        </w:tc>
        <w:tc>
          <w:tcPr>
            <w:tcW w:type="dxa" w:w="2496"/>
            <w:tcBorders>
              <w:top w:val="nil"/>
              <w:left w:val="nil"/>
              <w:bottom w:val="nil"/>
              <w:right w:val="nil"/>
            </w:tcBorders>
            <w:shd w:fill="FFFFFF" w:val="clear"/>
            <w:vAlign w:val="center"/>
          </w:tcPr>
          <w:p>
            <w:pPr>
              <w:pStyle w:val="style60"/>
              <w:rPr>
                <w:sz w:val="16"/>
                <w:szCs w:val="16"/>
              </w:rPr>
            </w:pPr>
            <w:r>
              <w:rPr>
                <w:sz w:val="16"/>
                <w:szCs w:val="16"/>
              </w:rPr>
              <w:t> </w:t>
            </w:r>
          </w:p>
        </w:tc>
      </w:tr>
    </w:tbl>
    <w:p>
      <w:pPr>
        <w:pStyle w:val="style45"/>
        <w:rPr>
          <w:b w:val="false"/>
          <w:bCs w:val="false"/>
          <w:sz w:val="18"/>
          <w:szCs w:val="18"/>
        </w:rPr>
      </w:pPr>
      <w:r>
        <w:rPr>
          <w:b w:val="false"/>
          <w:bCs w:val="false"/>
          <w:sz w:val="18"/>
          <w:szCs w:val="18"/>
        </w:rPr>
      </w:r>
    </w:p>
    <w:p>
      <w:pPr>
        <w:pStyle w:val="style45"/>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45"/>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2017 spoločnosť dosiahla celkové výnosy vo výške   </w:t>
      </w:r>
      <w:r>
        <w:rPr>
          <w:b/>
          <w:bCs/>
          <w:sz w:val="16"/>
          <w:szCs w:val="16"/>
        </w:rPr>
        <w:t>0,00</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1"/>
        <w:gridCol w:w="2488"/>
        <w:gridCol w:w="2496"/>
      </w:tblGrid>
      <w:tr>
        <w:trPr>
          <w:trHeight w:hRule="atLeast" w:val="300"/>
          <w:cantSplit w:val="false"/>
        </w:trPr>
        <w:tc>
          <w:tcPr>
            <w:tcW w:type="dxa" w:w="3311"/>
            <w:tcBorders>
              <w:top w:val="nil"/>
              <w:left w:val="nil"/>
              <w:bottom w:val="nil"/>
              <w:right w:val="nil"/>
            </w:tcBorders>
            <w:shd w:fill="FFFFFF" w:val="clear"/>
            <w:vAlign w:val="center"/>
          </w:tcPr>
          <w:p>
            <w:pPr>
              <w:pStyle w:val="style60"/>
              <w:rPr>
                <w:b/>
                <w:bCs/>
              </w:rPr>
            </w:pPr>
            <w:r>
              <w:rPr>
                <w:b/>
                <w:bCs/>
              </w:rPr>
              <w:t>Oblasť odbytu</w:t>
            </w:r>
          </w:p>
        </w:tc>
        <w:tc>
          <w:tcPr>
            <w:tcW w:type="dxa" w:w="2488"/>
            <w:tcBorders>
              <w:top w:val="nil"/>
              <w:left w:val="nil"/>
              <w:bottom w:val="nil"/>
              <w:right w:val="nil"/>
            </w:tcBorders>
            <w:shd w:fill="FFFFFF" w:val="clear"/>
            <w:vAlign w:val="center"/>
          </w:tcPr>
          <w:p>
            <w:pPr>
              <w:pStyle w:val="style60"/>
              <w:rPr>
                <w:b/>
                <w:bCs/>
              </w:rPr>
            </w:pPr>
            <w:r>
              <w:rPr>
                <w:b/>
                <w:bCs/>
              </w:rPr>
              <w:t>Bežné účtovné obdobie</w:t>
            </w:r>
          </w:p>
        </w:tc>
        <w:tc>
          <w:tcPr>
            <w:tcW w:type="dxa" w:w="2496"/>
            <w:tcBorders>
              <w:top w:val="nil"/>
              <w:left w:val="nil"/>
              <w:bottom w:val="nil"/>
              <w:right w:val="nil"/>
            </w:tcBorders>
            <w:shd w:fill="FFFFFF" w:val="clear"/>
            <w:vAlign w:val="center"/>
          </w:tcPr>
          <w:p>
            <w:pPr>
              <w:pStyle w:val="style60"/>
              <w:rPr>
                <w:b/>
                <w:bCs/>
              </w:rPr>
            </w:pPr>
            <w:r>
              <w:rPr>
                <w:b/>
                <w:bCs/>
              </w:rPr>
              <w:t>Bezprostredne predchádzajúce</w:t>
            </w:r>
          </w:p>
        </w:tc>
      </w:tr>
      <w:tr>
        <w:trPr>
          <w:trHeight w:hRule="atLeast" w:val="315"/>
          <w:cantSplit w:val="false"/>
        </w:trPr>
        <w:tc>
          <w:tcPr>
            <w:tcW w:type="dxa" w:w="3311"/>
            <w:tcBorders>
              <w:top w:val="nil"/>
              <w:left w:val="nil"/>
              <w:bottom w:val="nil"/>
              <w:right w:val="nil"/>
            </w:tcBorders>
            <w:shd w:fill="FFFFFF" w:val="clear"/>
            <w:vAlign w:val="center"/>
          </w:tcPr>
          <w:p>
            <w:pPr>
              <w:pStyle w:val="style60"/>
              <w:rPr>
                <w:b/>
                <w:bCs/>
              </w:rPr>
            </w:pPr>
            <w:r>
              <w:rPr>
                <w:b/>
                <w:bCs/>
              </w:rPr>
              <w:t> </w:t>
            </w:r>
          </w:p>
        </w:tc>
        <w:tc>
          <w:tcPr>
            <w:tcW w:type="dxa" w:w="2488"/>
            <w:tcBorders>
              <w:top w:val="nil"/>
              <w:left w:val="nil"/>
              <w:bottom w:val="nil"/>
              <w:right w:val="nil"/>
            </w:tcBorders>
            <w:shd w:fill="FFFFFF" w:val="clear"/>
            <w:vAlign w:val="center"/>
          </w:tcPr>
          <w:p>
            <w:pPr>
              <w:pStyle w:val="style60"/>
              <w:rPr>
                <w:b/>
                <w:bCs/>
              </w:rPr>
            </w:pPr>
            <w:r>
              <w:rPr>
                <w:b/>
                <w:bCs/>
              </w:rPr>
              <w:t>účtovné obdobie</w:t>
            </w:r>
          </w:p>
        </w:tc>
        <w:tc>
          <w:tcPr>
            <w:tcW w:type="dxa" w:w="2496"/>
            <w:tcBorders>
              <w:top w:val="nil"/>
              <w:left w:val="nil"/>
              <w:bottom w:val="nil"/>
              <w:right w:val="nil"/>
            </w:tcBorders>
            <w:shd w:fill="FFFFFF" w:val="clear"/>
            <w:vAlign w:val="center"/>
          </w:tcPr>
          <w:p>
            <w:pPr>
              <w:pStyle w:val="style60"/>
              <w:rPr>
                <w:b/>
                <w:bCs/>
              </w:rPr>
            </w:pPr>
            <w:r>
              <w:rPr>
                <w:b/>
                <w:bCs/>
              </w:rPr>
              <w:t>účtovné obdobie</w:t>
            </w:r>
          </w:p>
        </w:tc>
      </w:tr>
      <w:tr>
        <w:trPr>
          <w:trHeight w:hRule="atLeast" w:val="315"/>
          <w:cantSplit w:val="false"/>
        </w:trPr>
        <w:tc>
          <w:tcPr>
            <w:tcW w:type="dxa" w:w="3311"/>
            <w:tcBorders>
              <w:top w:val="nil"/>
              <w:left w:val="nil"/>
              <w:bottom w:val="nil"/>
              <w:right w:val="nil"/>
            </w:tcBorders>
            <w:shd w:fill="FFFFFF" w:val="clear"/>
            <w:vAlign w:val="center"/>
          </w:tcPr>
          <w:p>
            <w:pPr>
              <w:pStyle w:val="style60"/>
              <w:rPr/>
            </w:pPr>
            <w:r>
              <w:rPr/>
              <w:t>Predaj služieb:</w:t>
            </w:r>
          </w:p>
        </w:tc>
        <w:tc>
          <w:tcPr>
            <w:tcW w:type="dxa" w:w="2488"/>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Predaj služieb – z toho:</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 Obchodné zastúpenie</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 Hostingové služby</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Tržby z predaja IM</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Bankové úrokx</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1"/>
            <w:tcBorders>
              <w:top w:val="nil"/>
              <w:left w:val="nil"/>
              <w:bottom w:val="nil"/>
              <w:right w:val="nil"/>
            </w:tcBorders>
            <w:shd w:fill="FFFFFF" w:val="clear"/>
            <w:vAlign w:val="center"/>
          </w:tcPr>
          <w:p>
            <w:pPr>
              <w:pStyle w:val="style60"/>
              <w:rPr/>
            </w:pPr>
            <w:r>
              <w:rPr/>
              <w:t>Úroky z omeškania</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15"/>
          <w:cantSplit w:val="false"/>
        </w:trPr>
        <w:tc>
          <w:tcPr>
            <w:tcW w:type="dxa" w:w="3311"/>
            <w:tcBorders>
              <w:top w:val="nil"/>
              <w:left w:val="nil"/>
              <w:bottom w:val="nil"/>
              <w:right w:val="nil"/>
            </w:tcBorders>
            <w:shd w:fill="FFFFFF" w:val="clear"/>
            <w:vAlign w:val="center"/>
          </w:tcPr>
          <w:p>
            <w:pPr>
              <w:pStyle w:val="style60"/>
              <w:rPr/>
            </w:pPr>
            <w:r>
              <w:rPr/>
              <w:t> </w:t>
            </w:r>
          </w:p>
        </w:tc>
        <w:tc>
          <w:tcPr>
            <w:tcW w:type="dxa" w:w="2488"/>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15"/>
          <w:cantSplit w:val="false"/>
        </w:trPr>
        <w:tc>
          <w:tcPr>
            <w:tcW w:type="dxa" w:w="3311"/>
            <w:tcBorders>
              <w:top w:val="nil"/>
              <w:left w:val="nil"/>
              <w:bottom w:val="nil"/>
              <w:right w:val="nil"/>
            </w:tcBorders>
            <w:shd w:fill="FFFFFF" w:val="clear"/>
            <w:vAlign w:val="center"/>
          </w:tcPr>
          <w:p>
            <w:pPr>
              <w:pStyle w:val="style60"/>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0"/>
              <w:jc w:val="center"/>
              <w:rPr>
                <w:b/>
                <w:bCs/>
                <w:sz w:val="18"/>
                <w:szCs w:val="18"/>
              </w:rPr>
            </w:pPr>
            <w:r>
              <w:rPr>
                <w:b/>
                <w:bCs/>
                <w:sz w:val="18"/>
                <w:szCs w:val="18"/>
              </w:rPr>
              <w:t>0</w:t>
            </w:r>
          </w:p>
        </w:tc>
        <w:tc>
          <w:tcPr>
            <w:tcW w:type="dxa" w:w="2496"/>
            <w:tcBorders>
              <w:top w:val="nil"/>
              <w:left w:val="nil"/>
              <w:bottom w:val="nil"/>
              <w:right w:val="nil"/>
            </w:tcBorders>
            <w:shd w:fill="FFFFFF" w:val="clear"/>
            <w:vAlign w:val="center"/>
          </w:tcPr>
          <w:p>
            <w:pPr>
              <w:pStyle w:val="style60"/>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2017 spoločnosť dosiahla celkové náklady vo výške   </w:t>
      </w:r>
      <w:r>
        <w:rPr>
          <w:b/>
          <w:bCs/>
          <w:sz w:val="16"/>
          <w:szCs w:val="16"/>
        </w:rPr>
        <w:t>319</w:t>
      </w:r>
      <w:r>
        <w:rPr>
          <w:b/>
          <w:bCs/>
          <w:sz w:val="16"/>
          <w:szCs w:val="16"/>
        </w:rPr>
        <w:t>,00 €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7"/>
        <w:gridCol w:w="2496"/>
        <w:gridCol w:w="2496"/>
      </w:tblGrid>
      <w:tr>
        <w:trPr>
          <w:trHeight w:hRule="atLeast" w:val="300"/>
          <w:cantSplit w:val="false"/>
        </w:trPr>
        <w:tc>
          <w:tcPr>
            <w:tcW w:type="dxa" w:w="3317"/>
            <w:tcBorders>
              <w:top w:val="nil"/>
              <w:left w:val="nil"/>
              <w:bottom w:val="nil"/>
              <w:right w:val="nil"/>
            </w:tcBorders>
            <w:shd w:fill="FFFFFF" w:val="clear"/>
            <w:vAlign w:val="center"/>
          </w:tcPr>
          <w:p>
            <w:pPr>
              <w:pStyle w:val="style60"/>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0"/>
              <w:rPr>
                <w:b/>
                <w:bCs/>
                <w:sz w:val="16"/>
                <w:szCs w:val="16"/>
              </w:rPr>
            </w:pPr>
            <w:r>
              <w:rPr>
                <w:b/>
                <w:bCs/>
                <w:sz w:val="16"/>
                <w:szCs w:val="16"/>
              </w:rPr>
              <w:t>Bežné účtovné obdobie</w:t>
            </w:r>
          </w:p>
        </w:tc>
        <w:tc>
          <w:tcPr>
            <w:tcW w:type="dxa" w:w="2496"/>
            <w:tcBorders>
              <w:top w:val="nil"/>
              <w:left w:val="nil"/>
              <w:bottom w:val="nil"/>
              <w:right w:val="nil"/>
            </w:tcBorders>
            <w:shd w:fill="FFFFFF" w:val="clear"/>
            <w:vAlign w:val="center"/>
          </w:tcPr>
          <w:p>
            <w:pPr>
              <w:pStyle w:val="style60"/>
              <w:rPr>
                <w:b/>
                <w:bCs/>
                <w:sz w:val="16"/>
                <w:szCs w:val="16"/>
              </w:rPr>
            </w:pPr>
            <w:r>
              <w:rPr>
                <w:b/>
                <w:bCs/>
                <w:sz w:val="16"/>
                <w:szCs w:val="16"/>
              </w:rPr>
              <w:t>Bezprostredne predchádzajúce</w:t>
            </w:r>
          </w:p>
        </w:tc>
      </w:tr>
      <w:tr>
        <w:trPr>
          <w:trHeight w:hRule="atLeast" w:val="315"/>
          <w:cantSplit w:val="false"/>
        </w:trPr>
        <w:tc>
          <w:tcPr>
            <w:tcW w:type="dxa" w:w="3317"/>
            <w:tcBorders>
              <w:top w:val="nil"/>
              <w:left w:val="nil"/>
              <w:bottom w:val="nil"/>
              <w:right w:val="nil"/>
            </w:tcBorders>
            <w:shd w:fill="FFFFFF" w:val="clear"/>
            <w:vAlign w:val="center"/>
          </w:tcPr>
          <w:p>
            <w:pPr>
              <w:pStyle w:val="style60"/>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0"/>
              <w:rPr>
                <w:b/>
                <w:bCs/>
                <w:sz w:val="16"/>
                <w:szCs w:val="16"/>
              </w:rPr>
            </w:pPr>
            <w:r>
              <w:rPr>
                <w:b/>
                <w:bCs/>
                <w:sz w:val="16"/>
                <w:szCs w:val="16"/>
              </w:rPr>
              <w:t>účtovné obdobie</w:t>
            </w:r>
          </w:p>
        </w:tc>
        <w:tc>
          <w:tcPr>
            <w:tcW w:type="dxa" w:w="2496"/>
            <w:tcBorders>
              <w:top w:val="nil"/>
              <w:left w:val="nil"/>
              <w:bottom w:val="nil"/>
              <w:right w:val="nil"/>
            </w:tcBorders>
            <w:shd w:fill="FFFFFF" w:val="clear"/>
            <w:vAlign w:val="center"/>
          </w:tcPr>
          <w:p>
            <w:pPr>
              <w:pStyle w:val="style60"/>
              <w:rPr>
                <w:b/>
                <w:bCs/>
                <w:sz w:val="16"/>
                <w:szCs w:val="16"/>
              </w:rPr>
            </w:pPr>
            <w:r>
              <w:rPr>
                <w:b/>
                <w:bCs/>
                <w:sz w:val="16"/>
                <w:szCs w:val="16"/>
              </w:rPr>
              <w:t>účtovné obdobie</w:t>
            </w:r>
          </w:p>
        </w:tc>
      </w:tr>
      <w:tr>
        <w:trPr>
          <w:trHeight w:hRule="atLeast" w:val="315"/>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0"/>
              <w:rPr/>
            </w:pPr>
            <w:r>
              <w:rPr/>
            </w:r>
          </w:p>
        </w:tc>
        <w:tc>
          <w:tcPr>
            <w:tcW w:type="dxa" w:w="2496"/>
            <w:tcBorders>
              <w:top w:val="nil"/>
              <w:left w:val="nil"/>
              <w:bottom w:val="nil"/>
              <w:right w:val="nil"/>
            </w:tcBorders>
            <w:shd w:fill="FFFFFF" w:val="clear"/>
            <w:vAlign w:val="center"/>
          </w:tcPr>
          <w:p>
            <w:pPr>
              <w:pStyle w:val="style60"/>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0"/>
              <w:jc w:val="center"/>
              <w:rPr/>
            </w:pPr>
            <w:r>
              <w:rPr/>
              <w:t>319</w:t>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00"/>
          <w:cantSplit w:val="false"/>
        </w:trPr>
        <w:tc>
          <w:tcPr>
            <w:tcW w:type="dxa" w:w="3317"/>
            <w:tcBorders>
              <w:top w:val="nil"/>
              <w:left w:val="nil"/>
              <w:bottom w:val="nil"/>
              <w:right w:val="nil"/>
            </w:tcBorders>
            <w:shd w:fill="FFFFFF" w:val="clear"/>
            <w:vAlign w:val="center"/>
          </w:tcPr>
          <w:p>
            <w:pPr>
              <w:pStyle w:val="style60"/>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3317"/>
            <w:tcBorders>
              <w:top w:val="nil"/>
              <w:left w:val="nil"/>
              <w:bottom w:val="nil"/>
              <w:right w:val="nil"/>
            </w:tcBorders>
            <w:shd w:fill="FFFFFF" w:val="clear"/>
            <w:vAlign w:val="center"/>
          </w:tcPr>
          <w:p>
            <w:pPr>
              <w:pStyle w:val="style60"/>
              <w:rPr/>
            </w:pPr>
            <w:r>
              <w:rPr/>
              <w:t> </w:t>
            </w:r>
          </w:p>
        </w:tc>
        <w:tc>
          <w:tcPr>
            <w:tcW w:type="dxa" w:w="2496"/>
            <w:tcBorders>
              <w:top w:val="nil"/>
              <w:left w:val="nil"/>
              <w:bottom w:val="nil"/>
              <w:right w:val="nil"/>
            </w:tcBorders>
            <w:shd w:fill="FFFFFF" w:val="clear"/>
            <w:vAlign w:val="center"/>
          </w:tcPr>
          <w:p>
            <w:pPr>
              <w:pStyle w:val="style60"/>
              <w:jc w:val="center"/>
              <w:rPr/>
            </w:pPr>
            <w:r>
              <w:rPr/>
            </w:r>
          </w:p>
        </w:tc>
        <w:tc>
          <w:tcPr>
            <w:tcW w:type="dxa" w:w="2496"/>
            <w:tcBorders>
              <w:top w:val="nil"/>
              <w:left w:val="nil"/>
              <w:bottom w:val="nil"/>
              <w:right w:val="nil"/>
            </w:tcBorders>
            <w:shd w:fill="FFFFFF" w:val="clear"/>
            <w:vAlign w:val="center"/>
          </w:tcPr>
          <w:p>
            <w:pPr>
              <w:pStyle w:val="style60"/>
              <w:jc w:val="center"/>
              <w:rPr/>
            </w:pPr>
            <w:r>
              <w:rPr/>
            </w:r>
          </w:p>
        </w:tc>
      </w:tr>
      <w:tr>
        <w:trPr>
          <w:trHeight w:hRule="atLeast" w:val="315"/>
          <w:cantSplit w:val="false"/>
        </w:trPr>
        <w:tc>
          <w:tcPr>
            <w:tcW w:type="dxa" w:w="3317"/>
            <w:tcBorders>
              <w:top w:val="nil"/>
              <w:left w:val="nil"/>
              <w:bottom w:val="nil"/>
              <w:right w:val="nil"/>
            </w:tcBorders>
            <w:shd w:fill="FFFFFF" w:val="clear"/>
            <w:vAlign w:val="center"/>
          </w:tcPr>
          <w:p>
            <w:pPr>
              <w:pStyle w:val="style60"/>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0"/>
              <w:jc w:val="center"/>
              <w:rPr>
                <w:b/>
                <w:bCs/>
                <w:sz w:val="18"/>
                <w:szCs w:val="18"/>
              </w:rPr>
            </w:pPr>
            <w:r>
              <w:rPr>
                <w:b/>
                <w:bCs/>
                <w:sz w:val="18"/>
                <w:szCs w:val="18"/>
              </w:rPr>
              <w:t>319</w:t>
            </w:r>
          </w:p>
        </w:tc>
        <w:tc>
          <w:tcPr>
            <w:tcW w:type="dxa" w:w="2496"/>
            <w:tcBorders>
              <w:top w:val="nil"/>
              <w:left w:val="nil"/>
              <w:bottom w:val="nil"/>
              <w:right w:val="nil"/>
            </w:tcBorders>
            <w:shd w:fill="FFFFFF" w:val="clear"/>
            <w:vAlign w:val="center"/>
          </w:tcPr>
          <w:p>
            <w:pPr>
              <w:pStyle w:val="style60"/>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2017 účtovaná iba daňová licencia v celkovej čiastke </w:t>
      </w:r>
      <w:r>
        <w:rPr>
          <w:rFonts w:ascii="Calibri" w:cs="Arial" w:eastAsia="Times New Roman" w:hAnsi="Calibri"/>
          <w:b/>
          <w:bCs/>
          <w:iCs/>
          <w:color w:val="000000"/>
          <w:sz w:val="20"/>
          <w:szCs w:val="20"/>
        </w:rPr>
        <w:t>200</w:t>
      </w:r>
      <w:r>
        <w:rPr>
          <w:rFonts w:ascii="Calibri" w:cs="Arial" w:eastAsia="Times New Roman" w:hAnsi="Calibri"/>
          <w:b/>
          <w:bCs/>
          <w:iCs/>
          <w:color w:val="000000"/>
          <w:sz w:val="20"/>
          <w:szCs w:val="20"/>
        </w:rPr>
        <w:t>,00</w:t>
      </w:r>
      <w:r>
        <w:rPr>
          <w:rFonts w:ascii="Calibri" w:cs="Arial" w:eastAsia="Times New Roman" w:hAnsi="Calibri"/>
          <w:b w:val="false"/>
          <w:bCs w:val="false"/>
          <w:iCs/>
          <w:color w:val="000000"/>
          <w:sz w:val="20"/>
          <w:szCs w:val="20"/>
        </w:rPr>
        <w:t xml:space="preserve"> €</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5"/>
        <w:gridCol w:w="885"/>
        <w:gridCol w:w="1033"/>
        <w:gridCol w:w="797"/>
        <w:gridCol w:w="924"/>
        <w:gridCol w:w="1139"/>
      </w:tblGrid>
      <w:tr>
        <w:trPr>
          <w:cantSplit w:val="false"/>
        </w:trPr>
        <w:tc>
          <w:tcPr>
            <w:tcW w:type="dxa" w:w="4295"/>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5"/>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7"/>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39"/>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5"/>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5"/>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w:t>
            </w:r>
            <w:r>
              <w:rPr>
                <w:rFonts w:cs="Times New Roman" w:eastAsia="Times New Roman"/>
                <w:b/>
                <w:bCs/>
                <w:i/>
                <w:iCs/>
                <w:color w:val="00000A"/>
                <w:sz w:val="20"/>
                <w:szCs w:val="20"/>
                <w:lang w:eastAsia="sk-SK"/>
              </w:rPr>
              <w:t>6</w:t>
            </w:r>
          </w:p>
        </w:tc>
        <w:tc>
          <w:tcPr>
            <w:tcW w:type="dxa" w:w="103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7"/>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39"/>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w:t>
            </w:r>
            <w:r>
              <w:rPr>
                <w:rFonts w:cs="Times New Roman" w:eastAsia="Times New Roman"/>
                <w:b/>
                <w:bCs/>
                <w:i/>
                <w:iCs/>
                <w:color w:val="00000A"/>
                <w:sz w:val="20"/>
                <w:szCs w:val="20"/>
                <w:lang w:eastAsia="sk-SK"/>
              </w:rPr>
              <w:t>7</w:t>
            </w:r>
          </w:p>
        </w:tc>
      </w:tr>
      <w:tr>
        <w:trPr>
          <w:cantSplit w:val="false"/>
        </w:trPr>
        <w:tc>
          <w:tcPr>
            <w:tcW w:type="dxa" w:w="4295"/>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5"/>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5000</w:t>
            </w:r>
          </w:p>
        </w:tc>
        <w:tc>
          <w:tcPr>
            <w:tcW w:type="dxa" w:w="797"/>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 xml:space="preserve"> 5000</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9"/>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5"/>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5"/>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7"/>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39"/>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V Nižnej, dňa 25.02.2018</w:t>
      </w:r>
    </w:p>
    <w:p>
      <w:pPr>
        <w:pStyle w:val="style0"/>
        <w:rPr>
          <w:rFonts w:cs="Arial"/>
          <w:bCs/>
          <w:sz w:val="20"/>
          <w:szCs w:val="20"/>
          <w:u w:val="none"/>
        </w:rPr>
      </w:pPr>
      <w:r>
        <w:rPr>
          <w:rFonts w:cs="Arial"/>
          <w:bCs/>
          <w:sz w:val="20"/>
          <w:szCs w:val="20"/>
          <w:u w:val="none"/>
        </w:rPr>
        <w:t>Jozef Kubica</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85196" w:linePitch="586"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49"/>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paragraph">
    <w:name w:val="Nadpis"/>
    <w:basedOn w:val="style0"/>
    <w:next w:val="style45"/>
    <w:pPr>
      <w:keepNext/>
      <w:spacing w:after="120" w:before="240"/>
      <w:contextualSpacing w:val="false"/>
    </w:pPr>
    <w:rPr>
      <w:rFonts w:ascii="Arial" w:cs="Mangal" w:eastAsia="Microsoft YaHei" w:hAnsi="Arial"/>
      <w:sz w:val="28"/>
      <w:szCs w:val="28"/>
    </w:rPr>
  </w:style>
  <w:style w:styleId="style45" w:type="paragraph">
    <w:name w:val="Telo textu"/>
    <w:basedOn w:val="style0"/>
    <w:next w:val="style45"/>
    <w:pPr>
      <w:spacing w:after="120" w:before="0"/>
      <w:contextualSpacing w:val="false"/>
    </w:pPr>
    <w:rPr>
      <w:sz w:val="24"/>
      <w:lang w:eastAsia="sk-SK" w:val="cs-CZ"/>
    </w:rPr>
  </w:style>
  <w:style w:styleId="style46" w:type="paragraph">
    <w:name w:val="Zoznam"/>
    <w:basedOn w:val="style45"/>
    <w:next w:val="style46"/>
    <w:pPr/>
    <w:rPr>
      <w:rFonts w:cs="Mangal"/>
    </w:rPr>
  </w:style>
  <w:style w:styleId="style47" w:type="paragraph">
    <w:name w:val="Popis"/>
    <w:basedOn w:val="style0"/>
    <w:next w:val="style47"/>
    <w:pPr>
      <w:suppressLineNumbers/>
      <w:spacing w:after="120" w:before="120"/>
      <w:contextualSpacing w:val="false"/>
    </w:pPr>
    <w:rPr>
      <w:rFonts w:cs="Mangal"/>
      <w:i/>
      <w:iCs/>
      <w:sz w:val="24"/>
      <w:szCs w:val="24"/>
    </w:rPr>
  </w:style>
  <w:style w:styleId="style48" w:type="paragraph">
    <w:name w:val="Index"/>
    <w:basedOn w:val="style0"/>
    <w:next w:val="style48"/>
    <w:pPr>
      <w:suppressLineNumbers/>
    </w:pPr>
    <w:rPr>
      <w:rFonts w:cs="Mangal"/>
    </w:rPr>
  </w:style>
  <w:style w:styleId="style49" w:type="paragraph">
    <w:name w:val="Hlavička"/>
    <w:basedOn w:val="style0"/>
    <w:next w:val="style49"/>
    <w:pPr>
      <w:tabs>
        <w:tab w:leader="none" w:pos="4536" w:val="center"/>
        <w:tab w:leader="none" w:pos="9072" w:val="right"/>
      </w:tabs>
    </w:pPr>
    <w:rPr>
      <w:b/>
    </w:rPr>
  </w:style>
  <w:style w:styleId="style50" w:type="paragraph">
    <w:name w:val="Päta"/>
    <w:basedOn w:val="style0"/>
    <w:next w:val="style50"/>
    <w:pPr>
      <w:tabs>
        <w:tab w:leader="none" w:pos="4703" w:val="center"/>
        <w:tab w:leader="none" w:pos="9406" w:val="right"/>
      </w:tabs>
    </w:pPr>
    <w:rPr/>
  </w:style>
  <w:style w:styleId="style51" w:type="paragraph">
    <w:name w:val="Balloon Text"/>
    <w:basedOn w:val="style0"/>
    <w:next w:val="style51"/>
    <w:pPr/>
    <w:rPr>
      <w:rFonts w:ascii="Tahoma" w:cs="Tahoma" w:hAnsi="Tahoma"/>
      <w:sz w:val="16"/>
      <w:szCs w:val="16"/>
    </w:rPr>
  </w:style>
  <w:style w:styleId="style52" w:type="paragraph">
    <w:name w:val="annotation text"/>
    <w:basedOn w:val="style0"/>
    <w:next w:val="style52"/>
    <w:pPr/>
    <w:rPr>
      <w:sz w:val="20"/>
    </w:rPr>
  </w:style>
  <w:style w:styleId="style53" w:type="paragraph">
    <w:name w:val="annotation subject"/>
    <w:basedOn w:val="style52"/>
    <w:next w:val="style53"/>
    <w:pPr/>
    <w:rPr>
      <w:b/>
      <w:bCs/>
    </w:rPr>
  </w:style>
  <w:style w:styleId="style54" w:type="paragraph">
    <w:name w:val="table header"/>
    <w:basedOn w:val="style0"/>
    <w:next w:val="style54"/>
    <w:pPr>
      <w:jc w:val="center"/>
    </w:pPr>
    <w:rPr>
      <w:rFonts w:ascii="Times New Roman Bold" w:hAnsi="Times New Roman Bold"/>
      <w:b/>
      <w:i/>
      <w:sz w:val="20"/>
      <w:lang w:eastAsia="sk-SK"/>
    </w:rPr>
  </w:style>
  <w:style w:styleId="style55" w:type="paragraph">
    <w:name w:val="Revision"/>
    <w:next w:val="style55"/>
    <w:pPr>
      <w:widowControl/>
      <w:suppressAutoHyphens w:val="true"/>
    </w:pPr>
    <w:rPr>
      <w:rFonts w:ascii="Verdana" w:cs="Times New Roman" w:eastAsia="Times New Roman" w:hAnsi="Verdana"/>
      <w:color w:val="00000A"/>
      <w:sz w:val="17"/>
      <w:szCs w:val="20"/>
      <w:lang w:bidi="ar-SA" w:eastAsia="en-US" w:val="sk-SK"/>
    </w:rPr>
  </w:style>
  <w:style w:styleId="style56" w:type="paragraph">
    <w:name w:val="List Paragraph"/>
    <w:basedOn w:val="style0"/>
    <w:next w:val="style56"/>
    <w:pPr>
      <w:ind w:hanging="0" w:left="708" w:right="0"/>
    </w:pPr>
    <w:rPr/>
  </w:style>
  <w:style w:styleId="style57" w:type="paragraph">
    <w:name w:val="Citácie"/>
    <w:basedOn w:val="style0"/>
    <w:next w:val="style57"/>
    <w:pPr/>
    <w:rPr/>
  </w:style>
  <w:style w:styleId="style58" w:type="paragraph">
    <w:name w:val="Názov"/>
    <w:basedOn w:val="style44"/>
    <w:next w:val="style58"/>
    <w:pPr/>
    <w:rPr/>
  </w:style>
  <w:style w:styleId="style59" w:type="paragraph">
    <w:name w:val="Podnázov"/>
    <w:basedOn w:val="style44"/>
    <w:next w:val="style59"/>
    <w:pPr/>
    <w:rPr/>
  </w:style>
  <w:style w:styleId="style60" w:type="paragraph">
    <w:name w:val="Obsah tabuľky"/>
    <w:basedOn w:val="style0"/>
    <w:next w:val="style60"/>
    <w:pPr/>
    <w:rPr/>
  </w:style>
  <w:style w:styleId="style61" w:type="paragraph">
    <w:name w:val="Nadpis tabuľky"/>
    <w:basedOn w:val="style60"/>
    <w:next w:val="style61"/>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