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67E2D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6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6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67E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67E2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67E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67E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67E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k poslednému dňu zdaňovacieho obdobia za predpokladu, že bude nepretržite pokračovať vo svojej činnosti.</w:t>
      </w:r>
    </w:p>
    <w:p w:rsidR="00F67E2D" w:rsidRPr="00A55E63" w:rsidRDefault="00F67E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67E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so zostaveným odpisovým plánom, pričom daňové a účtovné odpisy sa rovnajú a majetok je odpisovaný rovnomerne.</w:t>
      </w:r>
    </w:p>
    <w:p w:rsidR="00F67E2D" w:rsidRPr="00A55E63" w:rsidRDefault="00F67E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F67E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všetky podmienky pre zatriedenie do tejto kategórie.</w:t>
      </w:r>
    </w:p>
    <w:p w:rsidR="00F67E2D" w:rsidRPr="00A55E63" w:rsidRDefault="00F67E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F67E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F67E2D" w:rsidRPr="00A55E63" w:rsidRDefault="00F67E2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67E2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 významných opravách chýb minulých období.</w:t>
      </w:r>
    </w:p>
    <w:p w:rsidR="00F67E2D" w:rsidRPr="00A55E63" w:rsidRDefault="00F67E2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F67E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o výnosoch,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67E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dlhodobé záväzky z obchodného styku. Krátkodobé záväzky z obchodného styku boli k 31.12.2017 vo výške 417,99 Eur, záväzky voči daňovému úradu 1 665,42 Eur, záväzky voči sociálnej poisťovni 149,42 Eur, voči všeobecnej zdravotnej poisťovni 60,90 Eur – všetky tieto záväzky sú v lehote splatnosti.</w:t>
      </w:r>
    </w:p>
    <w:p w:rsidR="00F67E2D" w:rsidRDefault="00F67E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67E2D" w:rsidRDefault="00F67E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Pohľadávky v lehote splatnosti boli vo výške 441,20 Eur, </w:t>
      </w:r>
      <w:proofErr w:type="spellStart"/>
      <w:r>
        <w:rPr>
          <w:rFonts w:ascii="Arial" w:hAnsi="Arial" w:cs="Arial"/>
          <w:sz w:val="22"/>
          <w:szCs w:val="22"/>
        </w:rPr>
        <w:t>zbytok</w:t>
      </w:r>
      <w:proofErr w:type="spellEnd"/>
      <w:r>
        <w:rPr>
          <w:rFonts w:ascii="Arial" w:hAnsi="Arial" w:cs="Arial"/>
          <w:sz w:val="22"/>
          <w:szCs w:val="22"/>
        </w:rPr>
        <w:t xml:space="preserve"> pohľadávok z obchodného styku boli po lehote splatnosti. Opravná položka bola tvorená vo výške 20 % z nominálnej hodnoty pohľadávky 16071.</w:t>
      </w:r>
    </w:p>
    <w:p w:rsidR="00F67E2D" w:rsidRDefault="00F67E2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7E13" w:rsidRDefault="00007E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26 449,70 Eur, celkové náklady včítane daňovej licencie 35 209,69 Eur – dosiahnutá účtovná strata vo výške 8 759,99 Eur. Táto mala negatívny vplyv na výšku vlastného imania spoločnosti.</w:t>
      </w:r>
    </w:p>
    <w:p w:rsidR="00007E13" w:rsidRDefault="00007E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7E13" w:rsidRPr="00A55E63" w:rsidRDefault="00007E1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položky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účtovná jednotka obsahovú náplň.</w:t>
      </w:r>
    </w:p>
    <w:sectPr w:rsidR="00007E13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D1D" w:rsidRDefault="00FC2D1D">
      <w:r>
        <w:separator/>
      </w:r>
    </w:p>
  </w:endnote>
  <w:endnote w:type="continuationSeparator" w:id="0">
    <w:p w:rsidR="00FC2D1D" w:rsidRDefault="00FC2D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C159D">
    <w:pPr>
      <w:spacing w:line="200" w:lineRule="exact"/>
      <w:rPr>
        <w:sz w:val="20"/>
        <w:szCs w:val="20"/>
      </w:rPr>
    </w:pPr>
    <w:r w:rsidRPr="001C159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159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159D">
                  <w:fldChar w:fldCharType="separate"/>
                </w:r>
                <w:r w:rsidR="00007E13">
                  <w:rPr>
                    <w:rFonts w:cs="Times New Roman"/>
                    <w:noProof/>
                  </w:rPr>
                  <w:t>2</w:t>
                </w:r>
                <w:r w:rsidR="001C159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D1D" w:rsidRDefault="00FC2D1D">
      <w:r>
        <w:separator/>
      </w:r>
    </w:p>
  </w:footnote>
  <w:footnote w:type="continuationSeparator" w:id="0">
    <w:p w:rsidR="00FC2D1D" w:rsidRDefault="00FC2D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7E2D">
      <w:rPr>
        <w:rFonts w:ascii="Arial" w:hAnsi="Arial" w:cs="Arial"/>
        <w:sz w:val="22"/>
        <w:szCs w:val="22"/>
        <w:bdr w:val="single" w:sz="4" w:space="0" w:color="auto"/>
      </w:rPr>
      <w:t>43806767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7E2D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7E13"/>
    <w:rsid w:val="001406AD"/>
    <w:rsid w:val="001954B3"/>
    <w:rsid w:val="001C159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67E2D"/>
    <w:rsid w:val="00F817B0"/>
    <w:rsid w:val="00FC2D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671</Words>
  <Characters>3829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2018-03-06T18:51:00Z</cp:lastPrinted>
  <dcterms:created xsi:type="dcterms:W3CDTF">2018-03-06T18:51:00Z</dcterms:created>
  <dcterms:modified xsi:type="dcterms:W3CDTF">2018-03-06T18:51:00Z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