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3544" w:leader="none"/>
        </w:tabs>
        <w:spacing w:before="0" w:after="0" w:line="298"/>
        <w:ind w:right="7367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</w:p>
    <w:p>
      <w:pPr>
        <w:tabs>
          <w:tab w:val="left" w:pos="3544" w:leader="none"/>
        </w:tabs>
        <w:spacing w:before="0" w:after="0" w:line="298"/>
        <w:ind w:right="900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Poznámky  Ú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č M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ÚJ 3-01                        I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ČO 36642720                       DIČ 2022077849</w:t>
      </w:r>
    </w:p>
    <w:p>
      <w:pPr>
        <w:spacing w:before="0" w:after="0" w:line="298"/>
        <w:ind w:right="9578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</w:p>
    <w:p>
      <w:pPr>
        <w:spacing w:before="0" w:after="0" w:line="298"/>
        <w:ind w:right="9578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         </w:t>
      </w:r>
    </w:p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1. 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é údaje</w:t>
      </w:r>
    </w:p>
    <w:p>
      <w:pPr>
        <w:tabs>
          <w:tab w:val="left" w:pos="3544" w:leader="none"/>
        </w:tabs>
        <w:spacing w:before="0" w:after="0" w:line="298"/>
        <w:ind w:right="7367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MUDr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.</w:t>
      </w:r>
    </w:p>
    <w:p>
      <w:pPr>
        <w:tabs>
          <w:tab w:val="left" w:pos="3544" w:leader="none"/>
        </w:tabs>
        <w:spacing w:before="0" w:after="0" w:line="298"/>
        <w:ind w:right="7367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BLECHA s.r.o.       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br/>
        <w:t xml:space="preserve">Kyjevské nám. 8, 97404, Banská Bystrica</w:t>
      </w:r>
    </w:p>
    <w:p>
      <w:pPr>
        <w:tabs>
          <w:tab w:val="left" w:pos="3544" w:leader="none"/>
        </w:tabs>
        <w:spacing w:before="0" w:after="0" w:line="298"/>
        <w:ind w:right="7367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</w:p>
    <w:p>
      <w:pPr>
        <w:spacing w:before="0" w:after="328" w:line="240"/>
        <w:ind w:right="0" w:left="1320" w:hanging="126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Informácie o konsolidovanom celku</w:t>
      </w:r>
    </w:p>
    <w:p>
      <w:pPr>
        <w:spacing w:before="0" w:after="0" w:line="240"/>
        <w:ind w:right="0" w:left="1320" w:hanging="1260"/>
        <w:jc w:val="left"/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FFFFFF" w:val="clear"/>
        </w:rPr>
        <w:t xml:space="preserve"> nie je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s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časťou konsolidovan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ého celku inej obchodnej spolo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čnosti.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3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auto"/>
          <w:spacing w:val="3"/>
          <w:position w:val="0"/>
          <w:sz w:val="19"/>
          <w:shd w:fill="auto" w:val="clear"/>
        </w:rPr>
        <w:t xml:space="preserve">Údaje o po</w:t>
      </w:r>
      <w:r>
        <w:rPr>
          <w:rFonts w:ascii="Calibri" w:hAnsi="Calibri" w:cs="Calibri" w:eastAsia="Calibri"/>
          <w:color w:val="auto"/>
          <w:spacing w:val="3"/>
          <w:position w:val="0"/>
          <w:sz w:val="19"/>
          <w:shd w:fill="auto" w:val="clear"/>
        </w:rPr>
        <w:t xml:space="preserve">čte zamestnancov:</w:t>
      </w:r>
    </w:p>
    <w:tbl>
      <w:tblPr/>
      <w:tblGrid>
        <w:gridCol w:w="4824"/>
        <w:gridCol w:w="4955"/>
      </w:tblGrid>
      <w:tr>
        <w:trPr>
          <w:trHeight w:val="298" w:hRule="auto"/>
          <w:jc w:val="left"/>
        </w:trPr>
        <w:tc>
          <w:tcPr>
            <w:tcW w:w="4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178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žky</w:t>
            </w:r>
          </w:p>
        </w:tc>
        <w:tc>
          <w:tcPr>
            <w:tcW w:w="49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2640" w:firstLine="0"/>
              <w:jc w:val="left"/>
              <w:rPr>
                <w:rFonts w:ascii="Calibri" w:hAnsi="Calibri" w:cs="Calibri" w:eastAsia="Calibri"/>
                <w:position w:val="0"/>
              </w:rPr>
            </w:pPr>
            <w:r>
              <w:rPr>
                <w:rFonts w:ascii="Calibri" w:hAnsi="Calibri" w:cs="Calibri" w:eastAsia="Calibri"/>
                <w:color w:val="000000"/>
                <w:spacing w:val="3"/>
                <w:position w:val="0"/>
                <w:sz w:val="20"/>
                <w:shd w:fill="auto" w:val="clear"/>
              </w:rPr>
              <w:t xml:space="preserve">201</w:t>
            </w:r>
            <w:r>
              <w:rPr>
                <w:rFonts w:ascii="Calibri" w:hAnsi="Calibri" w:cs="Calibri" w:eastAsia="Calibri"/>
                <w:color w:val="000000"/>
                <w:spacing w:val="3"/>
                <w:position w:val="0"/>
                <w:sz w:val="20"/>
                <w:shd w:fill="auto" w:val="clear"/>
              </w:rPr>
              <w:t xml:space="preserve">7</w:t>
            </w:r>
          </w:p>
        </w:tc>
      </w:tr>
      <w:tr>
        <w:trPr>
          <w:trHeight w:val="307" w:hRule="auto"/>
          <w:jc w:val="left"/>
        </w:trPr>
        <w:tc>
          <w:tcPr>
            <w:tcW w:w="4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80" w:firstLine="0"/>
              <w:jc w:val="left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č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ítaný po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čet zamestnancov</w:t>
            </w:r>
          </w:p>
        </w:tc>
        <w:tc>
          <w:tcPr>
            <w:tcW w:w="49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284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Predpokladaná doba pou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ívania, metóda odpisovania a odpisová sadzba sú uvedené v tabu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ľke:</w:t>
      </w:r>
    </w:p>
    <w:tbl>
      <w:tblPr/>
      <w:tblGrid>
        <w:gridCol w:w="6245"/>
        <w:gridCol w:w="1464"/>
        <w:gridCol w:w="1421"/>
        <w:gridCol w:w="694"/>
      </w:tblGrid>
      <w:tr>
        <w:trPr>
          <w:trHeight w:val="765" w:hRule="auto"/>
          <w:jc w:val="left"/>
        </w:trPr>
        <w:tc>
          <w:tcPr>
            <w:tcW w:w="6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2720" w:firstLine="0"/>
              <w:jc w:val="left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druh majetku</w:t>
            </w:r>
          </w:p>
        </w:tc>
        <w:tc>
          <w:tcPr>
            <w:tcW w:w="1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Predpokladaná doba pou</w:t>
            </w: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ž</w:t>
            </w: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ívania v rokoch</w:t>
            </w:r>
          </w:p>
        </w:tc>
        <w:tc>
          <w:tcPr>
            <w:tcW w:w="14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160" w:firstLine="0"/>
              <w:jc w:val="left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Metóda odpisovania</w:t>
            </w:r>
          </w:p>
        </w:tc>
        <w:tc>
          <w:tcPr>
            <w:tcW w:w="6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Sadzba ro</w:t>
            </w: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1"/>
                <w:position w:val="0"/>
                <w:sz w:val="14"/>
                <w:shd w:fill="auto" w:val="clear"/>
              </w:rPr>
              <w:t xml:space="preserve">ého odpisu</w:t>
            </w:r>
          </w:p>
        </w:tc>
      </w:tr>
      <w:tr>
        <w:trPr>
          <w:trHeight w:val="293" w:hRule="auto"/>
          <w:jc w:val="left"/>
        </w:trPr>
        <w:tc>
          <w:tcPr>
            <w:tcW w:w="6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40"/>
              <w:ind w:right="0" w:left="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investi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6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1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14305</w:t>
            </w:r>
          </w:p>
        </w:tc>
      </w:tr>
      <w:tr>
        <w:trPr>
          <w:trHeight w:val="525" w:hRule="auto"/>
          <w:jc w:val="left"/>
        </w:trPr>
        <w:tc>
          <w:tcPr>
            <w:tcW w:w="6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40"/>
              <w:ind w:right="0" w:left="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investi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6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1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19"/>
                <w:shd w:fill="auto" w:val="clear"/>
              </w:rPr>
              <w:t xml:space="preserve">0</w:t>
            </w:r>
          </w:p>
        </w:tc>
      </w:tr>
      <w:tr>
        <w:trPr>
          <w:trHeight w:val="302" w:hRule="auto"/>
          <w:jc w:val="left"/>
        </w:trPr>
        <w:tc>
          <w:tcPr>
            <w:tcW w:w="6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2" w:hRule="auto"/>
          <w:jc w:val="left"/>
        </w:trPr>
        <w:tc>
          <w:tcPr>
            <w:tcW w:w="62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3402" w:leader="none"/>
        </w:tabs>
        <w:spacing w:before="0" w:after="200" w:line="240"/>
        <w:ind w:right="5534" w:left="8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auto" w:val="clear"/>
        </w:rPr>
        <w:t xml:space="preserve">2. Informácie o prijatých postupoch</w:t>
      </w:r>
    </w:p>
    <w:p>
      <w:pPr>
        <w:spacing w:before="0" w:after="0" w:line="240"/>
        <w:ind w:right="0" w:left="8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á závierka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19"/>
          <w:shd w:fill="FFFFFF" w:val="clear"/>
        </w:rPr>
        <w:t xml:space="preserve"> bola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zostavená za predpokladu nepretr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žit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ého trvania Spolo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čnosti.</w:t>
      </w:r>
    </w:p>
    <w:p>
      <w:pPr>
        <w:tabs>
          <w:tab w:val="left" w:pos="486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čnosť oceňuje majetok a z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áväzky ku d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ňu uskutočneniu 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ého prípadu.</w:t>
      </w:r>
    </w:p>
    <w:p>
      <w:pPr>
        <w:tabs>
          <w:tab w:val="left" w:pos="486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Ku d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ňu uskutočnenia 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ého prípadu oce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ňovala spoločnosť dlhodob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ý hmotný majetok a finan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ý majetok nadobudnutý kúpou obstarávacou cenou.</w:t>
      </w:r>
    </w:p>
    <w:p>
      <w:pPr>
        <w:tabs>
          <w:tab w:val="left" w:pos="486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Ku d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ňu uskutočnenia 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ého prípadu oce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ňovala spoločnosť menovitou hodnotou pohľad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ávky, záväzky a krátkodobý finan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2"/>
          <w:position w:val="0"/>
          <w:sz w:val="19"/>
          <w:shd w:fill="auto" w:val="clear"/>
        </w:rPr>
        <w:t xml:space="preserve">ý majetok pri ich vzniku.</w:t>
      </w:r>
    </w:p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1</w:t>
      </w:r>
    </w:p>
    <w:p>
      <w:pPr>
        <w:spacing w:before="0" w:after="200" w:line="293"/>
        <w:ind w:right="567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93"/>
        <w:ind w:right="567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Pozn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mky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č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J 3-01                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ČO 36642720                DIČ 2022077849</w:t>
      </w:r>
    </w:p>
    <w:p>
      <w:pPr>
        <w:spacing w:before="0" w:after="200" w:line="293"/>
        <w:ind w:right="567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93"/>
        <w:ind w:right="567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čnosť v sledovanom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čtovnom obdob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í uskuto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čnila nasledovn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 zmenu 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ýc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hm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etód: Zmena typu 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čtovnej z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ávierky- zmena typu 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čtovnej jednotky na Mikro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 </w:t>
      </w:r>
    </w:p>
    <w:p>
      <w:pPr>
        <w:spacing w:before="0" w:after="200" w:line="293"/>
        <w:ind w:right="567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jednotku</w:t>
      </w:r>
    </w:p>
    <w:p>
      <w:pPr>
        <w:numPr>
          <w:ilvl w:val="0"/>
          <w:numId w:val="48"/>
        </w:numPr>
        <w:spacing w:before="0" w:after="200" w:line="293"/>
        <w:ind w:right="2268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Ocenenie DFM (cenných papierov, obchodných podielov)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br/>
        <w:t xml:space="preserve">Neevidujeme cenné papiere</w:t>
      </w:r>
    </w:p>
    <w:p>
      <w:pPr>
        <w:numPr>
          <w:ilvl w:val="0"/>
          <w:numId w:val="48"/>
        </w:numPr>
        <w:spacing w:before="0" w:after="28" w:line="240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Ocenenie zásob (obstaraných kúpou,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činnosťou, inak)</w:t>
      </w:r>
    </w:p>
    <w:p>
      <w:pPr>
        <w:spacing w:before="0" w:after="200" w:line="240"/>
        <w:ind w:right="175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Zásoby sa oce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ňuj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 ni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žšou z nasleduj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úcich hodnôt: obstarávacia cena (nakupované zásoby)</w:t>
      </w:r>
    </w:p>
    <w:p>
      <w:pPr>
        <w:numPr>
          <w:ilvl w:val="0"/>
          <w:numId w:val="51"/>
        </w:numPr>
        <w:tabs>
          <w:tab w:val="left" w:pos="3119" w:leader="none"/>
        </w:tabs>
        <w:spacing w:before="0" w:after="200" w:line="240"/>
        <w:ind w:right="5811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Ocenenie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ávok</w:t>
      </w:r>
    </w:p>
    <w:p>
      <w:pPr>
        <w:spacing w:before="0" w:after="200" w:line="276"/>
        <w:ind w:right="0" w:left="-567" w:firstLine="62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Poh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ľad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ávky pri ich vzniku sa oce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ňuj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 ich menovitou hodnotou</w:t>
      </w:r>
    </w:p>
    <w:p>
      <w:pPr>
        <w:numPr>
          <w:ilvl w:val="0"/>
          <w:numId w:val="53"/>
        </w:numPr>
        <w:spacing w:before="0" w:after="200" w:line="276"/>
        <w:ind w:right="0" w:left="3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Ocenenie krátkodobého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ého majetku (pe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ňažn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ých prostriedkov, cenín, CP na obchodovanie)</w:t>
      </w:r>
    </w:p>
    <w:p>
      <w:pPr>
        <w:spacing w:before="0" w:after="200" w:line="288"/>
        <w:ind w:right="3118" w:left="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Pe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ňažn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é prostriedky a ceniny sa oce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ňuj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 ich menovitou hodnotou. Zní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ženie ich hodnoty sa vyjadruje opravnou položkou.</w:t>
      </w:r>
    </w:p>
    <w:p>
      <w:pPr>
        <w:numPr>
          <w:ilvl w:val="0"/>
          <w:numId w:val="55"/>
        </w:numPr>
        <w:spacing w:before="0" w:after="200" w:line="240"/>
        <w:ind w:right="3260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Ocenenie záväzkov vrátane rezerv, dlhopisov, pô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žičiek 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úverov</w:t>
      </w:r>
    </w:p>
    <w:p>
      <w:pPr>
        <w:spacing w:before="0" w:after="200" w:line="288"/>
        <w:ind w:right="480" w:left="2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Záväzky pri ich vzniku sa oce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ňuj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 menovitou hodnotou. Záväzky pri ich prevzatí sa oce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ňuj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 obstarávacou cenou. Ak sa pri inventarizácii zistí,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že suma z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áväzkov je iná ako ich vý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ška v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íctve, uvedú sa záväzky v 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íctve a v 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čtovnej z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ávierke v tomto zistenom ocenení.</w:t>
      </w:r>
    </w:p>
    <w:p>
      <w:pPr>
        <w:numPr>
          <w:ilvl w:val="0"/>
          <w:numId w:val="57"/>
        </w:numPr>
        <w:spacing w:before="0" w:after="200" w:line="240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Ocenenie derivátov</w:t>
      </w:r>
    </w:p>
    <w:p>
      <w:pPr>
        <w:spacing w:before="0" w:after="200" w:line="240"/>
        <w:ind w:right="0" w:left="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Neevidujeme</w:t>
      </w:r>
    </w:p>
    <w:p>
      <w:pPr>
        <w:numPr>
          <w:ilvl w:val="0"/>
          <w:numId w:val="59"/>
        </w:numPr>
        <w:spacing w:before="0" w:after="200" w:line="240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Ocenenie majetku a záväzkov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čen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ých derivátmi</w:t>
      </w:r>
    </w:p>
    <w:p>
      <w:pPr>
        <w:spacing w:before="0" w:after="200" w:line="240"/>
        <w:ind w:right="0" w:left="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Neevidujeme</w:t>
      </w:r>
    </w:p>
    <w:p>
      <w:pPr>
        <w:numPr>
          <w:ilvl w:val="0"/>
          <w:numId w:val="61"/>
        </w:numPr>
        <w:spacing w:before="0" w:after="0" w:line="240"/>
        <w:ind w:right="0" w:left="38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Informácie o poskytnutých dotáciách a ich ocenení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Neevidujeme dotácie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8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V be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žnom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čtovnom obdob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í 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nevykonala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ýznamné opravy chýb minulých ú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ých období.</w:t>
      </w:r>
    </w:p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2409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  <w:t xml:space="preserve">3. Informácie, ktoré vysvet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  <w:t xml:space="preserve">ú a dop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  <w:t xml:space="preserve">ú súvahu a výkaz ziskov a strát.</w:t>
      </w:r>
    </w:p>
    <w:p>
      <w:pPr>
        <w:spacing w:before="0" w:after="0" w:line="240"/>
        <w:ind w:right="2409" w:left="60" w:firstLine="0"/>
        <w:jc w:val="left"/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auto" w:val="clear"/>
        </w:rPr>
        <w:tab/>
      </w:r>
    </w:p>
    <w:p>
      <w:pPr>
        <w:spacing w:before="0" w:after="250" w:line="240"/>
        <w:ind w:right="0" w:left="60" w:firstLine="0"/>
        <w:jc w:val="left"/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Záväzky</w:t>
      </w: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eviduje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z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áväzky.</w:t>
        <w:br/>
        <w:t xml:space="preserve">K záväzkom 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 uv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ádza nasledujúce informácie:</w:t>
      </w:r>
    </w:p>
    <w:p>
      <w:pPr>
        <w:tabs>
          <w:tab w:val="left" w:pos="5245" w:leader="none"/>
          <w:tab w:val="left" w:pos="5529" w:leader="none"/>
        </w:tabs>
        <w:spacing w:before="0" w:after="0" w:line="283"/>
        <w:ind w:right="2976" w:left="60" w:firstLine="0"/>
        <w:jc w:val="left"/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Evidujeme záväzky z obchodného styku v hodnote 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2805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,00</w:t>
        <w:br/>
        <w:t xml:space="preserve">Záväzky vo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či SP, ZP a D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Ú za obdobie 12/201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7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 v hodnote 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736,00</w:t>
      </w: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2</w:t>
      </w: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Pozn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á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mky 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č M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J 3-01                  I</w:t>
      </w:r>
      <w:r>
        <w:rPr>
          <w:rFonts w:ascii="Calibri" w:hAnsi="Calibri" w:cs="Calibri" w:eastAsia="Calibri"/>
          <w:b/>
          <w:color w:val="auto"/>
          <w:spacing w:val="2"/>
          <w:position w:val="0"/>
          <w:sz w:val="20"/>
          <w:shd w:fill="auto" w:val="clear"/>
        </w:rPr>
        <w:t xml:space="preserve">ČO 36642720                        DIČ 2022077849</w:t>
      </w:r>
    </w:p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88"/>
        <w:ind w:right="154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Štrukt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úra záväzkov pod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ľa zostatkovej doby splatnosti je uveden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á v tabu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ľke: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tbl>
      <w:tblPr/>
      <w:tblGrid>
        <w:gridCol w:w="3710"/>
        <w:gridCol w:w="6878"/>
      </w:tblGrid>
      <w:tr>
        <w:trPr>
          <w:trHeight w:val="302" w:hRule="auto"/>
          <w:jc w:val="left"/>
        </w:trPr>
        <w:tc>
          <w:tcPr>
            <w:tcW w:w="3710" w:type="dxa"/>
            <w:vMerge w:val="restart"/>
            <w:tcBorders>
              <w:top w:val="single" w:color="000000" w:sz="4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40"/>
              <w:ind w:right="0" w:left="122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žky</w:t>
            </w:r>
          </w:p>
        </w:tc>
        <w:tc>
          <w:tcPr>
            <w:tcW w:w="6878" w:type="dxa"/>
            <w:tcBorders>
              <w:top w:val="single" w:color="000000" w:sz="4"/>
              <w:left w:val="single" w:color="000000" w:sz="4"/>
              <w:bottom w:val="single" w:color="000000" w:sz="0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40"/>
              <w:ind w:right="0" w:left="2400" w:firstLine="0"/>
              <w:jc w:val="left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žn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čtovn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é obdobie</w:t>
            </w:r>
          </w:p>
        </w:tc>
      </w:tr>
      <w:tr>
        <w:trPr>
          <w:trHeight w:val="288" w:hRule="auto"/>
          <w:jc w:val="left"/>
        </w:trPr>
        <w:tc>
          <w:tcPr>
            <w:tcW w:w="3710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tabs>
                <w:tab w:val="left" w:pos="3544" w:leader="none"/>
              </w:tabs>
              <w:spacing w:before="0" w:after="0" w:line="298"/>
              <w:ind w:right="7367" w:left="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87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40"/>
              <w:ind w:right="0" w:left="3180" w:firstLine="0"/>
              <w:jc w:val="left"/>
              <w:rPr>
                <w:rFonts w:ascii="Calibri" w:hAnsi="Calibri" w:cs="Calibri" w:eastAsia="Calibri"/>
                <w:position w:val="0"/>
              </w:rPr>
            </w:pPr>
            <w:r>
              <w:rPr>
                <w:rFonts w:ascii="Calibri" w:hAnsi="Calibri" w:cs="Calibri" w:eastAsia="Calibri"/>
                <w:color w:val="FFFFFF"/>
                <w:spacing w:val="3"/>
                <w:position w:val="0"/>
                <w:sz w:val="20"/>
                <w:shd w:fill="auto" w:val="clear"/>
              </w:rPr>
              <w:t xml:space="preserve">2 014</w:t>
            </w:r>
          </w:p>
        </w:tc>
      </w:tr>
      <w:tr>
        <w:trPr>
          <w:trHeight w:val="293" w:hRule="auto"/>
          <w:jc w:val="left"/>
        </w:trPr>
        <w:tc>
          <w:tcPr>
            <w:tcW w:w="37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40"/>
              <w:ind w:right="0" w:left="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Dlhodobé záväzky spolu</w:t>
            </w:r>
          </w:p>
        </w:tc>
        <w:tc>
          <w:tcPr>
            <w:tcW w:w="6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40"/>
              <w:ind w:right="0" w:left="3180" w:firstLine="0"/>
              <w:jc w:val="left"/>
              <w:rPr>
                <w:rFonts w:ascii="Calibri" w:hAnsi="Calibri" w:cs="Calibri" w:eastAsia="Calibri"/>
                <w:position w:val="0"/>
              </w:rPr>
            </w:pPr>
            <w:r>
              <w:rPr>
                <w:rFonts w:ascii="Calibri" w:hAnsi="Calibri" w:cs="Calibri" w:eastAsia="Calibri"/>
                <w:color w:val="FFFFFF"/>
                <w:spacing w:val="3"/>
                <w:position w:val="0"/>
                <w:sz w:val="20"/>
                <w:shd w:fill="auto" w:val="clear"/>
              </w:rPr>
              <w:t xml:space="preserve">14 000</w:t>
            </w:r>
          </w:p>
        </w:tc>
      </w:tr>
      <w:tr>
        <w:trPr>
          <w:trHeight w:val="528" w:hRule="auto"/>
          <w:jc w:val="left"/>
        </w:trPr>
        <w:tc>
          <w:tcPr>
            <w:tcW w:w="37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59"/>
              <w:ind w:right="0" w:left="60" w:firstLine="0"/>
              <w:jc w:val="left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Záväzky so zostatkovou dobou splatnosti nad pä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ť rokov</w:t>
            </w:r>
          </w:p>
        </w:tc>
        <w:tc>
          <w:tcPr>
            <w:tcW w:w="6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40"/>
              <w:ind w:right="0" w:left="318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0</w:t>
            </w:r>
          </w:p>
        </w:tc>
      </w:tr>
      <w:tr>
        <w:trPr>
          <w:trHeight w:val="600" w:hRule="auto"/>
          <w:jc w:val="left"/>
        </w:trPr>
        <w:tc>
          <w:tcPr>
            <w:tcW w:w="37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0" w:line="264"/>
              <w:ind w:right="0" w:left="60" w:firstLine="0"/>
              <w:jc w:val="left"/>
              <w:rPr>
                <w:rFonts w:ascii="Calibri" w:hAnsi="Calibri" w:cs="Calibri" w:eastAsia="Calibri"/>
                <w:color w:val="auto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Záväzky so zostatkovou dobou splatnosti jeden a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ž p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ä</w:t>
            </w:r>
            <w:r>
              <w:rPr>
                <w:rFonts w:ascii="Calibri" w:hAnsi="Calibri" w:cs="Calibri" w:eastAsia="Calibri"/>
                <w:color w:val="auto"/>
                <w:spacing w:val="2"/>
                <w:position w:val="0"/>
                <w:sz w:val="20"/>
                <w:shd w:fill="auto" w:val="clear"/>
              </w:rPr>
              <w:t xml:space="preserve">ť rokov</w:t>
            </w:r>
          </w:p>
        </w:tc>
        <w:tc>
          <w:tcPr>
            <w:tcW w:w="6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" w:type="dxa"/>
              <w:right w:w="10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                                                                      0</w:t>
            </w:r>
          </w:p>
        </w:tc>
      </w:tr>
    </w:tbl>
    <w:p>
      <w:pPr>
        <w:spacing w:before="0" w:after="0" w:line="288"/>
        <w:ind w:right="154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nem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á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 záväzky zabezpe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čen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é zálo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žn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ým právom alebo inou formou zabezpe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čenia.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ne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ú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čtovala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o položk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ách nákladov a výnosov, ktoré mali výnimo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ý rozsah alebo výskyt.</w:t>
      </w:r>
    </w:p>
    <w:p>
      <w:pPr>
        <w:tabs>
          <w:tab w:val="left" w:pos="1415" w:leader="none"/>
        </w:tabs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328" w:line="240"/>
        <w:ind w:right="0" w:left="60" w:firstLine="0"/>
        <w:jc w:val="left"/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Informácie o vlastných akciách</w:t>
      </w:r>
    </w:p>
    <w:p>
      <w:pPr>
        <w:spacing w:before="0" w:after="0" w:line="240"/>
        <w:ind w:right="0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neeviduje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vlastn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é akcie.</w:t>
      </w:r>
    </w:p>
    <w:p>
      <w:pPr>
        <w:tabs>
          <w:tab w:val="left" w:pos="1415" w:leader="none"/>
        </w:tabs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328" w:line="240"/>
        <w:ind w:right="0" w:left="40" w:firstLine="0"/>
        <w:jc w:val="left"/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Informácie o povinnostiach ú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čtovnej jednotky</w:t>
      </w:r>
    </w:p>
    <w:p>
      <w:pPr>
        <w:spacing w:before="0" w:after="0" w:line="240"/>
        <w:ind w:right="0" w:left="4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neeviduje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finančn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é povinnosti, ktoré sa nevykazujú v súvahe.</w:t>
      </w:r>
    </w:p>
    <w:p>
      <w:pPr>
        <w:tabs>
          <w:tab w:val="left" w:pos="1415" w:leader="none"/>
        </w:tabs>
        <w:spacing w:before="0" w:after="200" w:line="276"/>
        <w:ind w:right="0" w:left="-567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neposkytla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časť na d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ôchodkových programoch pre zamestnancov.</w:t>
      </w: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352" w:line="240"/>
        <w:ind w:right="0" w:left="40" w:firstLine="0"/>
        <w:jc w:val="left"/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Informácie o orgánoch ú</w:t>
      </w:r>
      <w:r>
        <w:rPr>
          <w:rFonts w:ascii="Calibri" w:hAnsi="Calibri" w:cs="Calibri" w:eastAsia="Calibri"/>
          <w:color w:val="auto"/>
          <w:spacing w:val="3"/>
          <w:position w:val="0"/>
          <w:sz w:val="20"/>
          <w:shd w:fill="auto" w:val="clear"/>
        </w:rPr>
        <w:t xml:space="preserve">čtovnej jednotky</w:t>
      </w:r>
    </w:p>
    <w:p>
      <w:pPr>
        <w:spacing w:before="0" w:after="0" w:line="240"/>
        <w:ind w:right="0" w:left="4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čnosť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neposkytla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členom org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ánov ÚJ záruky, zabezpe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čenia, p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ô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žičky, plnenia na s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úkromné ú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čely.</w:t>
      </w: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93"/>
        <w:ind w:right="141" w:left="60" w:firstLine="0"/>
        <w:jc w:val="left"/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čnosti</w:t>
      </w:r>
      <w:r>
        <w:rPr>
          <w:rFonts w:ascii="Calibri" w:hAnsi="Calibri" w:cs="Calibri" w:eastAsia="Calibri"/>
          <w:b/>
          <w:color w:val="auto"/>
          <w:spacing w:val="3"/>
          <w:position w:val="0"/>
          <w:sz w:val="20"/>
          <w:shd w:fill="FFFFFF" w:val="clear"/>
        </w:rPr>
        <w:t xml:space="preserve"> nie je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FFFFFF" w:val="clear"/>
        </w:rPr>
        <w:t xml:space="preserve">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udelen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é výlu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é právo alebo osobitné právo ktorým jej bolo udelené právo</w:t>
        <w:br/>
        <w:t xml:space="preserve">poskytova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ť služby vo verejnom z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áujme, pri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čom prij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íma náhradu za túto </w:t>
      </w:r>
      <w:r>
        <w:rPr>
          <w:rFonts w:ascii="Calibri" w:hAnsi="Calibri" w:cs="Calibri" w:eastAsia="Calibri"/>
          <w:color w:val="auto"/>
          <w:spacing w:val="2"/>
          <w:position w:val="0"/>
          <w:sz w:val="20"/>
          <w:shd w:fill="auto" w:val="clear"/>
        </w:rPr>
        <w:t xml:space="preserve">činnosť v akejkoľvek forme.</w:t>
      </w: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1415" w:leader="none"/>
        </w:tabs>
        <w:spacing w:before="0" w:after="200" w:line="276"/>
        <w:ind w:right="0" w:left="4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3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48">
    <w:abstractNumId w:val="36"/>
  </w:num>
  <w:num w:numId="51">
    <w:abstractNumId w:val="30"/>
  </w:num>
  <w:num w:numId="53">
    <w:abstractNumId w:val="24"/>
  </w:num>
  <w:num w:numId="55">
    <w:abstractNumId w:val="18"/>
  </w:num>
  <w:num w:numId="57">
    <w:abstractNumId w:val="12"/>
  </w:num>
  <w:num w:numId="59">
    <w:abstractNumId w:val="6"/>
  </w:num>
  <w:num w:numId="6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