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 xml:space="preserve">Poznámky Úč PODV 3-01                               IČO: </w:t>
      </w:r>
      <w:r>
        <w:rPr>
          <w:b/>
          <w:bCs/>
          <w:u w:val="single"/>
          <w:shd w:fill="99FF66" w:val="clear"/>
        </w:rPr>
        <w:t>47364688</w:t>
      </w:r>
      <w:r>
        <w:rPr>
          <w:b/>
          <w:bCs/>
          <w:u w:val="single"/>
          <w:shd w:fill="99FF66" w:val="clear"/>
        </w:rPr>
        <w:t xml:space="preserve">                             DIČ: 202</w:t>
      </w:r>
      <w:r>
        <w:rPr>
          <w:b/>
          <w:bCs/>
          <w:u w:val="single"/>
          <w:shd w:fill="99FF66" w:val="clear"/>
        </w:rPr>
        <w:t>3829753</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2017</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2"/>
        <w:gridCol w:w="5101"/>
      </w:tblGrid>
      <w:tr>
        <w:trPr>
          <w:cantSplit w:val="false"/>
        </w:trPr>
        <w:tc>
          <w:tcPr>
            <w:tcW w:type="dxa" w:w="3962"/>
            <w:tcBorders>
              <w:top w:color="00000A" w:space="0" w:sz="8" w:val="single"/>
              <w:left w:val="nil"/>
              <w:bottom w:color="00000A" w:space="0" w:sz="4" w:val="dotted"/>
              <w:right w:val="nil"/>
            </w:tcBorders>
            <w:shd w:fill="FFFFFF" w:val="clear"/>
          </w:tcPr>
          <w:p>
            <w:pPr>
              <w:pStyle w:val="style0"/>
              <w:rPr/>
            </w:pPr>
            <w:r>
              <w:rPr/>
            </w:r>
          </w:p>
          <w:p>
            <w:pPr>
              <w:pStyle w:val="style0"/>
              <w:rPr>
                <w:b/>
                <w:sz w:val="20"/>
                <w:szCs w:val="20"/>
              </w:rPr>
            </w:pPr>
            <w:r>
              <w:rPr>
                <w:b/>
                <w:sz w:val="20"/>
                <w:szCs w:val="20"/>
              </w:rPr>
              <w:t>Obchodné meno a sídlo</w:t>
            </w:r>
          </w:p>
          <w:p>
            <w:pPr>
              <w:pStyle w:val="style0"/>
              <w:rPr>
                <w:sz w:val="20"/>
                <w:szCs w:val="20"/>
              </w:rPr>
            </w:pPr>
            <w:r>
              <w:rPr>
                <w:sz w:val="20"/>
                <w:szCs w:val="20"/>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20"/>
                <w:szCs w:val="20"/>
                <w:lang w:eastAsia="sk-SK"/>
              </w:rPr>
            </w:pPr>
            <w:r>
              <w:rPr>
                <w:b/>
                <w:bCs/>
                <w:color w:val="000000"/>
                <w:sz w:val="20"/>
                <w:szCs w:val="20"/>
                <w:lang w:eastAsia="sk-SK"/>
              </w:rPr>
              <w:t>FERKON s.r.o.</w:t>
            </w:r>
            <w:r>
              <w:rPr>
                <w:b/>
                <w:bCs/>
                <w:color w:val="000000"/>
                <w:sz w:val="20"/>
                <w:szCs w:val="20"/>
                <w:lang w:eastAsia="sk-SK"/>
              </w:rPr>
              <w:t xml:space="preserve"> </w:t>
            </w:r>
          </w:p>
          <w:p>
            <w:pPr>
              <w:pStyle w:val="style0"/>
              <w:rPr>
                <w:b/>
                <w:bCs/>
                <w:color w:val="000000"/>
              </w:rPr>
            </w:pPr>
            <w:r>
              <w:rPr>
                <w:b/>
                <w:bCs/>
                <w:color w:val="000000"/>
              </w:rPr>
              <w:t>Závodná 264/13</w:t>
            </w:r>
          </w:p>
          <w:p>
            <w:pPr>
              <w:pStyle w:val="style0"/>
              <w:rPr>
                <w:b/>
                <w:bCs/>
                <w:color w:val="000000"/>
                <w:sz w:val="15"/>
                <w:szCs w:val="15"/>
              </w:rPr>
            </w:pPr>
            <w:r>
              <w:rPr>
                <w:b/>
                <w:bCs/>
                <w:color w:val="000000"/>
                <w:sz w:val="15"/>
                <w:szCs w:val="15"/>
              </w:rPr>
              <w:t>14.08.2013</w:t>
            </w:r>
          </w:p>
          <w:p>
            <w:pPr>
              <w:pStyle w:val="style0"/>
              <w:rPr>
                <w:b/>
                <w:bCs/>
                <w:color w:val="000000"/>
              </w:rPr>
            </w:pPr>
            <w:r>
              <w:rPr>
                <w:b/>
                <w:bCs/>
                <w:color w:val="000000"/>
              </w:rPr>
            </w:r>
          </w:p>
        </w:tc>
      </w:tr>
      <w:tr>
        <w:trPr>
          <w:cantSplit w:val="false"/>
        </w:trPr>
        <w:tc>
          <w:tcPr>
            <w:tcW w:type="dxa" w:w="3962"/>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živnosti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p>
            <w:pPr>
              <w:pStyle w:val="style0"/>
              <w:tabs>
                <w:tab w:leader="none" w:pos="243" w:val="left"/>
              </w:tabs>
              <w:ind w:hanging="360" w:left="720" w:right="0"/>
              <w:rPr/>
            </w:pPr>
            <w:r>
              <w:rPr/>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8"/>
        <w:gridCol w:w="1310"/>
        <w:gridCol w:w="1322"/>
      </w:tblGrid>
      <w:tr>
        <w:trPr>
          <w:cantSplit w:val="false"/>
        </w:trPr>
        <w:tc>
          <w:tcPr>
            <w:tcW w:type="dxa" w:w="6438"/>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2017</w:t>
            </w:r>
          </w:p>
        </w:tc>
        <w:tc>
          <w:tcPr>
            <w:tcW w:type="dxa" w:w="1322"/>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2016</w:t>
            </w:r>
          </w:p>
        </w:tc>
      </w:tr>
      <w:tr>
        <w:trPr>
          <w:cantSplit w:val="false"/>
        </w:trPr>
        <w:tc>
          <w:tcPr>
            <w:tcW w:type="dxa" w:w="6438"/>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center"/>
              <w:rPr>
                <w:rFonts w:cs="Arial"/>
                <w:sz w:val="15"/>
                <w:szCs w:val="15"/>
                <w:lang w:eastAsia="sk-SK"/>
              </w:rPr>
            </w:pPr>
            <w:r>
              <w:rPr>
                <w:rFonts w:cs="Arial"/>
                <w:sz w:val="15"/>
                <w:szCs w:val="15"/>
                <w:lang w:eastAsia="sk-SK"/>
              </w:rPr>
              <w:t>2</w:t>
            </w:r>
            <w:r>
              <w:rPr>
                <w:rFonts w:cs="Arial"/>
                <w:sz w:val="15"/>
                <w:szCs w:val="15"/>
                <w:lang w:eastAsia="sk-SK"/>
              </w:rPr>
              <w:t xml:space="preserve"> </w:t>
            </w:r>
          </w:p>
        </w:tc>
        <w:tc>
          <w:tcPr>
            <w:tcW w:type="dxa" w:w="1322"/>
            <w:tcBorders>
              <w:top w:color="00000A" w:space="0" w:sz="4" w:val="single"/>
              <w:left w:val="nil"/>
              <w:bottom w:color="00000A" w:space="0" w:sz="8" w:val="single"/>
              <w:right w:val="nil"/>
            </w:tcBorders>
            <w:shd w:fill="FFFFFF" w:val="clear"/>
            <w:vAlign w:val="bottom"/>
          </w:tcPr>
          <w:p>
            <w:pPr>
              <w:pStyle w:val="style0"/>
              <w:jc w:val="center"/>
              <w:rPr>
                <w:rFonts w:cs="Arial"/>
                <w:sz w:val="15"/>
                <w:szCs w:val="15"/>
                <w:lang w:eastAsia="sk-SK"/>
              </w:rPr>
            </w:pPr>
            <w:r>
              <w:rPr>
                <w:rFonts w:cs="Arial"/>
                <w:sz w:val="15"/>
                <w:szCs w:val="15"/>
                <w:lang w:eastAsia="sk-SK"/>
              </w:rPr>
              <w:t>1</w:t>
            </w: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2017 </w:t>
      </w:r>
      <w:r>
        <w:rPr>
          <w:sz w:val="14"/>
          <w:szCs w:val="14"/>
          <w:lang w:eastAsia="sk-SK"/>
        </w:rPr>
        <w:t>zamestnávala dvoch pracovníkov.</w:t>
      </w: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Táto účtovná závierka je riadna individuálna účtovná závierka spoločnosti JUSKA s.r.o., bola zostavená za účtovné obdobie od 1. augusta do 31. decembra 2017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2016</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Účtovná závierka spoločnosti </w:t>
      </w:r>
      <w:r>
        <w:rPr>
          <w:lang w:eastAsia="sk-SK"/>
        </w:rPr>
        <w:t>F</w:t>
      </w:r>
      <w:r>
        <w:rPr>
          <w:lang w:eastAsia="sk-SK"/>
        </w:rPr>
        <w:t>ERKON s.r.o.</w:t>
      </w:r>
      <w:r>
        <w:rPr>
          <w:lang w:eastAsia="sk-SK"/>
        </w:rPr>
        <w:t xml:space="preserve"> bola schválená Valným zhromaždením dňa 30.04.2017.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val="false"/>
          <w:bCs w:val="false"/>
          <w:iCs/>
          <w:szCs w:val="28"/>
        </w:rPr>
      </w:pPr>
      <w:r>
        <w:rPr>
          <w:rFonts w:cs="Arial"/>
          <w:b/>
          <w:bCs/>
          <w:iCs/>
          <w:szCs w:val="28"/>
        </w:rPr>
        <w:t xml:space="preserve">FERKON </w:t>
      </w:r>
      <w:r>
        <w:rPr>
          <w:rFonts w:cs="Arial"/>
          <w:b/>
          <w:bCs/>
          <w:iCs/>
          <w:szCs w:val="28"/>
        </w:rPr>
        <w:t xml:space="preserve"> s r. o.</w:t>
      </w:r>
      <w:r>
        <w:rPr>
          <w:rFonts w:cs="Arial"/>
          <w:b w:val="false"/>
          <w:bCs w:val="false"/>
          <w:iCs/>
          <w:szCs w:val="28"/>
        </w:rPr>
        <w:t xml:space="preserve">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53"/>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53"/>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53"/>
        <w:rPr>
          <w:b w:val="false"/>
          <w:bCs w:val="false"/>
        </w:rPr>
      </w:pPr>
      <w:r>
        <w:rPr>
          <w:b w:val="false"/>
          <w:bCs w:val="false"/>
        </w:rPr>
      </w:r>
    </w:p>
    <w:p>
      <w:pPr>
        <w:pStyle w:val="style53"/>
        <w:rPr>
          <w:b/>
          <w:bCs/>
          <w:sz w:val="16"/>
          <w:szCs w:val="16"/>
        </w:rPr>
      </w:pPr>
      <w:r>
        <w:rPr>
          <w:b/>
          <w:bCs/>
          <w:sz w:val="16"/>
          <w:szCs w:val="16"/>
        </w:rPr>
        <w:t>2.  Pôžičky poskytnuté členom orgánov spoločnosti</w:t>
      </w:r>
    </w:p>
    <w:p>
      <w:pPr>
        <w:pStyle w:val="style53"/>
        <w:rPr>
          <w:b w:val="false"/>
          <w:bCs w:val="false"/>
          <w:sz w:val="18"/>
          <w:szCs w:val="18"/>
        </w:rPr>
      </w:pPr>
      <w:r>
        <w:rPr>
          <w:b w:val="false"/>
          <w:bCs w:val="false"/>
          <w:sz w:val="18"/>
          <w:szCs w:val="18"/>
        </w:rPr>
        <w:t>Spoločnosť v účtovnom období 2017 neposkytla členom orgánov spoločnosti žiadne záruky alebo iné zabezpečenie a poskytnuté pôžičky.</w:t>
      </w:r>
    </w:p>
    <w:p>
      <w:pPr>
        <w:pStyle w:val="style53"/>
        <w:rPr>
          <w:b w:val="false"/>
          <w:bCs w:val="false"/>
        </w:rPr>
      </w:pPr>
      <w:r>
        <w:rPr>
          <w:b w:val="false"/>
          <w:bCs w:val="false"/>
        </w:rPr>
      </w:r>
    </w:p>
    <w:p>
      <w:pPr>
        <w:pStyle w:val="style53"/>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53"/>
        <w:rPr>
          <w:b/>
          <w:bCs/>
        </w:rPr>
      </w:pPr>
      <w:r>
        <w:rPr>
          <w:b/>
          <w:bCs/>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2017 bola spracovaná za predpokladu nepretržitého pokračovania činnosti.</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2017 nevyplynula povinnosť tvorby rezervy.</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5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5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účtovnom období roku 2017 nenastali v spoločnosti </w:t>
      </w:r>
      <w:r>
        <w:rPr>
          <w:b w:val="false"/>
          <w:bCs w:val="false"/>
          <w:sz w:val="18"/>
          <w:szCs w:val="18"/>
          <w:u w:val="none"/>
        </w:rPr>
        <w:t>FERKON s.</w:t>
      </w:r>
      <w:r>
        <w:rPr>
          <w:b w:val="false"/>
          <w:bCs w:val="false"/>
          <w:sz w:val="18"/>
          <w:szCs w:val="18"/>
          <w:u w:val="none"/>
        </w:rPr>
        <w:t xml:space="preserve"> r. o., žiadne zmeny týkajúce sa účtovných zásad a účtovných metód.</w:t>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53"/>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5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spoločnosti </w:t>
      </w:r>
      <w:r>
        <w:rPr>
          <w:b w:val="false"/>
          <w:bCs w:val="false"/>
          <w:sz w:val="18"/>
          <w:szCs w:val="18"/>
          <w:u w:val="none"/>
        </w:rPr>
        <w:t>FERKON s.</w:t>
      </w:r>
      <w:r>
        <w:rPr>
          <w:b w:val="false"/>
          <w:bCs w:val="false"/>
          <w:sz w:val="18"/>
          <w:szCs w:val="18"/>
          <w:u w:val="none"/>
        </w:rPr>
        <w:t xml:space="preserve"> r. o., nedošlo v účtovnom období roku 2017 k žiadnzm opravám významných chýb minulých období., nakoľko spoločnosť počas celého hodnotiaceho obdobia nevykonávala žiadnu činnosť.</w:t>
      </w:r>
    </w:p>
    <w:p>
      <w:pPr>
        <w:pStyle w:val="style53"/>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53"/>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53"/>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53"/>
        <w:widowControl/>
        <w:suppressAutoHyphens w:val="true"/>
        <w:spacing w:after="120" w:before="0"/>
        <w:ind w:hanging="214" w:left="246" w:right="0"/>
        <w:contextualSpacing w:val="false"/>
        <w:jc w:val="both"/>
        <w:rPr>
          <w:b/>
          <w:bCs/>
          <w:u w:val="none"/>
        </w:rPr>
      </w:pPr>
      <w:r>
        <w:rPr>
          <w:b/>
          <w:bCs/>
          <w:u w:val="none"/>
        </w:rPr>
      </w:r>
    </w:p>
    <w:p>
      <w:pPr>
        <w:pStyle w:val="style53"/>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53"/>
        <w:rPr>
          <w:b w:val="false"/>
          <w:bCs w:val="false"/>
          <w:sz w:val="18"/>
          <w:szCs w:val="18"/>
        </w:rPr>
      </w:pPr>
      <w:r>
        <w:rPr>
          <w:b w:val="false"/>
          <w:bCs w:val="false"/>
          <w:sz w:val="18"/>
          <w:szCs w:val="18"/>
        </w:rPr>
      </w:r>
    </w:p>
    <w:p>
      <w:pPr>
        <w:pStyle w:val="style53"/>
        <w:rPr>
          <w:b w:val="false"/>
          <w:bCs w:val="false"/>
        </w:rPr>
      </w:pPr>
      <w:r>
        <w:rPr>
          <w:b w:val="false"/>
          <w:bCs w:val="false"/>
        </w:rPr>
      </w:r>
    </w:p>
    <w:p>
      <w:pPr>
        <w:pStyle w:val="style53"/>
        <w:rPr>
          <w:b w:val="false"/>
          <w:bCs w:val="false"/>
        </w:rPr>
      </w:pPr>
      <w:r>
        <w:rPr>
          <w:b w:val="false"/>
          <w:bCs w:val="false"/>
        </w:rPr>
      </w:r>
    </w:p>
    <w:p>
      <w:pPr>
        <w:pStyle w:val="style53"/>
        <w:rPr>
          <w:b w:val="false"/>
          <w:bCs w:val="false"/>
        </w:rPr>
      </w:pPr>
      <w:r>
        <w:rPr>
          <w:b w:val="false"/>
          <w:bCs w:val="false"/>
        </w:rPr>
      </w:r>
    </w:p>
    <w:p>
      <w:pPr>
        <w:pStyle w:val="style53"/>
        <w:rPr>
          <w:b/>
          <w:bCs/>
          <w:sz w:val="18"/>
          <w:szCs w:val="18"/>
        </w:rPr>
      </w:pPr>
      <w:r>
        <w:rPr>
          <w:b/>
          <w:bCs/>
          <w:sz w:val="18"/>
          <w:szCs w:val="18"/>
        </w:rPr>
        <w:t>2.  Pohľadávky</w:t>
      </w:r>
    </w:p>
    <w:p>
      <w:pPr>
        <w:pStyle w:val="style5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9"/>
        <w:gridCol w:w="2391"/>
      </w:tblGrid>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bežné účtovné obdobie</w:t>
            </w:r>
          </w:p>
        </w:tc>
        <w:tc>
          <w:tcPr>
            <w:tcW w:type="dxa" w:w="2391"/>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obdobie</w:t>
            </w:r>
          </w:p>
        </w:tc>
        <w:tc>
          <w:tcPr>
            <w:tcW w:type="dxa" w:w="2391"/>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Názov položky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Pohľadávky z obchodného styku</w:t>
            </w:r>
          </w:p>
        </w:tc>
        <w:tc>
          <w:tcPr>
            <w:tcW w:type="dxa" w:w="2379"/>
            <w:tcBorders>
              <w:top w:val="nil"/>
              <w:left w:val="nil"/>
              <w:bottom w:val="nil"/>
              <w:right w:val="nil"/>
            </w:tcBorders>
            <w:shd w:fill="FFFFFF" w:val="clear"/>
            <w:vAlign w:val="center"/>
          </w:tcPr>
          <w:p>
            <w:pPr>
              <w:pStyle w:val="style68"/>
              <w:rPr/>
            </w:pPr>
            <w:r>
              <w:rPr/>
              <w:t xml:space="preserve">                  </w:t>
            </w:r>
            <w:r>
              <w:rPr/>
              <w:t>3305</w:t>
            </w:r>
          </w:p>
        </w:tc>
        <w:tc>
          <w:tcPr>
            <w:tcW w:type="dxa" w:w="2391"/>
            <w:tcBorders>
              <w:top w:val="nil"/>
              <w:left w:val="nil"/>
              <w:bottom w:val="nil"/>
              <w:right w:val="nil"/>
            </w:tcBorders>
            <w:shd w:fill="FFFFFF" w:val="clear"/>
            <w:vAlign w:val="center"/>
          </w:tcPr>
          <w:p>
            <w:pPr>
              <w:pStyle w:val="style68"/>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Daňové pohľadávky</w:t>
            </w:r>
          </w:p>
        </w:tc>
        <w:tc>
          <w:tcPr>
            <w:tcW w:type="dxa" w:w="2379"/>
            <w:tcBorders>
              <w:top w:val="nil"/>
              <w:left w:val="nil"/>
              <w:bottom w:val="nil"/>
              <w:right w:val="nil"/>
            </w:tcBorders>
            <w:shd w:fill="FFFFFF" w:val="clear"/>
            <w:vAlign w:val="center"/>
          </w:tcPr>
          <w:p>
            <w:pPr>
              <w:pStyle w:val="style68"/>
              <w:rPr/>
            </w:pPr>
            <w:r>
              <w:rPr/>
              <w:t xml:space="preserve">                   </w:t>
            </w:r>
            <w:r>
              <w:rPr/>
              <w:t>0</w:t>
            </w:r>
          </w:p>
        </w:tc>
        <w:tc>
          <w:tcPr>
            <w:tcW w:type="dxa" w:w="2391"/>
            <w:tcBorders>
              <w:top w:val="nil"/>
              <w:left w:val="nil"/>
              <w:bottom w:val="nil"/>
              <w:right w:val="nil"/>
            </w:tcBorders>
            <w:shd w:fill="FFFFFF" w:val="clear"/>
            <w:vAlign w:val="center"/>
          </w:tcPr>
          <w:p>
            <w:pPr>
              <w:pStyle w:val="style68"/>
              <w:jc w:val="center"/>
              <w:rPr/>
            </w:pPr>
            <w:r>
              <w:rPr/>
              <w:t>22</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Ostatné pohľadávky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b/>
                <w:bCs/>
              </w:rPr>
            </w:pPr>
            <w:r>
              <w:rPr>
                <w:b/>
                <w:bCs/>
              </w:rPr>
              <w:t>Pohľadávky spolu:</w:t>
            </w:r>
          </w:p>
        </w:tc>
        <w:tc>
          <w:tcPr>
            <w:tcW w:type="dxa" w:w="2379"/>
            <w:tcBorders>
              <w:top w:val="nil"/>
              <w:left w:val="nil"/>
              <w:bottom w:val="nil"/>
              <w:right w:val="nil"/>
            </w:tcBorders>
            <w:shd w:fill="FFFFFF" w:val="clear"/>
            <w:vAlign w:val="center"/>
          </w:tcPr>
          <w:p>
            <w:pPr>
              <w:pStyle w:val="style68"/>
              <w:rPr>
                <w:b/>
                <w:bCs/>
              </w:rPr>
            </w:pPr>
            <w:r>
              <w:rPr>
                <w:b/>
                <w:bCs/>
              </w:rPr>
              <w:t xml:space="preserve">                   </w:t>
            </w:r>
            <w:r>
              <w:rPr>
                <w:b/>
                <w:bCs/>
              </w:rPr>
              <w:t>3305</w:t>
            </w:r>
          </w:p>
        </w:tc>
        <w:tc>
          <w:tcPr>
            <w:tcW w:type="dxa" w:w="2391"/>
            <w:tcBorders>
              <w:top w:val="nil"/>
              <w:left w:val="nil"/>
              <w:bottom w:val="nil"/>
              <w:right w:val="nil"/>
            </w:tcBorders>
            <w:shd w:fill="FFFFFF" w:val="clear"/>
            <w:vAlign w:val="center"/>
          </w:tcPr>
          <w:p>
            <w:pPr>
              <w:pStyle w:val="style68"/>
              <w:jc w:val="center"/>
              <w:rPr>
                <w:b/>
                <w:bCs/>
              </w:rPr>
            </w:pPr>
            <w:r>
              <w:rPr>
                <w:b/>
                <w:bCs/>
              </w:rPr>
              <w:t>22</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jc w:val="center"/>
              <w:rPr/>
            </w:pPr>
            <w:r>
              <w:rPr/>
              <w:t> </w:t>
            </w:r>
          </w:p>
        </w:tc>
      </w:tr>
    </w:tbl>
    <w:p>
      <w:pPr>
        <w:pStyle w:val="style53"/>
        <w:rPr>
          <w:b/>
          <w:bCs/>
          <w:sz w:val="18"/>
          <w:szCs w:val="18"/>
        </w:rPr>
      </w:pPr>
      <w:r>
        <w:rPr>
          <w:b/>
          <w:bCs/>
          <w:sz w:val="18"/>
          <w:szCs w:val="18"/>
        </w:rPr>
      </w:r>
    </w:p>
    <w:p>
      <w:pPr>
        <w:pStyle w:val="style53"/>
        <w:rPr>
          <w:b w:val="false"/>
          <w:bCs w:val="false"/>
          <w:sz w:val="18"/>
          <w:szCs w:val="18"/>
        </w:rPr>
      </w:pPr>
      <w:r>
        <w:rPr>
          <w:b w:val="false"/>
          <w:bCs w:val="false"/>
          <w:sz w:val="18"/>
          <w:szCs w:val="18"/>
        </w:rPr>
        <w:t xml:space="preserve">V časti pohľadávok spoločnosť vykazuje pohľadávky </w:t>
      </w:r>
      <w:r>
        <w:rPr>
          <w:b w:val="false"/>
          <w:bCs w:val="false"/>
          <w:sz w:val="18"/>
          <w:szCs w:val="18"/>
        </w:rPr>
        <w:t>v lehote splatnosti. Po lehote splatnosti spoločnosť</w:t>
      </w:r>
      <w:r>
        <w:rPr>
          <w:b w:val="false"/>
          <w:bCs w:val="false"/>
          <w:sz w:val="18"/>
          <w:szCs w:val="18"/>
        </w:rPr>
        <w:t xml:space="preserve">  </w:t>
      </w:r>
      <w:r>
        <w:rPr>
          <w:b w:val="false"/>
          <w:bCs w:val="false"/>
          <w:sz w:val="18"/>
          <w:szCs w:val="18"/>
        </w:rPr>
        <w:t>nevykazuje žiadne pohľadávky.</w:t>
      </w:r>
    </w:p>
    <w:p>
      <w:pPr>
        <w:pStyle w:val="style53"/>
        <w:rPr/>
      </w:pPr>
      <w:r>
        <w:rPr/>
      </w:r>
    </w:p>
    <w:p>
      <w:pPr>
        <w:pStyle w:val="style53"/>
        <w:rPr>
          <w:b w:val="false"/>
          <w:bCs w:val="false"/>
          <w:sz w:val="18"/>
          <w:szCs w:val="18"/>
        </w:rPr>
      </w:pPr>
      <w:r>
        <w:rPr>
          <w:b w:val="false"/>
          <w:bCs w:val="false"/>
          <w:sz w:val="18"/>
          <w:szCs w:val="18"/>
        </w:rPr>
        <w:t xml:space="preserve">Tým, že spoločnosť neeviduje k 31.12.2017 pohľadávky </w:t>
      </w:r>
      <w:r>
        <w:rPr>
          <w:b w:val="false"/>
          <w:bCs w:val="false"/>
          <w:sz w:val="18"/>
          <w:szCs w:val="18"/>
        </w:rPr>
        <w:t>po lehote splatnosti</w:t>
      </w:r>
      <w:r>
        <w:rPr>
          <w:b w:val="false"/>
          <w:bCs w:val="false"/>
          <w:sz w:val="18"/>
          <w:szCs w:val="18"/>
        </w:rPr>
        <w:t xml:space="preserve">, nebolo </w:t>
      </w:r>
    </w:p>
    <w:p>
      <w:pPr>
        <w:pStyle w:val="style53"/>
        <w:rPr>
          <w:b w:val="false"/>
          <w:bCs w:val="false"/>
          <w:sz w:val="18"/>
          <w:szCs w:val="18"/>
        </w:rPr>
      </w:pPr>
      <w:r>
        <w:rPr>
          <w:b w:val="false"/>
          <w:bCs w:val="false"/>
          <w:sz w:val="18"/>
          <w:szCs w:val="18"/>
        </w:rPr>
        <w:t>potrebné tvoriť opravné položky k pohľadávkam.</w:t>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3.  Krátkodobý finančný majetok</w:t>
      </w:r>
    </w:p>
    <w:p>
      <w:pPr>
        <w:pStyle w:val="style5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9"/>
        <w:gridCol w:w="2391"/>
      </w:tblGrid>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bežné účtovné obdobie</w:t>
            </w:r>
          </w:p>
        </w:tc>
        <w:tc>
          <w:tcPr>
            <w:tcW w:type="dxa" w:w="2391"/>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b/>
                <w:bCs/>
              </w:rPr>
            </w:pPr>
            <w:r>
              <w:rPr>
                <w:b/>
                <w:bCs/>
              </w:rPr>
              <w:t>obdobie</w:t>
            </w:r>
          </w:p>
        </w:tc>
        <w:tc>
          <w:tcPr>
            <w:tcW w:type="dxa" w:w="2391"/>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Názov položky</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 </w:t>
            </w:r>
          </w:p>
        </w:tc>
        <w:tc>
          <w:tcPr>
            <w:tcW w:type="dxa" w:w="2379"/>
            <w:tcBorders>
              <w:top w:val="nil"/>
              <w:left w:val="nil"/>
              <w:bottom w:val="nil"/>
              <w:right w:val="nil"/>
            </w:tcBorders>
            <w:shd w:fill="FFFFFF" w:val="clear"/>
            <w:vAlign w:val="center"/>
          </w:tcPr>
          <w:p>
            <w:pPr>
              <w:pStyle w:val="style68"/>
              <w:rPr/>
            </w:pPr>
            <w:r>
              <w:rPr/>
              <w:t> </w:t>
            </w:r>
          </w:p>
        </w:tc>
        <w:tc>
          <w:tcPr>
            <w:tcW w:type="dxa" w:w="2391"/>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Pokladnica</w:t>
            </w:r>
          </w:p>
        </w:tc>
        <w:tc>
          <w:tcPr>
            <w:tcW w:type="dxa" w:w="2379"/>
            <w:tcBorders>
              <w:top w:val="nil"/>
              <w:left w:val="nil"/>
              <w:bottom w:val="nil"/>
              <w:right w:val="nil"/>
            </w:tcBorders>
            <w:shd w:fill="FFFFFF" w:val="clear"/>
            <w:vAlign w:val="center"/>
          </w:tcPr>
          <w:p>
            <w:pPr>
              <w:pStyle w:val="style68"/>
              <w:rPr/>
            </w:pPr>
            <w:r>
              <w:rPr/>
              <w:t xml:space="preserve">                    </w:t>
            </w:r>
            <w:r>
              <w:rPr/>
              <w:t>279</w:t>
            </w:r>
          </w:p>
        </w:tc>
        <w:tc>
          <w:tcPr>
            <w:tcW w:type="dxa" w:w="2391"/>
            <w:tcBorders>
              <w:top w:val="nil"/>
              <w:left w:val="nil"/>
              <w:bottom w:val="nil"/>
              <w:right w:val="nil"/>
            </w:tcBorders>
            <w:shd w:fill="FFFFFF" w:val="clear"/>
            <w:vAlign w:val="center"/>
          </w:tcPr>
          <w:p>
            <w:pPr>
              <w:pStyle w:val="style68"/>
              <w:jc w:val="center"/>
              <w:rPr/>
            </w:pPr>
            <w:r>
              <w:rPr/>
              <w:t>9</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Ceniny</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Bankový účet v mene EUR</w:t>
            </w:r>
          </w:p>
        </w:tc>
        <w:tc>
          <w:tcPr>
            <w:tcW w:type="dxa" w:w="2379"/>
            <w:tcBorders>
              <w:top w:val="nil"/>
              <w:left w:val="nil"/>
              <w:bottom w:val="nil"/>
              <w:right w:val="nil"/>
            </w:tcBorders>
            <w:shd w:fill="FFFFFF" w:val="clear"/>
            <w:vAlign w:val="center"/>
          </w:tcPr>
          <w:p>
            <w:pPr>
              <w:pStyle w:val="style68"/>
              <w:rPr/>
            </w:pPr>
            <w:r>
              <w:rPr/>
              <w:t xml:space="preserve">                   </w:t>
            </w:r>
            <w:r>
              <w:rPr/>
              <w:t>9145</w:t>
            </w:r>
          </w:p>
        </w:tc>
        <w:tc>
          <w:tcPr>
            <w:tcW w:type="dxa" w:w="2391"/>
            <w:tcBorders>
              <w:top w:val="nil"/>
              <w:left w:val="nil"/>
              <w:bottom w:val="nil"/>
              <w:right w:val="nil"/>
            </w:tcBorders>
            <w:shd w:fill="FFFFFF" w:val="clear"/>
            <w:vAlign w:val="center"/>
          </w:tcPr>
          <w:p>
            <w:pPr>
              <w:pStyle w:val="style68"/>
              <w:jc w:val="center"/>
              <w:rPr/>
            </w:pPr>
            <w:r>
              <w:rPr/>
              <w:t>365</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Bankový účet v mene PLN</w:t>
            </w:r>
          </w:p>
        </w:tc>
        <w:tc>
          <w:tcPr>
            <w:tcW w:type="dxa" w:w="2379"/>
            <w:tcBorders>
              <w:top w:val="nil"/>
              <w:left w:val="nil"/>
              <w:bottom w:val="nil"/>
              <w:right w:val="nil"/>
            </w:tcBorders>
            <w:shd w:fill="FFFFFF" w:val="clear"/>
            <w:vAlign w:val="center"/>
          </w:tcPr>
          <w:p>
            <w:pPr>
              <w:pStyle w:val="style68"/>
              <w:jc w:val="center"/>
              <w:rPr/>
            </w:pPr>
            <w:r>
              <w:rPr/>
              <w:t xml:space="preserve">    </w:t>
            </w:r>
            <w:r>
              <w:rPr/>
              <w:t>54</w:t>
            </w:r>
          </w:p>
        </w:tc>
        <w:tc>
          <w:tcPr>
            <w:tcW w:type="dxa" w:w="2391"/>
            <w:tcBorders>
              <w:top w:val="nil"/>
              <w:left w:val="nil"/>
              <w:bottom w:val="nil"/>
              <w:right w:val="nil"/>
            </w:tcBorders>
            <w:shd w:fill="FFFFFF" w:val="clear"/>
            <w:vAlign w:val="center"/>
          </w:tcPr>
          <w:p>
            <w:pPr>
              <w:pStyle w:val="style68"/>
              <w:jc w:val="center"/>
              <w:rPr/>
            </w:pPr>
            <w:r>
              <w:rPr/>
              <w:t>28</w:t>
            </w:r>
          </w:p>
        </w:tc>
      </w:tr>
      <w:tr>
        <w:trPr>
          <w:trHeight w:hRule="atLeast" w:val="300"/>
          <w:cantSplit w:val="false"/>
        </w:trPr>
        <w:tc>
          <w:tcPr>
            <w:tcW w:type="dxa" w:w="2805"/>
            <w:tcBorders>
              <w:top w:val="nil"/>
              <w:left w:val="nil"/>
              <w:bottom w:val="nil"/>
              <w:right w:val="nil"/>
            </w:tcBorders>
            <w:shd w:fill="FFFFFF" w:val="clear"/>
            <w:vAlign w:val="center"/>
          </w:tcPr>
          <w:p>
            <w:pPr>
              <w:pStyle w:val="style68"/>
              <w:rPr/>
            </w:pPr>
            <w:r>
              <w:rPr/>
              <w:t>PeyPal</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pPr>
            <w:r>
              <w:rPr/>
              <w:t>Peniaze na ceste</w:t>
            </w:r>
          </w:p>
        </w:tc>
        <w:tc>
          <w:tcPr>
            <w:tcW w:type="dxa" w:w="2379"/>
            <w:tcBorders>
              <w:top w:val="nil"/>
              <w:left w:val="nil"/>
              <w:bottom w:val="nil"/>
              <w:right w:val="nil"/>
            </w:tcBorders>
            <w:shd w:fill="FFFFFF" w:val="clear"/>
            <w:vAlign w:val="center"/>
          </w:tcPr>
          <w:p>
            <w:pPr>
              <w:pStyle w:val="style68"/>
              <w:rPr/>
            </w:pPr>
            <w:r>
              <w:rPr/>
            </w:r>
          </w:p>
        </w:tc>
        <w:tc>
          <w:tcPr>
            <w:tcW w:type="dxa" w:w="2391"/>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8"/>
              <w:rPr>
                <w:b/>
                <w:bCs/>
              </w:rPr>
            </w:pPr>
            <w:r>
              <w:rPr/>
              <w:t> </w:t>
            </w:r>
            <w:r>
              <w:rPr>
                <w:b/>
                <w:bCs/>
              </w:rPr>
              <w:t>Spolu:</w:t>
            </w:r>
          </w:p>
        </w:tc>
        <w:tc>
          <w:tcPr>
            <w:tcW w:type="dxa" w:w="2379"/>
            <w:tcBorders>
              <w:top w:val="nil"/>
              <w:left w:val="nil"/>
              <w:bottom w:val="nil"/>
              <w:right w:val="nil"/>
            </w:tcBorders>
            <w:shd w:fill="FFFFFF" w:val="clear"/>
            <w:vAlign w:val="center"/>
          </w:tcPr>
          <w:p>
            <w:pPr>
              <w:pStyle w:val="style68"/>
              <w:rPr>
                <w:b/>
                <w:bCs/>
              </w:rPr>
            </w:pPr>
            <w:r>
              <w:rPr>
                <w:b/>
                <w:bCs/>
              </w:rPr>
              <w:t xml:space="preserve">                    </w:t>
            </w:r>
            <w:r>
              <w:rPr>
                <w:b/>
                <w:bCs/>
              </w:rPr>
              <w:t>9478</w:t>
            </w:r>
          </w:p>
        </w:tc>
        <w:tc>
          <w:tcPr>
            <w:tcW w:type="dxa" w:w="2391"/>
            <w:tcBorders>
              <w:top w:val="nil"/>
              <w:left w:val="nil"/>
              <w:bottom w:val="nil"/>
              <w:right w:val="nil"/>
            </w:tcBorders>
            <w:shd w:fill="FFFFFF" w:val="clear"/>
            <w:vAlign w:val="center"/>
          </w:tcPr>
          <w:p>
            <w:pPr>
              <w:pStyle w:val="style68"/>
              <w:jc w:val="center"/>
              <w:rPr>
                <w:b/>
                <w:bCs/>
              </w:rPr>
            </w:pPr>
            <w:r>
              <w:rPr>
                <w:b/>
                <w:bCs/>
              </w:rPr>
              <w:t>402</w:t>
            </w:r>
          </w:p>
        </w:tc>
      </w:tr>
    </w:tbl>
    <w:p>
      <w:pPr>
        <w:pStyle w:val="style53"/>
        <w:rPr>
          <w:b/>
          <w:bCs/>
          <w:sz w:val="18"/>
          <w:szCs w:val="18"/>
        </w:rPr>
      </w:pPr>
      <w:r>
        <w:rPr>
          <w:b/>
          <w:bCs/>
          <w:sz w:val="18"/>
          <w:szCs w:val="18"/>
        </w:rPr>
      </w:r>
    </w:p>
    <w:p>
      <w:pPr>
        <w:pStyle w:val="style53"/>
        <w:rPr>
          <w:b w:val="false"/>
          <w:bCs w:val="false"/>
          <w:sz w:val="18"/>
          <w:szCs w:val="18"/>
        </w:rPr>
      </w:pPr>
      <w:r>
        <w:rPr>
          <w:b w:val="false"/>
          <w:bCs w:val="false"/>
          <w:sz w:val="18"/>
          <w:szCs w:val="18"/>
        </w:rPr>
        <w:t xml:space="preserve">Spoločnosť </w:t>
      </w:r>
      <w:r>
        <w:rPr>
          <w:b w:val="false"/>
          <w:bCs w:val="false"/>
          <w:sz w:val="18"/>
          <w:szCs w:val="18"/>
        </w:rPr>
        <w:t>má zriadené účty vo VÚB banke, a.s., Mlynské nivy 1, Bratislava.</w:t>
      </w:r>
    </w:p>
    <w:p>
      <w:pPr>
        <w:pStyle w:val="style53"/>
        <w:rPr>
          <w:b w:val="false"/>
          <w:bCs w:val="false"/>
          <w:sz w:val="18"/>
          <w:szCs w:val="18"/>
        </w:rPr>
      </w:pPr>
      <w:r>
        <w:rPr>
          <w:b w:val="false"/>
          <w:bCs w:val="false"/>
          <w:sz w:val="18"/>
          <w:szCs w:val="18"/>
        </w:rPr>
        <w:t>Spoločnosť FERKON s.r.o. má zriadený bežný účet v eur a účet zahraničnej meny v PLN.</w:t>
      </w:r>
    </w:p>
    <w:p>
      <w:pPr>
        <w:pStyle w:val="style53"/>
        <w:rPr/>
      </w:pPr>
      <w:r>
        <w:rPr/>
      </w:r>
    </w:p>
    <w:p>
      <w:pPr>
        <w:pStyle w:val="style53"/>
        <w:rPr/>
      </w:pPr>
      <w:r>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4.  Informácie o rozdelení účtovného zisku alebo vysporiadanie účtovnej straty.</w:t>
      </w:r>
    </w:p>
    <w:p>
      <w:pPr>
        <w:pStyle w:val="style53"/>
        <w:rPr>
          <w:b/>
          <w:bCs/>
          <w:sz w:val="18"/>
          <w:szCs w:val="18"/>
        </w:rPr>
      </w:pPr>
      <w:r>
        <w:rPr>
          <w:b/>
          <w:bCs/>
          <w:sz w:val="18"/>
          <w:szCs w:val="18"/>
        </w:rPr>
      </w:r>
    </w:p>
    <w:tbl>
      <w:tblPr>
        <w:jc w:val="left"/>
        <w:tblInd w:type="dxa" w:w="82"/>
        <w:tblBorders>
          <w:top w:val="nil"/>
          <w:left w:val="nil"/>
          <w:bottom w:val="nil"/>
          <w:insideH w:val="nil"/>
          <w:right w:val="nil"/>
          <w:insideV w:val="nil"/>
        </w:tblBorders>
        <w:tblCellMar>
          <w:top w:type="dxa" w:w="0"/>
          <w:left w:type="dxa" w:w="0"/>
          <w:bottom w:type="dxa" w:w="0"/>
          <w:right w:type="dxa" w:w="0"/>
        </w:tblCellMar>
      </w:tblPr>
      <w:tblGrid>
        <w:gridCol w:w="4058"/>
        <w:gridCol w:w="3047"/>
      </w:tblGrid>
      <w:tr>
        <w:trPr>
          <w:trHeight w:hRule="atLeast" w:val="315"/>
          <w:cantSplit w:val="false"/>
        </w:trPr>
        <w:tc>
          <w:tcPr>
            <w:tcW w:type="dxa" w:w="4058"/>
            <w:tcBorders>
              <w:top w:val="nil"/>
              <w:left w:val="nil"/>
              <w:bottom w:val="nil"/>
              <w:right w:val="nil"/>
            </w:tcBorders>
            <w:shd w:fill="FFFFFF" w:val="clear"/>
            <w:vAlign w:val="center"/>
          </w:tcPr>
          <w:p>
            <w:pPr>
              <w:pStyle w:val="style68"/>
              <w:rPr/>
            </w:pPr>
            <w:r>
              <w:rPr/>
              <w:t>tabuľka č. 1</w:t>
            </w:r>
          </w:p>
        </w:tc>
        <w:tc>
          <w:tcPr>
            <w:tcW w:type="dxa" w:w="3047"/>
            <w:tcBorders>
              <w:top w:val="nil"/>
              <w:left w:val="nil"/>
              <w:bottom w:val="nil"/>
              <w:right w:val="nil"/>
            </w:tcBorders>
            <w:shd w:fill="FFFFFF" w:val="clear"/>
            <w:vAlign w:val="center"/>
          </w:tcPr>
          <w:p>
            <w:pPr>
              <w:pStyle w:val="style68"/>
              <w:rPr>
                <w:sz w:val="4"/>
                <w:szCs w:val="4"/>
              </w:rPr>
            </w:pPr>
            <w:r>
              <w:rPr>
                <w:sz w:val="4"/>
                <w:szCs w:val="4"/>
              </w:rPr>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b/>
                <w:bCs/>
              </w:rPr>
            </w:pPr>
            <w:r>
              <w:rPr/>
              <w:t>N</w:t>
            </w:r>
            <w:r>
              <w:rPr>
                <w:b/>
                <w:bCs/>
              </w:rPr>
              <w:t>ázov položky</w:t>
            </w:r>
          </w:p>
        </w:tc>
        <w:tc>
          <w:tcPr>
            <w:tcW w:type="dxa" w:w="3047"/>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4058"/>
            <w:tcBorders>
              <w:top w:val="nil"/>
              <w:left w:val="nil"/>
              <w:bottom w:val="nil"/>
              <w:right w:val="nil"/>
            </w:tcBorders>
            <w:shd w:fill="FFFFFF" w:val="clear"/>
            <w:vAlign w:val="center"/>
          </w:tcPr>
          <w:p>
            <w:pPr>
              <w:pStyle w:val="style68"/>
              <w:rPr/>
            </w:pPr>
            <w:r>
              <w:rPr/>
              <w:t> </w:t>
            </w:r>
          </w:p>
        </w:tc>
        <w:tc>
          <w:tcPr>
            <w:tcW w:type="dxa" w:w="3047"/>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b/>
                <w:bCs/>
              </w:rPr>
            </w:pPr>
            <w:r>
              <w:rPr>
                <w:b/>
                <w:bCs/>
              </w:rPr>
              <w:t>Účtovný zisk</w:t>
            </w:r>
          </w:p>
        </w:tc>
        <w:tc>
          <w:tcPr>
            <w:tcW w:type="dxa" w:w="3047"/>
            <w:tcBorders>
              <w:top w:val="nil"/>
              <w:left w:val="nil"/>
              <w:bottom w:val="nil"/>
              <w:right w:val="nil"/>
            </w:tcBorders>
            <w:shd w:fill="FFFFFF" w:val="clear"/>
            <w:vAlign w:val="center"/>
          </w:tcPr>
          <w:p>
            <w:pPr>
              <w:pStyle w:val="style68"/>
              <w:rPr/>
            </w:pPr>
            <w:r>
              <w:rPr/>
              <w:t xml:space="preserve">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 </w:t>
            </w:r>
          </w:p>
        </w:tc>
        <w:tc>
          <w:tcPr>
            <w:tcW w:type="dxa" w:w="3047"/>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Rozdelenie účtovného zisku</w:t>
            </w:r>
          </w:p>
        </w:tc>
        <w:tc>
          <w:tcPr>
            <w:tcW w:type="dxa" w:w="3047"/>
            <w:tcBorders>
              <w:top w:val="nil"/>
              <w:left w:val="nil"/>
              <w:bottom w:val="nil"/>
              <w:right w:val="nil"/>
            </w:tcBorders>
            <w:shd w:fill="FFFFFF" w:val="clear"/>
            <w:vAlign w:val="center"/>
          </w:tcPr>
          <w:p>
            <w:pPr>
              <w:pStyle w:val="style68"/>
              <w:jc w:val="center"/>
              <w:rPr>
                <w:b/>
                <w:bCs/>
              </w:rPr>
            </w:pPr>
            <w:r>
              <w:rPr>
                <w:b/>
                <w:bCs/>
              </w:rPr>
              <w:t>Bežné účtovné obdobie</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Prídel do zákonného rezervného fondu</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Prídel do štatutárnych a ostatných fondov</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Prídel do sociálneho fondu</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270"/>
          <w:cantSplit w:val="false"/>
        </w:trPr>
        <w:tc>
          <w:tcPr>
            <w:tcW w:type="dxa" w:w="4058"/>
            <w:tcBorders>
              <w:top w:val="nil"/>
              <w:left w:val="nil"/>
              <w:bottom w:val="nil"/>
              <w:right w:val="nil"/>
            </w:tcBorders>
            <w:shd w:fill="FFFFFF" w:val="clear"/>
            <w:vAlign w:val="center"/>
          </w:tcPr>
          <w:p>
            <w:pPr>
              <w:pStyle w:val="style68"/>
              <w:rPr/>
            </w:pPr>
            <w:r>
              <w:rPr/>
              <w:t>Prídel na zvýšenie základného imania</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Úhrada straty minulých období</w:t>
            </w:r>
          </w:p>
        </w:tc>
        <w:tc>
          <w:tcPr>
            <w:tcW w:type="dxa" w:w="3047"/>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Prevod do nerozdeleného zisku minulých rokov</w:t>
            </w:r>
          </w:p>
        </w:tc>
        <w:tc>
          <w:tcPr>
            <w:tcW w:type="dxa" w:w="3047"/>
            <w:tcBorders>
              <w:top w:val="nil"/>
              <w:left w:val="nil"/>
              <w:bottom w:val="nil"/>
              <w:right w:val="nil"/>
            </w:tcBorders>
            <w:shd w:fill="FFFFFF" w:val="clear"/>
            <w:vAlign w:val="center"/>
          </w:tcPr>
          <w:p>
            <w:pPr>
              <w:pStyle w:val="style68"/>
              <w:rPr/>
            </w:pPr>
            <w:r>
              <w:rPr/>
              <w:t xml:space="preserve">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t>Rozdelenie podielu na zisku spoločníkom</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058"/>
            <w:tcBorders>
              <w:top w:val="nil"/>
              <w:left w:val="nil"/>
              <w:bottom w:val="nil"/>
              <w:right w:val="nil"/>
            </w:tcBorders>
            <w:shd w:fill="FFFFFF" w:val="clear"/>
            <w:vAlign w:val="center"/>
          </w:tcPr>
          <w:p>
            <w:pPr>
              <w:pStyle w:val="style68"/>
              <w:rPr/>
            </w:pPr>
            <w:r>
              <w:rPr/>
            </w:r>
          </w:p>
        </w:tc>
        <w:tc>
          <w:tcPr>
            <w:tcW w:type="dxa" w:w="3047"/>
            <w:tcBorders>
              <w:top w:val="nil"/>
              <w:left w:val="nil"/>
              <w:bottom w:val="nil"/>
              <w:right w:val="nil"/>
            </w:tcBorders>
            <w:shd w:fill="FFFFFF" w:val="clear"/>
            <w:vAlign w:val="center"/>
          </w:tcPr>
          <w:p>
            <w:pPr>
              <w:pStyle w:val="style68"/>
              <w:rPr/>
            </w:pPr>
            <w:r>
              <w:rPr/>
              <w:t xml:space="preserve">                      </w:t>
            </w:r>
          </w:p>
        </w:tc>
      </w:tr>
      <w:tr>
        <w:trPr>
          <w:trHeight w:hRule="atLeast" w:val="315"/>
          <w:cantSplit w:val="false"/>
        </w:trPr>
        <w:tc>
          <w:tcPr>
            <w:tcW w:type="dxa" w:w="4058"/>
            <w:tcBorders>
              <w:top w:val="nil"/>
              <w:left w:val="nil"/>
              <w:bottom w:val="nil"/>
              <w:right w:val="nil"/>
            </w:tcBorders>
            <w:shd w:fill="FFFFFF" w:val="clear"/>
            <w:vAlign w:val="center"/>
          </w:tcPr>
          <w:p>
            <w:pPr>
              <w:pStyle w:val="style68"/>
              <w:rPr/>
            </w:pPr>
            <w:r>
              <w:rPr/>
              <w:t>iné</w:t>
            </w:r>
          </w:p>
        </w:tc>
        <w:tc>
          <w:tcPr>
            <w:tcW w:type="dxa" w:w="3047"/>
            <w:tcBorders>
              <w:top w:val="nil"/>
              <w:left w:val="nil"/>
              <w:bottom w:val="nil"/>
              <w:right w:val="nil"/>
            </w:tcBorders>
            <w:shd w:fill="FFFFFF" w:val="clear"/>
            <w:vAlign w:val="center"/>
          </w:tcPr>
          <w:p>
            <w:pPr>
              <w:pStyle w:val="style68"/>
              <w:rPr/>
            </w:pPr>
            <w:r>
              <w:rPr/>
              <w:t> </w:t>
            </w:r>
          </w:p>
        </w:tc>
      </w:tr>
      <w:tr>
        <w:trPr>
          <w:trHeight w:hRule="atLeast" w:val="315"/>
          <w:cantSplit w:val="false"/>
        </w:trPr>
        <w:tc>
          <w:tcPr>
            <w:tcW w:type="dxa" w:w="4058"/>
            <w:tcBorders>
              <w:top w:val="nil"/>
              <w:left w:val="nil"/>
              <w:bottom w:val="nil"/>
              <w:right w:val="nil"/>
            </w:tcBorders>
            <w:shd w:fill="FFFFFF" w:val="clear"/>
            <w:vAlign w:val="center"/>
          </w:tcPr>
          <w:p>
            <w:pPr>
              <w:pStyle w:val="style68"/>
              <w:rPr>
                <w:b/>
                <w:bCs/>
              </w:rPr>
            </w:pPr>
            <w:r>
              <w:rPr>
                <w:b/>
                <w:bCs/>
              </w:rPr>
              <w:t>Spolu:</w:t>
            </w:r>
          </w:p>
        </w:tc>
        <w:tc>
          <w:tcPr>
            <w:tcW w:type="dxa" w:w="3047"/>
            <w:tcBorders>
              <w:top w:val="nil"/>
              <w:left w:val="nil"/>
              <w:bottom w:val="nil"/>
              <w:right w:val="nil"/>
            </w:tcBorders>
            <w:shd w:fill="FFFFFF" w:val="clear"/>
            <w:vAlign w:val="center"/>
          </w:tcPr>
          <w:p>
            <w:pPr>
              <w:pStyle w:val="style68"/>
              <w:rPr>
                <w:b/>
                <w:bCs/>
              </w:rPr>
            </w:pPr>
            <w:r>
              <w:rPr/>
              <w:t xml:space="preserve">              </w:t>
            </w:r>
            <w:r>
              <w:rPr>
                <w:b/>
                <w:bCs/>
              </w:rPr>
              <w:t xml:space="preserve">      </w:t>
            </w:r>
          </w:p>
        </w:tc>
      </w:tr>
    </w:tbl>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t>Spoločnosť v účtovnom období nevykázala zisk, účtovala iba o odloženej dani.</w:t>
      </w:r>
    </w:p>
    <w:p>
      <w:pPr>
        <w:pStyle w:val="style53"/>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5"/>
        <w:gridCol w:w="3014"/>
      </w:tblGrid>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tabuľka č. 2</w:t>
            </w:r>
          </w:p>
        </w:tc>
        <w:tc>
          <w:tcPr>
            <w:tcW w:type="dxa" w:w="3014"/>
            <w:tcBorders>
              <w:top w:val="nil"/>
              <w:left w:val="nil"/>
              <w:bottom w:val="nil"/>
              <w:right w:val="nil"/>
            </w:tcBorders>
            <w:shd w:fill="FFFFFF" w:val="clear"/>
            <w:vAlign w:val="center"/>
          </w:tcPr>
          <w:p>
            <w:pPr>
              <w:pStyle w:val="style68"/>
              <w:rPr>
                <w:sz w:val="4"/>
                <w:szCs w:val="4"/>
              </w:rPr>
            </w:pPr>
            <w:r>
              <w:rPr>
                <w:sz w:val="4"/>
                <w:szCs w:val="4"/>
              </w:rPr>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b/>
                <w:bCs/>
              </w:rPr>
            </w:pPr>
            <w:r>
              <w:rPr>
                <w:b/>
                <w:bCs/>
              </w:rPr>
              <w:t>Názov položky</w:t>
            </w:r>
          </w:p>
        </w:tc>
        <w:tc>
          <w:tcPr>
            <w:tcW w:type="dxa" w:w="3014"/>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 </w:t>
            </w:r>
          </w:p>
        </w:tc>
        <w:tc>
          <w:tcPr>
            <w:tcW w:type="dxa" w:w="3014"/>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b/>
                <w:bCs/>
              </w:rPr>
            </w:pPr>
            <w:r>
              <w:rPr>
                <w:b/>
                <w:bCs/>
              </w:rPr>
              <w:t>Účtovná strata</w:t>
            </w:r>
          </w:p>
        </w:tc>
        <w:tc>
          <w:tcPr>
            <w:tcW w:type="dxa" w:w="3014"/>
            <w:tcBorders>
              <w:top w:val="nil"/>
              <w:left w:val="nil"/>
              <w:bottom w:val="nil"/>
              <w:right w:val="nil"/>
            </w:tcBorders>
            <w:shd w:fill="FFFFFF" w:val="clear"/>
            <w:vAlign w:val="center"/>
          </w:tcPr>
          <w:p>
            <w:pPr>
              <w:pStyle w:val="style68"/>
              <w:jc w:val="center"/>
              <w:rPr/>
            </w:pPr>
            <w:r>
              <w:rPr/>
              <w:t> </w:t>
            </w:r>
            <w:r>
              <w:rPr/>
              <w:t>3108</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 </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vysporiadanie účtovnej straty</w:t>
            </w:r>
          </w:p>
        </w:tc>
        <w:tc>
          <w:tcPr>
            <w:tcW w:type="dxa" w:w="3014"/>
            <w:tcBorders>
              <w:top w:val="nil"/>
              <w:left w:val="nil"/>
              <w:bottom w:val="nil"/>
              <w:right w:val="nil"/>
            </w:tcBorders>
            <w:shd w:fill="FFFFFF" w:val="clear"/>
            <w:vAlign w:val="center"/>
          </w:tcPr>
          <w:p>
            <w:pPr>
              <w:pStyle w:val="style68"/>
              <w:jc w:val="center"/>
              <w:rPr>
                <w:b/>
                <w:bCs/>
              </w:rPr>
            </w:pPr>
            <w:r>
              <w:rPr>
                <w:b/>
                <w:bCs/>
              </w:rPr>
              <w:t>Bežné 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zákonného rezervného fondu</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štatutárnych a ostatných fondov</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do sociálneho fondu</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Prídel na zvýšenie základného imania</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Úhrada straty minulých období</w:t>
            </w:r>
          </w:p>
        </w:tc>
        <w:tc>
          <w:tcPr>
            <w:tcW w:type="dxa" w:w="3014"/>
            <w:tcBorders>
              <w:top w:val="nil"/>
              <w:left w:val="nil"/>
              <w:bottom w:val="nil"/>
              <w:right w:val="nil"/>
            </w:tcBorders>
            <w:shd w:fill="FFFFFF" w:val="clear"/>
            <w:vAlign w:val="center"/>
          </w:tcPr>
          <w:p>
            <w:pPr>
              <w:pStyle w:val="style68"/>
              <w:jc w:val="center"/>
              <w:rPr/>
            </w:pPr>
            <w:r>
              <w:rPr/>
              <w:t> </w:t>
            </w:r>
            <w:r>
              <w:rPr/>
              <w:t>3108</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Prevod do nerozdeleného zisku minulých rokov</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8"/>
              <w:rPr/>
            </w:pPr>
            <w:r>
              <w:rPr/>
              <w:t>Rozdelenie podielu na zisku spoločníkom</w:t>
            </w:r>
          </w:p>
        </w:tc>
        <w:tc>
          <w:tcPr>
            <w:tcW w:type="dxa" w:w="3014"/>
            <w:tcBorders>
              <w:top w:val="nil"/>
              <w:left w:val="nil"/>
              <w:bottom w:val="nil"/>
              <w:right w:val="nil"/>
            </w:tcBorders>
            <w:shd w:fill="FFFFFF" w:val="clear"/>
            <w:vAlign w:val="center"/>
          </w:tcPr>
          <w:p>
            <w:pPr>
              <w:pStyle w:val="style68"/>
              <w:rPr/>
            </w:pPr>
            <w:r>
              <w:rPr/>
              <w:t> </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pPr>
            <w:r>
              <w:rPr/>
              <w:t>Daňová licencia</w:t>
            </w:r>
          </w:p>
        </w:tc>
        <w:tc>
          <w:tcPr>
            <w:tcW w:type="dxa" w:w="3014"/>
            <w:tcBorders>
              <w:top w:val="nil"/>
              <w:left w:val="nil"/>
              <w:bottom w:val="nil"/>
              <w:right w:val="nil"/>
            </w:tcBorders>
            <w:shd w:fill="FFFFFF" w:val="clear"/>
            <w:vAlign w:val="center"/>
          </w:tcPr>
          <w:p>
            <w:pPr>
              <w:pStyle w:val="style68"/>
              <w:jc w:val="center"/>
              <w:rPr/>
            </w:pPr>
            <w:r>
              <w:rPr/>
              <w:t>960</w:t>
            </w:r>
          </w:p>
        </w:tc>
      </w:tr>
      <w:tr>
        <w:trPr>
          <w:trHeight w:hRule="atLeast" w:val="315"/>
          <w:cantSplit w:val="false"/>
        </w:trPr>
        <w:tc>
          <w:tcPr>
            <w:tcW w:type="dxa" w:w="4165"/>
            <w:tcBorders>
              <w:top w:val="nil"/>
              <w:left w:val="nil"/>
              <w:bottom w:val="nil"/>
              <w:right w:val="nil"/>
            </w:tcBorders>
            <w:shd w:fill="FFFFFF" w:val="clear"/>
            <w:vAlign w:val="center"/>
          </w:tcPr>
          <w:p>
            <w:pPr>
              <w:pStyle w:val="style68"/>
              <w:rPr>
                <w:b/>
                <w:bCs/>
              </w:rPr>
            </w:pPr>
            <w:r>
              <w:rPr>
                <w:b/>
                <w:bCs/>
              </w:rPr>
              <w:t>Spolu:</w:t>
            </w:r>
          </w:p>
        </w:tc>
        <w:tc>
          <w:tcPr>
            <w:tcW w:type="dxa" w:w="3014"/>
            <w:tcBorders>
              <w:top w:val="nil"/>
              <w:left w:val="nil"/>
              <w:bottom w:val="nil"/>
              <w:right w:val="nil"/>
            </w:tcBorders>
            <w:shd w:fill="FFFFFF" w:val="clear"/>
            <w:vAlign w:val="center"/>
          </w:tcPr>
          <w:p>
            <w:pPr>
              <w:pStyle w:val="style68"/>
              <w:jc w:val="center"/>
              <w:rPr/>
            </w:pPr>
            <w:r>
              <w:rPr/>
              <w:t>960</w:t>
            </w:r>
          </w:p>
        </w:tc>
      </w:tr>
    </w:tbl>
    <w:p>
      <w:pPr>
        <w:pStyle w:val="style53"/>
        <w:rPr>
          <w:b w:val="false"/>
          <w:bCs w:val="false"/>
          <w:sz w:val="18"/>
          <w:szCs w:val="18"/>
        </w:rPr>
      </w:pPr>
      <w:r>
        <w:rPr>
          <w:b w:val="false"/>
          <w:bCs w:val="false"/>
          <w:sz w:val="18"/>
          <w:szCs w:val="18"/>
        </w:rPr>
      </w:r>
    </w:p>
    <w:p>
      <w:pPr>
        <w:pStyle w:val="style53"/>
        <w:rPr>
          <w:sz w:val="20"/>
          <w:szCs w:val="20"/>
        </w:rPr>
      </w:pPr>
      <w:r>
        <w:rPr>
          <w:sz w:val="20"/>
          <w:szCs w:val="20"/>
        </w:rPr>
        <w:t>Na základe rozhodnutia Valného zhromaždenia, ktoré sa konalo dňa 30.04.2017 spoločnosť preúčtovala daňovú licenciu na účet 429.22 a daňovú stratu na účet 429.04.</w:t>
      </w:r>
    </w:p>
    <w:p>
      <w:pPr>
        <w:pStyle w:val="style53"/>
        <w:rPr>
          <w:b w:val="false"/>
          <w:bCs w:val="false"/>
          <w:sz w:val="21"/>
          <w:szCs w:val="21"/>
        </w:rPr>
      </w:pPr>
      <w:r>
        <w:rPr>
          <w:b w:val="false"/>
          <w:bCs w:val="false"/>
          <w:sz w:val="21"/>
          <w:szCs w:val="21"/>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5.  Informácie o rezervách</w:t>
      </w:r>
    </w:p>
    <w:p>
      <w:pPr>
        <w:pStyle w:val="style53"/>
        <w:rPr>
          <w:b w:val="false"/>
          <w:bCs w:val="false"/>
          <w:sz w:val="18"/>
          <w:szCs w:val="18"/>
        </w:rPr>
      </w:pPr>
      <w:r>
        <w:rPr>
          <w:b w:val="false"/>
          <w:bCs w:val="false"/>
          <w:sz w:val="18"/>
          <w:szCs w:val="18"/>
        </w:rPr>
        <w:t>Spoločnosť v bežnom účtovnom období nemala povinnosť tvoriť rezervy.</w:t>
      </w:r>
    </w:p>
    <w:p>
      <w:pPr>
        <w:pStyle w:val="style53"/>
        <w:rPr>
          <w:b w:val="false"/>
          <w:bCs w:val="false"/>
          <w:sz w:val="18"/>
          <w:szCs w:val="18"/>
        </w:rPr>
      </w:pPr>
      <w:r>
        <w:rPr>
          <w:b w:val="false"/>
          <w:bCs w:val="false"/>
          <w:sz w:val="18"/>
          <w:szCs w:val="18"/>
        </w:rPr>
      </w:r>
    </w:p>
    <w:p>
      <w:pPr>
        <w:pStyle w:val="style53"/>
        <w:rPr>
          <w:b/>
          <w:bCs/>
          <w:sz w:val="18"/>
          <w:szCs w:val="18"/>
        </w:rPr>
      </w:pPr>
      <w:r>
        <w:rPr>
          <w:b/>
          <w:bCs/>
          <w:sz w:val="18"/>
          <w:szCs w:val="18"/>
        </w:rPr>
        <w:t>6.  Informácie o záväzkoch</w:t>
      </w:r>
    </w:p>
    <w:p>
      <w:pPr>
        <w:pStyle w:val="style53"/>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9"/>
        <w:gridCol w:w="2484"/>
        <w:gridCol w:w="2493"/>
      </w:tblGrid>
      <w:tr>
        <w:trPr>
          <w:trHeight w:hRule="atLeast" w:val="300"/>
          <w:cantSplit w:val="false"/>
        </w:trPr>
        <w:tc>
          <w:tcPr>
            <w:tcW w:type="dxa" w:w="2899"/>
            <w:tcBorders>
              <w:top w:val="nil"/>
              <w:left w:val="nil"/>
              <w:bottom w:val="nil"/>
              <w:right w:val="nil"/>
            </w:tcBorders>
            <w:shd w:fill="FFFFFF" w:val="clear"/>
            <w:vAlign w:val="center"/>
          </w:tcPr>
          <w:p>
            <w:pPr>
              <w:pStyle w:val="style68"/>
              <w:rPr>
                <w:b/>
                <w:bCs/>
              </w:rPr>
            </w:pPr>
            <w:r>
              <w:rPr>
                <w:b/>
                <w:bCs/>
              </w:rPr>
              <w:t>Názov položky</w:t>
            </w:r>
          </w:p>
        </w:tc>
        <w:tc>
          <w:tcPr>
            <w:tcW w:type="dxa" w:w="2484"/>
            <w:tcBorders>
              <w:top w:val="nil"/>
              <w:left w:val="nil"/>
              <w:bottom w:val="nil"/>
              <w:right w:val="nil"/>
            </w:tcBorders>
            <w:shd w:fill="FFFFFF" w:val="clear"/>
            <w:vAlign w:val="center"/>
          </w:tcPr>
          <w:p>
            <w:pPr>
              <w:pStyle w:val="style68"/>
              <w:jc w:val="center"/>
              <w:rPr>
                <w:b/>
                <w:bCs/>
              </w:rPr>
            </w:pPr>
            <w:r>
              <w:rPr>
                <w:b/>
                <w:bCs/>
              </w:rPr>
              <w:t>Bežné účtovné obdobie</w:t>
            </w:r>
          </w:p>
        </w:tc>
        <w:tc>
          <w:tcPr>
            <w:tcW w:type="dxa" w:w="2493"/>
            <w:tcBorders>
              <w:top w:val="nil"/>
              <w:left w:val="nil"/>
              <w:bottom w:val="nil"/>
              <w:right w:val="nil"/>
            </w:tcBorders>
            <w:shd w:fill="FFFFFF" w:val="clear"/>
            <w:vAlign w:val="center"/>
          </w:tcPr>
          <w:p>
            <w:pPr>
              <w:pStyle w:val="style68"/>
              <w:jc w:val="center"/>
              <w:rPr>
                <w:b/>
                <w:bCs/>
              </w:rPr>
            </w:pPr>
            <w:r>
              <w:rPr>
                <w:b/>
                <w:bCs/>
              </w:rPr>
              <w:t>Bezprostredne predchádzajúce</w:t>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 </w:t>
            </w:r>
          </w:p>
        </w:tc>
        <w:tc>
          <w:tcPr>
            <w:tcW w:type="dxa" w:w="2484"/>
            <w:tcBorders>
              <w:top w:val="nil"/>
              <w:left w:val="nil"/>
              <w:bottom w:val="nil"/>
              <w:right w:val="nil"/>
            </w:tcBorders>
            <w:shd w:fill="FFFFFF" w:val="clear"/>
            <w:vAlign w:val="center"/>
          </w:tcPr>
          <w:p>
            <w:pPr>
              <w:pStyle w:val="style68"/>
              <w:jc w:val="center"/>
              <w:rPr>
                <w:b/>
                <w:bCs/>
              </w:rPr>
            </w:pPr>
            <w:r>
              <w:rPr>
                <w:b/>
                <w:bCs/>
              </w:rPr>
              <w:t>účtovné obdobie</w:t>
            </w:r>
          </w:p>
        </w:tc>
        <w:tc>
          <w:tcPr>
            <w:tcW w:type="dxa" w:w="2493"/>
            <w:tcBorders>
              <w:top w:val="nil"/>
              <w:left w:val="nil"/>
              <w:bottom w:val="nil"/>
              <w:right w:val="nil"/>
            </w:tcBorders>
            <w:shd w:fill="FFFFFF" w:val="clear"/>
            <w:vAlign w:val="center"/>
          </w:tcPr>
          <w:p>
            <w:pPr>
              <w:pStyle w:val="style68"/>
              <w:jc w:val="center"/>
              <w:rPr>
                <w:b/>
                <w:bCs/>
              </w:rPr>
            </w:pPr>
            <w:r>
              <w:rPr>
                <w:b/>
                <w:bCs/>
              </w:rPr>
              <w:t>účtovné obdobie</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z obchodného styku</w:t>
            </w:r>
          </w:p>
        </w:tc>
        <w:tc>
          <w:tcPr>
            <w:tcW w:type="dxa" w:w="2484"/>
            <w:tcBorders>
              <w:top w:val="nil"/>
              <w:left w:val="nil"/>
              <w:bottom w:val="nil"/>
              <w:right w:val="nil"/>
            </w:tcBorders>
            <w:shd w:fill="FFFFFF" w:val="clear"/>
            <w:vAlign w:val="center"/>
          </w:tcPr>
          <w:p>
            <w:pPr>
              <w:pStyle w:val="style68"/>
              <w:rPr/>
            </w:pPr>
            <w:r>
              <w:rPr/>
              <w:t xml:space="preserve">                    </w:t>
            </w:r>
            <w:r>
              <w:rPr/>
              <w:t>679</w:t>
            </w:r>
          </w:p>
        </w:tc>
        <w:tc>
          <w:tcPr>
            <w:tcW w:type="dxa" w:w="2493"/>
            <w:tcBorders>
              <w:top w:val="nil"/>
              <w:left w:val="nil"/>
              <w:bottom w:val="nil"/>
              <w:right w:val="nil"/>
            </w:tcBorders>
            <w:shd w:fill="FFFFFF" w:val="clear"/>
            <w:vAlign w:val="center"/>
          </w:tcPr>
          <w:p>
            <w:pPr>
              <w:pStyle w:val="style68"/>
              <w:rPr/>
            </w:pPr>
            <w:r>
              <w:rPr/>
              <w:t xml:space="preserve">                  </w:t>
            </w:r>
            <w:r>
              <w:rPr/>
              <w:t>499</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voči daňovému úradu</w:t>
            </w:r>
          </w:p>
        </w:tc>
        <w:tc>
          <w:tcPr>
            <w:tcW w:type="dxa" w:w="2484"/>
            <w:tcBorders>
              <w:top w:val="nil"/>
              <w:left w:val="nil"/>
              <w:bottom w:val="nil"/>
              <w:right w:val="nil"/>
            </w:tcBorders>
            <w:shd w:fill="FFFFFF" w:val="clear"/>
            <w:vAlign w:val="center"/>
          </w:tcPr>
          <w:p>
            <w:pPr>
              <w:pStyle w:val="style68"/>
              <w:rPr>
                <w:sz w:val="16"/>
                <w:szCs w:val="16"/>
              </w:rPr>
            </w:pPr>
            <w:r>
              <w:rPr/>
              <w:t xml:space="preserve">              </w:t>
            </w:r>
            <w:r>
              <w:rPr>
                <w:sz w:val="16"/>
                <w:szCs w:val="16"/>
              </w:rPr>
              <w:t xml:space="preserve">     </w:t>
            </w:r>
            <w:r>
              <w:rPr>
                <w:sz w:val="16"/>
                <w:szCs w:val="16"/>
              </w:rPr>
              <w:t>1493</w:t>
            </w:r>
          </w:p>
        </w:tc>
        <w:tc>
          <w:tcPr>
            <w:tcW w:type="dxa" w:w="2493"/>
            <w:tcBorders>
              <w:top w:val="nil"/>
              <w:left w:val="nil"/>
              <w:bottom w:val="nil"/>
              <w:right w:val="nil"/>
            </w:tcBorders>
            <w:shd w:fill="FFFFFF" w:val="clear"/>
            <w:vAlign w:val="center"/>
          </w:tcPr>
          <w:p>
            <w:pPr>
              <w:pStyle w:val="style68"/>
              <w:jc w:val="center"/>
              <w:rPr/>
            </w:pPr>
            <w:r>
              <w:rPr/>
              <w:t xml:space="preserve"> </w:t>
            </w:r>
            <w:r>
              <w:rPr/>
              <w:t>976</w:t>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né záväzky</w:t>
            </w:r>
          </w:p>
        </w:tc>
        <w:tc>
          <w:tcPr>
            <w:tcW w:type="dxa" w:w="2484"/>
            <w:tcBorders>
              <w:top w:val="nil"/>
              <w:left w:val="nil"/>
              <w:bottom w:val="nil"/>
              <w:right w:val="nil"/>
            </w:tcBorders>
            <w:shd w:fill="FFFFFF" w:val="clear"/>
            <w:vAlign w:val="center"/>
          </w:tcPr>
          <w:p>
            <w:pPr>
              <w:pStyle w:val="style68"/>
              <w:jc w:val="center"/>
              <w:rPr/>
            </w:pPr>
            <w:r>
              <w:rPr/>
              <w:t xml:space="preserve">    </w:t>
            </w:r>
            <w:r>
              <w:rPr/>
              <w:t>929</w:t>
            </w:r>
          </w:p>
        </w:tc>
        <w:tc>
          <w:tcPr>
            <w:tcW w:type="dxa" w:w="2493"/>
            <w:tcBorders>
              <w:top w:val="nil"/>
              <w:left w:val="nil"/>
              <w:bottom w:val="nil"/>
              <w:right w:val="nil"/>
            </w:tcBorders>
            <w:shd w:fill="FFFFFF" w:val="clear"/>
            <w:vAlign w:val="center"/>
          </w:tcPr>
          <w:p>
            <w:pPr>
              <w:pStyle w:val="style68"/>
              <w:jc w:val="center"/>
              <w:rPr/>
            </w:pPr>
            <w:r>
              <w:rPr/>
              <w:t>600</w:t>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b/>
                <w:bCs/>
              </w:rPr>
            </w:pPr>
            <w:r>
              <w:rPr>
                <w:b/>
                <w:bCs/>
              </w:rPr>
              <w:t>Krátkodobé záväzky spolu:</w:t>
            </w:r>
          </w:p>
        </w:tc>
        <w:tc>
          <w:tcPr>
            <w:tcW w:type="dxa" w:w="2484"/>
            <w:tcBorders>
              <w:top w:val="nil"/>
              <w:left w:val="nil"/>
              <w:bottom w:val="nil"/>
              <w:right w:val="nil"/>
            </w:tcBorders>
            <w:shd w:fill="FFFFFF" w:val="clear"/>
            <w:vAlign w:val="center"/>
          </w:tcPr>
          <w:p>
            <w:pPr>
              <w:pStyle w:val="style68"/>
              <w:rPr>
                <w:b/>
                <w:bCs/>
                <w:sz w:val="16"/>
                <w:szCs w:val="16"/>
              </w:rPr>
            </w:pPr>
            <w:r>
              <w:rPr>
                <w:b/>
                <w:bCs/>
                <w:sz w:val="16"/>
                <w:szCs w:val="16"/>
              </w:rPr>
              <w:t xml:space="preserve">                    </w:t>
            </w:r>
            <w:r>
              <w:rPr>
                <w:b/>
                <w:bCs/>
                <w:sz w:val="16"/>
                <w:szCs w:val="16"/>
              </w:rPr>
              <w:t>3101</w:t>
            </w:r>
          </w:p>
        </w:tc>
        <w:tc>
          <w:tcPr>
            <w:tcW w:type="dxa" w:w="2493"/>
            <w:tcBorders>
              <w:top w:val="nil"/>
              <w:left w:val="nil"/>
              <w:bottom w:val="nil"/>
              <w:right w:val="nil"/>
            </w:tcBorders>
            <w:shd w:fill="FFFFFF" w:val="clear"/>
            <w:vAlign w:val="center"/>
          </w:tcPr>
          <w:p>
            <w:pPr>
              <w:pStyle w:val="style68"/>
              <w:jc w:val="center"/>
              <w:rPr>
                <w:b/>
                <w:bCs/>
                <w:sz w:val="16"/>
                <w:szCs w:val="16"/>
              </w:rPr>
            </w:pPr>
            <w:r>
              <w:rPr>
                <w:b/>
                <w:bCs/>
                <w:sz w:val="16"/>
                <w:szCs w:val="16"/>
              </w:rPr>
              <w:t>2075</w:t>
            </w:r>
          </w:p>
        </w:tc>
      </w:tr>
      <w:tr>
        <w:trPr>
          <w:trHeight w:hRule="atLeast" w:val="300"/>
          <w:cantSplit w:val="false"/>
        </w:trPr>
        <w:tc>
          <w:tcPr>
            <w:tcW w:type="dxa" w:w="2899"/>
            <w:tcBorders>
              <w:top w:val="nil"/>
              <w:left w:val="nil"/>
              <w:bottom w:val="nil"/>
              <w:right w:val="nil"/>
            </w:tcBorders>
            <w:shd w:fill="FFFFFF" w:val="clear"/>
            <w:vAlign w:val="center"/>
          </w:tcPr>
          <w:p>
            <w:pPr>
              <w:pStyle w:val="style68"/>
              <w:rPr/>
            </w:pPr>
            <w:r>
              <w:rPr/>
              <w:t>Záväzky s dobou splatnosti 1-5</w:t>
            </w:r>
          </w:p>
        </w:tc>
        <w:tc>
          <w:tcPr>
            <w:tcW w:type="dxa" w:w="2484"/>
            <w:tcBorders>
              <w:top w:val="nil"/>
              <w:left w:val="nil"/>
              <w:bottom w:val="nil"/>
              <w:right w:val="nil"/>
            </w:tcBorders>
            <w:shd w:fill="FFFFFF" w:val="clear"/>
            <w:vAlign w:val="center"/>
          </w:tcPr>
          <w:p>
            <w:pPr>
              <w:pStyle w:val="style68"/>
              <w:rPr/>
            </w:pPr>
            <w:r>
              <w:rPr/>
            </w:r>
          </w:p>
        </w:tc>
        <w:tc>
          <w:tcPr>
            <w:tcW w:type="dxa" w:w="2493"/>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pPr>
            <w:r>
              <w:rPr/>
              <w:t>Záväzky s dobou splatnosti nad 5</w:t>
            </w:r>
          </w:p>
        </w:tc>
        <w:tc>
          <w:tcPr>
            <w:tcW w:type="dxa" w:w="2484"/>
            <w:tcBorders>
              <w:top w:val="nil"/>
              <w:left w:val="nil"/>
              <w:bottom w:val="nil"/>
              <w:right w:val="nil"/>
            </w:tcBorders>
            <w:shd w:fill="FFFFFF" w:val="clear"/>
            <w:vAlign w:val="center"/>
          </w:tcPr>
          <w:p>
            <w:pPr>
              <w:pStyle w:val="style68"/>
              <w:rPr/>
            </w:pPr>
            <w:r>
              <w:rPr/>
            </w:r>
          </w:p>
        </w:tc>
        <w:tc>
          <w:tcPr>
            <w:tcW w:type="dxa" w:w="2493"/>
            <w:tcBorders>
              <w:top w:val="nil"/>
              <w:left w:val="nil"/>
              <w:bottom w:val="nil"/>
              <w:right w:val="nil"/>
            </w:tcBorders>
            <w:shd w:fill="FFFFFF" w:val="clear"/>
            <w:vAlign w:val="center"/>
          </w:tcPr>
          <w:p>
            <w:pPr>
              <w:pStyle w:val="style68"/>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8"/>
              <w:rPr>
                <w:b/>
                <w:bCs/>
              </w:rPr>
            </w:pPr>
            <w:r>
              <w:rPr>
                <w:b/>
                <w:bCs/>
              </w:rPr>
              <w:t>Záväzky spolu:</w:t>
            </w:r>
          </w:p>
        </w:tc>
        <w:tc>
          <w:tcPr>
            <w:tcW w:type="dxa" w:w="2484"/>
            <w:tcBorders>
              <w:top w:val="nil"/>
              <w:left w:val="nil"/>
              <w:bottom w:val="nil"/>
              <w:right w:val="nil"/>
            </w:tcBorders>
            <w:shd w:fill="FFFFFF" w:val="clear"/>
            <w:vAlign w:val="center"/>
          </w:tcPr>
          <w:p>
            <w:pPr>
              <w:pStyle w:val="style68"/>
              <w:jc w:val="center"/>
              <w:rPr>
                <w:b/>
                <w:bCs/>
                <w:sz w:val="16"/>
                <w:szCs w:val="16"/>
              </w:rPr>
            </w:pPr>
            <w:r>
              <w:rPr>
                <w:b/>
                <w:bCs/>
                <w:sz w:val="16"/>
                <w:szCs w:val="16"/>
              </w:rPr>
              <w:t xml:space="preserve">   </w:t>
            </w:r>
            <w:r>
              <w:rPr>
                <w:b/>
                <w:bCs/>
                <w:sz w:val="16"/>
                <w:szCs w:val="16"/>
              </w:rPr>
              <w:t>3101</w:t>
            </w:r>
            <w:r>
              <w:rPr>
                <w:b/>
                <w:bCs/>
                <w:sz w:val="16"/>
                <w:szCs w:val="16"/>
              </w:rPr>
              <w:t xml:space="preserve">                                                           </w:t>
            </w:r>
          </w:p>
        </w:tc>
        <w:tc>
          <w:tcPr>
            <w:tcW w:type="dxa" w:w="2493"/>
            <w:tcBorders>
              <w:top w:val="nil"/>
              <w:left w:val="nil"/>
              <w:bottom w:val="nil"/>
              <w:right w:val="nil"/>
            </w:tcBorders>
            <w:shd w:fill="FFFFFF" w:val="clear"/>
            <w:vAlign w:val="center"/>
          </w:tcPr>
          <w:p>
            <w:pPr>
              <w:pStyle w:val="style68"/>
              <w:jc w:val="center"/>
              <w:rPr>
                <w:b/>
                <w:bCs/>
                <w:sz w:val="16"/>
                <w:szCs w:val="16"/>
              </w:rPr>
            </w:pPr>
            <w:r>
              <w:rPr>
                <w:b/>
                <w:bCs/>
                <w:sz w:val="16"/>
                <w:szCs w:val="16"/>
              </w:rPr>
              <w:t>2075</w:t>
            </w:r>
          </w:p>
        </w:tc>
      </w:tr>
    </w:tbl>
    <w:p>
      <w:pPr>
        <w:pStyle w:val="style53"/>
        <w:rPr>
          <w:b w:val="false"/>
          <w:bCs w:val="false"/>
          <w:sz w:val="18"/>
          <w:szCs w:val="18"/>
        </w:rPr>
      </w:pPr>
      <w:r>
        <w:rPr>
          <w:b w:val="false"/>
          <w:bCs w:val="false"/>
          <w:sz w:val="18"/>
          <w:szCs w:val="18"/>
        </w:rPr>
      </w:r>
    </w:p>
    <w:p>
      <w:pPr>
        <w:pStyle w:val="style53"/>
        <w:rPr>
          <w:b w:val="false"/>
          <w:bCs w:val="false"/>
          <w:sz w:val="16"/>
          <w:szCs w:val="16"/>
        </w:rPr>
      </w:pPr>
      <w:r>
        <w:rPr>
          <w:b w:val="false"/>
          <w:bCs w:val="false"/>
          <w:sz w:val="16"/>
          <w:szCs w:val="16"/>
        </w:rPr>
        <w:t>Spoločnosť vykazuje za hodnotiace obdobie iba krátkodobé záväzky v lehote splatnosti</w:t>
      </w:r>
    </w:p>
    <w:p>
      <w:pPr>
        <w:pStyle w:val="style53"/>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4"/>
        <w:gridCol w:w="2487"/>
        <w:gridCol w:w="2498"/>
      </w:tblGrid>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8"/>
              <w:jc w:val="center"/>
              <w:rPr>
                <w:b/>
                <w:bCs/>
                <w:sz w:val="16"/>
                <w:szCs w:val="16"/>
              </w:rPr>
            </w:pPr>
            <w:r>
              <w:rPr>
                <w:b/>
                <w:bCs/>
                <w:sz w:val="16"/>
                <w:szCs w:val="16"/>
              </w:rPr>
              <w:t>Bežné účtovné obdobie</w:t>
            </w:r>
          </w:p>
        </w:tc>
        <w:tc>
          <w:tcPr>
            <w:tcW w:type="dxa" w:w="2498"/>
            <w:tcBorders>
              <w:top w:val="nil"/>
              <w:left w:val="nil"/>
              <w:bottom w:val="nil"/>
              <w:right w:val="nil"/>
            </w:tcBorders>
            <w:shd w:fill="FFFFFF" w:val="clear"/>
            <w:vAlign w:val="center"/>
          </w:tcPr>
          <w:p>
            <w:pPr>
              <w:pStyle w:val="style68"/>
              <w:jc w:val="center"/>
              <w:rPr>
                <w:b/>
                <w:bCs/>
                <w:sz w:val="16"/>
                <w:szCs w:val="16"/>
              </w:rPr>
            </w:pPr>
            <w:r>
              <w:rPr>
                <w:b/>
                <w:bCs/>
                <w:sz w:val="16"/>
                <w:szCs w:val="16"/>
              </w:rPr>
              <w:t>Bezprostredne predchádzajúce</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jc w:val="center"/>
              <w:rPr>
                <w:b/>
                <w:bCs/>
                <w:sz w:val="16"/>
                <w:szCs w:val="16"/>
              </w:rPr>
            </w:pPr>
            <w:r>
              <w:rPr>
                <w:b/>
                <w:bCs/>
                <w:sz w:val="16"/>
                <w:szCs w:val="16"/>
              </w:rPr>
              <w:t>účtovné obdobie</w:t>
            </w:r>
          </w:p>
        </w:tc>
        <w:tc>
          <w:tcPr>
            <w:tcW w:type="dxa" w:w="2498"/>
            <w:tcBorders>
              <w:top w:val="nil"/>
              <w:left w:val="nil"/>
              <w:bottom w:val="nil"/>
              <w:right w:val="nil"/>
            </w:tcBorders>
            <w:shd w:fill="FFFFFF" w:val="clear"/>
            <w:vAlign w:val="center"/>
          </w:tcPr>
          <w:p>
            <w:pPr>
              <w:pStyle w:val="style68"/>
              <w:jc w:val="center"/>
              <w:rPr>
                <w:b/>
                <w:bCs/>
                <w:sz w:val="16"/>
                <w:szCs w:val="16"/>
              </w:rPr>
            </w:pPr>
            <w:r>
              <w:rPr>
                <w:b/>
                <w:bCs/>
                <w:sz w:val="16"/>
                <w:szCs w:val="16"/>
              </w:rPr>
              <w:t>účtovné obdobie</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8"/>
              <w:jc w:val="center"/>
              <w:rPr>
                <w:sz w:val="16"/>
                <w:szCs w:val="16"/>
              </w:rPr>
            </w:pPr>
            <w:r>
              <w:rPr>
                <w:sz w:val="16"/>
                <w:szCs w:val="16"/>
              </w:rPr>
              <w:t> </w:t>
            </w:r>
            <w:r>
              <w:rPr>
                <w:sz w:val="16"/>
                <w:szCs w:val="16"/>
              </w:rPr>
              <w:t>14000</w:t>
            </w:r>
          </w:p>
        </w:tc>
        <w:tc>
          <w:tcPr>
            <w:tcW w:type="dxa" w:w="2498"/>
            <w:tcBorders>
              <w:top w:val="nil"/>
              <w:left w:val="nil"/>
              <w:bottom w:val="nil"/>
              <w:right w:val="nil"/>
            </w:tcBorders>
            <w:shd w:fill="FFFFFF" w:val="clear"/>
            <w:vAlign w:val="center"/>
          </w:tcPr>
          <w:p>
            <w:pPr>
              <w:pStyle w:val="style68"/>
              <w:jc w:val="center"/>
              <w:rPr>
                <w:sz w:val="16"/>
                <w:szCs w:val="16"/>
              </w:rPr>
            </w:pPr>
            <w:r>
              <w:rPr>
                <w:sz w:val="16"/>
                <w:szCs w:val="16"/>
              </w:rPr>
              <w:t> </w:t>
            </w:r>
            <w:r>
              <w:rPr>
                <w:sz w:val="16"/>
                <w:szCs w:val="16"/>
              </w:rPr>
              <w:t>600</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r>
        <w:trPr>
          <w:trHeight w:hRule="atLeast" w:val="300"/>
          <w:cantSplit w:val="false"/>
        </w:trPr>
        <w:tc>
          <w:tcPr>
            <w:tcW w:type="dxa" w:w="2904"/>
            <w:tcBorders>
              <w:top w:val="nil"/>
              <w:left w:val="nil"/>
              <w:bottom w:val="nil"/>
              <w:right w:val="nil"/>
            </w:tcBorders>
            <w:shd w:fill="FFFFFF" w:val="clear"/>
            <w:vAlign w:val="center"/>
          </w:tcPr>
          <w:p>
            <w:pPr>
              <w:pStyle w:val="style68"/>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8"/>
              <w:jc w:val="center"/>
              <w:rPr>
                <w:sz w:val="16"/>
                <w:szCs w:val="16"/>
              </w:rPr>
            </w:pPr>
            <w:r>
              <w:rPr>
                <w:sz w:val="16"/>
                <w:szCs w:val="16"/>
              </w:rPr>
              <w:t> </w:t>
            </w:r>
            <w:r>
              <w:rPr>
                <w:sz w:val="16"/>
                <w:szCs w:val="16"/>
              </w:rPr>
              <w:t>14000</w:t>
            </w:r>
          </w:p>
        </w:tc>
        <w:tc>
          <w:tcPr>
            <w:tcW w:type="dxa" w:w="2498"/>
            <w:tcBorders>
              <w:top w:val="nil"/>
              <w:left w:val="nil"/>
              <w:bottom w:val="nil"/>
              <w:right w:val="nil"/>
            </w:tcBorders>
            <w:shd w:fill="FFFFFF" w:val="clear"/>
            <w:vAlign w:val="center"/>
          </w:tcPr>
          <w:p>
            <w:pPr>
              <w:pStyle w:val="style68"/>
              <w:jc w:val="center"/>
              <w:rPr>
                <w:sz w:val="16"/>
                <w:szCs w:val="16"/>
              </w:rPr>
            </w:pPr>
            <w:r>
              <w:rPr>
                <w:sz w:val="16"/>
                <w:szCs w:val="16"/>
              </w:rPr>
              <w:t> </w:t>
            </w:r>
            <w:r>
              <w:rPr>
                <w:sz w:val="16"/>
                <w:szCs w:val="16"/>
              </w:rPr>
              <w:t>600</w:t>
            </w:r>
          </w:p>
        </w:tc>
      </w:tr>
      <w:tr>
        <w:trPr>
          <w:trHeight w:hRule="atLeast" w:val="315"/>
          <w:cantSplit w:val="false"/>
        </w:trPr>
        <w:tc>
          <w:tcPr>
            <w:tcW w:type="dxa" w:w="2904"/>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8"/>
              <w:rPr>
                <w:sz w:val="16"/>
                <w:szCs w:val="16"/>
              </w:rPr>
            </w:pPr>
            <w:r>
              <w:rPr>
                <w:sz w:val="16"/>
                <w:szCs w:val="16"/>
              </w:rPr>
              <w:t> </w:t>
            </w:r>
          </w:p>
        </w:tc>
        <w:tc>
          <w:tcPr>
            <w:tcW w:type="dxa" w:w="2498"/>
            <w:tcBorders>
              <w:top w:val="nil"/>
              <w:left w:val="nil"/>
              <w:bottom w:val="nil"/>
              <w:right w:val="nil"/>
            </w:tcBorders>
            <w:shd w:fill="FFFFFF" w:val="clear"/>
            <w:vAlign w:val="center"/>
          </w:tcPr>
          <w:p>
            <w:pPr>
              <w:pStyle w:val="style68"/>
              <w:rPr>
                <w:sz w:val="16"/>
                <w:szCs w:val="16"/>
              </w:rPr>
            </w:pPr>
            <w:r>
              <w:rPr>
                <w:sz w:val="16"/>
                <w:szCs w:val="16"/>
              </w:rPr>
              <w:t> </w:t>
            </w:r>
          </w:p>
        </w:tc>
      </w:tr>
    </w:tbl>
    <w:p>
      <w:pPr>
        <w:pStyle w:val="style53"/>
        <w:rPr>
          <w:b w:val="false"/>
          <w:bCs w:val="false"/>
          <w:sz w:val="18"/>
          <w:szCs w:val="18"/>
        </w:rPr>
      </w:pPr>
      <w:r>
        <w:rPr>
          <w:b w:val="false"/>
          <w:bCs w:val="false"/>
          <w:sz w:val="18"/>
          <w:szCs w:val="18"/>
        </w:rPr>
      </w:r>
    </w:p>
    <w:p>
      <w:pPr>
        <w:pStyle w:val="style53"/>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53"/>
        <w:rPr>
          <w:b w:val="false"/>
          <w:bCs w:val="false"/>
          <w:sz w:val="16"/>
          <w:szCs w:val="16"/>
        </w:rPr>
      </w:pPr>
      <w:r>
        <w:rPr>
          <w:b w:val="false"/>
          <w:bCs w:val="false"/>
          <w:sz w:val="16"/>
          <w:szCs w:val="16"/>
        </w:rPr>
        <w:t>ani finančné výpomoci.</w:t>
      </w:r>
    </w:p>
    <w:p>
      <w:pPr>
        <w:pStyle w:val="style53"/>
        <w:rPr>
          <w:b w:val="false"/>
          <w:bCs w:val="false"/>
          <w:sz w:val="16"/>
          <w:szCs w:val="16"/>
        </w:rPr>
      </w:pPr>
      <w:r>
        <w:rPr>
          <w:b w:val="false"/>
          <w:bCs w:val="false"/>
          <w:sz w:val="16"/>
          <w:szCs w:val="16"/>
        </w:rPr>
        <w:t>Spoločnosť má krátkodobú finančnú výpomoc od konateľa spoločnosti v celkovej výške 14000 €.</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2017 spoločnosť dosiahla celkové výnosy vo výške   </w:t>
      </w:r>
      <w:r>
        <w:rPr>
          <w:b/>
          <w:bCs/>
          <w:sz w:val="16"/>
          <w:szCs w:val="16"/>
        </w:rPr>
        <w:t>49.744,82</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09"/>
        <w:gridCol w:w="2488"/>
        <w:gridCol w:w="2498"/>
      </w:tblGrid>
      <w:tr>
        <w:trPr>
          <w:trHeight w:hRule="atLeast" w:val="300"/>
          <w:cantSplit w:val="false"/>
        </w:trPr>
        <w:tc>
          <w:tcPr>
            <w:tcW w:type="dxa" w:w="3309"/>
            <w:tcBorders>
              <w:top w:val="nil"/>
              <w:left w:val="nil"/>
              <w:bottom w:val="nil"/>
              <w:right w:val="nil"/>
            </w:tcBorders>
            <w:shd w:fill="FFFFFF" w:val="clear"/>
            <w:vAlign w:val="center"/>
          </w:tcPr>
          <w:p>
            <w:pPr>
              <w:pStyle w:val="style68"/>
              <w:rPr>
                <w:b/>
                <w:bCs/>
              </w:rPr>
            </w:pPr>
            <w:r>
              <w:rPr>
                <w:b/>
                <w:bCs/>
              </w:rPr>
              <w:t>Oblasť odbytu</w:t>
            </w:r>
          </w:p>
        </w:tc>
        <w:tc>
          <w:tcPr>
            <w:tcW w:type="dxa" w:w="2488"/>
            <w:tcBorders>
              <w:top w:val="nil"/>
              <w:left w:val="nil"/>
              <w:bottom w:val="nil"/>
              <w:right w:val="nil"/>
            </w:tcBorders>
            <w:shd w:fill="FFFFFF" w:val="clear"/>
            <w:vAlign w:val="center"/>
          </w:tcPr>
          <w:p>
            <w:pPr>
              <w:pStyle w:val="style68"/>
              <w:rPr>
                <w:b/>
                <w:bCs/>
              </w:rPr>
            </w:pPr>
            <w:r>
              <w:rPr>
                <w:b/>
                <w:bCs/>
              </w:rPr>
              <w:t>Bežné účtovné obdobie</w:t>
            </w:r>
          </w:p>
        </w:tc>
        <w:tc>
          <w:tcPr>
            <w:tcW w:type="dxa" w:w="2498"/>
            <w:tcBorders>
              <w:top w:val="nil"/>
              <w:left w:val="nil"/>
              <w:bottom w:val="nil"/>
              <w:right w:val="nil"/>
            </w:tcBorders>
            <w:shd w:fill="FFFFFF" w:val="clear"/>
            <w:vAlign w:val="center"/>
          </w:tcPr>
          <w:p>
            <w:pPr>
              <w:pStyle w:val="style68"/>
              <w:rPr>
                <w:b/>
                <w:bCs/>
              </w:rPr>
            </w:pPr>
            <w:r>
              <w:rPr>
                <w:b/>
                <w:bCs/>
              </w:rPr>
              <w:t>Bezprostredne predchádzajúce</w:t>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b/>
                <w:bCs/>
              </w:rPr>
            </w:pPr>
            <w:r>
              <w:rPr>
                <w:b/>
                <w:bCs/>
              </w:rPr>
              <w:t> </w:t>
            </w:r>
          </w:p>
        </w:tc>
        <w:tc>
          <w:tcPr>
            <w:tcW w:type="dxa" w:w="2488"/>
            <w:tcBorders>
              <w:top w:val="nil"/>
              <w:left w:val="nil"/>
              <w:bottom w:val="nil"/>
              <w:right w:val="nil"/>
            </w:tcBorders>
            <w:shd w:fill="FFFFFF" w:val="clear"/>
            <w:vAlign w:val="center"/>
          </w:tcPr>
          <w:p>
            <w:pPr>
              <w:pStyle w:val="style68"/>
              <w:rPr>
                <w:b/>
                <w:bCs/>
              </w:rPr>
            </w:pPr>
            <w:r>
              <w:rPr>
                <w:b/>
                <w:bCs/>
              </w:rPr>
              <w:t>účtovné obdobie</w:t>
            </w:r>
          </w:p>
        </w:tc>
        <w:tc>
          <w:tcPr>
            <w:tcW w:type="dxa" w:w="2498"/>
            <w:tcBorders>
              <w:top w:val="nil"/>
              <w:left w:val="nil"/>
              <w:bottom w:val="nil"/>
              <w:right w:val="nil"/>
            </w:tcBorders>
            <w:shd w:fill="FFFFFF" w:val="clear"/>
            <w:vAlign w:val="center"/>
          </w:tcPr>
          <w:p>
            <w:pPr>
              <w:pStyle w:val="style68"/>
              <w:rPr>
                <w:b/>
                <w:bCs/>
              </w:rPr>
            </w:pPr>
            <w:r>
              <w:rPr>
                <w:b/>
                <w:bCs/>
              </w:rPr>
              <w:t>účtovné obdobie</w:t>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pPr>
            <w:r>
              <w:rPr/>
              <w:t xml:space="preserve">Predaj </w:t>
            </w:r>
            <w:r>
              <w:rPr/>
              <w:t>tovaru</w:t>
            </w:r>
          </w:p>
        </w:tc>
        <w:tc>
          <w:tcPr>
            <w:tcW w:type="dxa" w:w="2488"/>
            <w:tcBorders>
              <w:top w:val="nil"/>
              <w:left w:val="nil"/>
              <w:bottom w:val="nil"/>
              <w:right w:val="nil"/>
            </w:tcBorders>
            <w:shd w:fill="FFFFFF" w:val="clear"/>
            <w:vAlign w:val="center"/>
          </w:tcPr>
          <w:p>
            <w:pPr>
              <w:pStyle w:val="style68"/>
              <w:jc w:val="center"/>
              <w:rPr/>
            </w:pPr>
            <w:r>
              <w:rPr/>
              <w:t>46264</w:t>
            </w:r>
          </w:p>
        </w:tc>
        <w:tc>
          <w:tcPr>
            <w:tcW w:type="dxa" w:w="2498"/>
            <w:tcBorders>
              <w:top w:val="nil"/>
              <w:left w:val="nil"/>
              <w:bottom w:val="nil"/>
              <w:right w:val="nil"/>
            </w:tcBorders>
            <w:shd w:fill="FFFFFF" w:val="clear"/>
            <w:vAlign w:val="center"/>
          </w:tcPr>
          <w:p>
            <w:pPr>
              <w:pStyle w:val="style68"/>
              <w:jc w:val="center"/>
              <w:rPr/>
            </w:pPr>
            <w:r>
              <w:rPr/>
              <w:t>150</w:t>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Predaj služieb</w:t>
            </w:r>
          </w:p>
        </w:tc>
        <w:tc>
          <w:tcPr>
            <w:tcW w:type="dxa" w:w="2488"/>
            <w:tcBorders>
              <w:top w:val="nil"/>
              <w:left w:val="nil"/>
              <w:bottom w:val="nil"/>
              <w:right w:val="nil"/>
            </w:tcBorders>
            <w:shd w:fill="FFFFFF" w:val="clear"/>
            <w:vAlign w:val="center"/>
          </w:tcPr>
          <w:p>
            <w:pPr>
              <w:pStyle w:val="style68"/>
              <w:jc w:val="center"/>
              <w:rPr/>
            </w:pPr>
            <w:r>
              <w:rPr/>
              <w:t>3480</w:t>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 Obchodné zastúpenie</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 Hostingové služby</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Tržby z predaja IM</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Bankové úrokx</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jc w:val="center"/>
              <w:rPr/>
            </w:pPr>
            <w:r>
              <w:rPr/>
              <w:t>35</w:t>
            </w:r>
          </w:p>
        </w:tc>
      </w:tr>
      <w:tr>
        <w:trPr>
          <w:trHeight w:hRule="atLeast" w:val="300"/>
          <w:cantSplit w:val="false"/>
        </w:trPr>
        <w:tc>
          <w:tcPr>
            <w:tcW w:type="dxa" w:w="3309"/>
            <w:tcBorders>
              <w:top w:val="nil"/>
              <w:left w:val="nil"/>
              <w:bottom w:val="nil"/>
              <w:right w:val="nil"/>
            </w:tcBorders>
            <w:shd w:fill="FFFFFF" w:val="clear"/>
            <w:vAlign w:val="center"/>
          </w:tcPr>
          <w:p>
            <w:pPr>
              <w:pStyle w:val="style68"/>
              <w:rPr/>
            </w:pPr>
            <w:r>
              <w:rPr/>
              <w:t>Úroky z omeškania</w:t>
            </w:r>
          </w:p>
        </w:tc>
        <w:tc>
          <w:tcPr>
            <w:tcW w:type="dxa" w:w="2488"/>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pPr>
            <w:r>
              <w:rPr/>
              <w:t> </w:t>
            </w:r>
            <w:r>
              <w:rPr/>
              <w:t>Kurzové zisky</w:t>
            </w:r>
          </w:p>
        </w:tc>
        <w:tc>
          <w:tcPr>
            <w:tcW w:type="dxa" w:w="2488"/>
            <w:tcBorders>
              <w:top w:val="nil"/>
              <w:left w:val="nil"/>
              <w:bottom w:val="nil"/>
              <w:right w:val="nil"/>
            </w:tcBorders>
            <w:shd w:fill="FFFFFF" w:val="clear"/>
            <w:vAlign w:val="center"/>
          </w:tcPr>
          <w:p>
            <w:pPr>
              <w:pStyle w:val="style68"/>
              <w:jc w:val="center"/>
              <w:rPr/>
            </w:pPr>
            <w:r>
              <w:rPr/>
              <w:t>1</w:t>
            </w:r>
          </w:p>
        </w:tc>
        <w:tc>
          <w:tcPr>
            <w:tcW w:type="dxa" w:w="2498"/>
            <w:tcBorders>
              <w:top w:val="nil"/>
              <w:left w:val="nil"/>
              <w:bottom w:val="nil"/>
              <w:right w:val="nil"/>
            </w:tcBorders>
            <w:shd w:fill="FFFFFF" w:val="clear"/>
            <w:vAlign w:val="center"/>
          </w:tcPr>
          <w:p>
            <w:pPr>
              <w:pStyle w:val="style68"/>
              <w:jc w:val="center"/>
              <w:rPr/>
            </w:pPr>
            <w:r>
              <w:rPr/>
              <w:t>02</w:t>
            </w:r>
          </w:p>
        </w:tc>
      </w:tr>
      <w:tr>
        <w:trPr>
          <w:trHeight w:hRule="atLeast" w:val="315"/>
          <w:cantSplit w:val="false"/>
        </w:trPr>
        <w:tc>
          <w:tcPr>
            <w:tcW w:type="dxa" w:w="3309"/>
            <w:tcBorders>
              <w:top w:val="nil"/>
              <w:left w:val="nil"/>
              <w:bottom w:val="nil"/>
              <w:right w:val="nil"/>
            </w:tcBorders>
            <w:shd w:fill="FFFFFF" w:val="clear"/>
            <w:vAlign w:val="center"/>
          </w:tcPr>
          <w:p>
            <w:pPr>
              <w:pStyle w:val="style68"/>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8"/>
              <w:jc w:val="center"/>
              <w:rPr>
                <w:b/>
                <w:bCs/>
                <w:sz w:val="18"/>
                <w:szCs w:val="18"/>
              </w:rPr>
            </w:pPr>
            <w:r>
              <w:rPr>
                <w:b/>
                <w:bCs/>
                <w:sz w:val="18"/>
                <w:szCs w:val="18"/>
              </w:rPr>
              <w:t>49745</w:t>
            </w:r>
          </w:p>
        </w:tc>
        <w:tc>
          <w:tcPr>
            <w:tcW w:type="dxa" w:w="2498"/>
            <w:tcBorders>
              <w:top w:val="nil"/>
              <w:left w:val="nil"/>
              <w:bottom w:val="nil"/>
              <w:right w:val="nil"/>
            </w:tcBorders>
            <w:shd w:fill="FFFFFF" w:val="clear"/>
            <w:vAlign w:val="center"/>
          </w:tcPr>
          <w:p>
            <w:pPr>
              <w:pStyle w:val="style68"/>
              <w:jc w:val="center"/>
              <w:rPr>
                <w:b/>
                <w:bCs/>
                <w:sz w:val="18"/>
                <w:szCs w:val="18"/>
              </w:rPr>
            </w:pPr>
            <w:r>
              <w:rPr>
                <w:b/>
                <w:bCs/>
                <w:sz w:val="18"/>
                <w:szCs w:val="18"/>
              </w:rPr>
              <w:t>187</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2017 spoločnosť dosiahla celkové náklady vo výške   </w:t>
      </w:r>
      <w:r>
        <w:rPr>
          <w:b/>
          <w:bCs/>
          <w:sz w:val="16"/>
          <w:szCs w:val="16"/>
        </w:rPr>
        <w:t>63.883,72</w:t>
      </w:r>
      <w:r>
        <w:rPr>
          <w:b/>
          <w:bCs/>
          <w:sz w:val="16"/>
          <w:szCs w:val="16"/>
        </w:rPr>
        <w:t xml:space="preserve">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5"/>
        <w:gridCol w:w="2496"/>
        <w:gridCol w:w="2498"/>
      </w:tblGrid>
      <w:tr>
        <w:trPr>
          <w:trHeight w:hRule="atLeast" w:val="300"/>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8"/>
              <w:rPr>
                <w:b/>
                <w:bCs/>
                <w:sz w:val="16"/>
                <w:szCs w:val="16"/>
              </w:rPr>
            </w:pPr>
            <w:r>
              <w:rPr>
                <w:b/>
                <w:bCs/>
                <w:sz w:val="16"/>
                <w:szCs w:val="16"/>
              </w:rPr>
              <w:t>Bežné účtovné obdobie</w:t>
            </w:r>
          </w:p>
        </w:tc>
        <w:tc>
          <w:tcPr>
            <w:tcW w:type="dxa" w:w="2498"/>
            <w:tcBorders>
              <w:top w:val="nil"/>
              <w:left w:val="nil"/>
              <w:bottom w:val="nil"/>
              <w:right w:val="nil"/>
            </w:tcBorders>
            <w:shd w:fill="FFFFFF" w:val="clear"/>
            <w:vAlign w:val="center"/>
          </w:tcPr>
          <w:p>
            <w:pPr>
              <w:pStyle w:val="style68"/>
              <w:rPr>
                <w:b/>
                <w:bCs/>
                <w:sz w:val="16"/>
                <w:szCs w:val="16"/>
              </w:rPr>
            </w:pPr>
            <w:r>
              <w:rPr>
                <w:b/>
                <w:bCs/>
                <w:sz w:val="16"/>
                <w:szCs w:val="16"/>
              </w:rPr>
              <w:t>Bezprostredne predchádzajúce</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8"/>
              <w:rPr>
                <w:b/>
                <w:bCs/>
                <w:sz w:val="16"/>
                <w:szCs w:val="16"/>
              </w:rPr>
            </w:pPr>
            <w:r>
              <w:rPr>
                <w:b/>
                <w:bCs/>
                <w:sz w:val="16"/>
                <w:szCs w:val="16"/>
              </w:rPr>
              <w:t>účtovné obdobie</w:t>
            </w:r>
          </w:p>
        </w:tc>
        <w:tc>
          <w:tcPr>
            <w:tcW w:type="dxa" w:w="2498"/>
            <w:tcBorders>
              <w:top w:val="nil"/>
              <w:left w:val="nil"/>
              <w:bottom w:val="nil"/>
              <w:right w:val="nil"/>
            </w:tcBorders>
            <w:shd w:fill="FFFFFF" w:val="clear"/>
            <w:vAlign w:val="center"/>
          </w:tcPr>
          <w:p>
            <w:pPr>
              <w:pStyle w:val="style68"/>
              <w:rPr>
                <w:b/>
                <w:bCs/>
                <w:sz w:val="16"/>
                <w:szCs w:val="16"/>
              </w:rPr>
            </w:pPr>
            <w:r>
              <w:rPr>
                <w:b/>
                <w:bCs/>
                <w:sz w:val="16"/>
                <w:szCs w:val="16"/>
              </w:rPr>
              <w:t>účtovné obdobie</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8"/>
              <w:jc w:val="center"/>
              <w:rPr/>
            </w:pPr>
            <w:r>
              <w:rPr/>
              <w:t>667</w:t>
            </w:r>
          </w:p>
        </w:tc>
        <w:tc>
          <w:tcPr>
            <w:tcW w:type="dxa" w:w="2498"/>
            <w:tcBorders>
              <w:top w:val="nil"/>
              <w:left w:val="nil"/>
              <w:bottom w:val="nil"/>
              <w:right w:val="nil"/>
            </w:tcBorders>
            <w:shd w:fill="FFFFFF" w:val="clear"/>
            <w:vAlign w:val="center"/>
          </w:tcPr>
          <w:p>
            <w:pPr>
              <w:pStyle w:val="style68"/>
              <w:jc w:val="center"/>
              <w:rPr/>
            </w:pPr>
            <w:r>
              <w:rPr/>
              <w:t>65</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8"/>
              <w:rPr/>
            </w:pPr>
            <w:r>
              <w:rPr/>
            </w:r>
          </w:p>
        </w:tc>
        <w:tc>
          <w:tcPr>
            <w:tcW w:type="dxa" w:w="2498"/>
            <w:tcBorders>
              <w:top w:val="nil"/>
              <w:left w:val="nil"/>
              <w:bottom w:val="nil"/>
              <w:right w:val="nil"/>
            </w:tcBorders>
            <w:shd w:fill="FFFFFF" w:val="clear"/>
            <w:vAlign w:val="center"/>
          </w:tcPr>
          <w:p>
            <w:pPr>
              <w:pStyle w:val="style68"/>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8"/>
              <w:jc w:val="center"/>
              <w:rPr/>
            </w:pPr>
            <w:r>
              <w:rPr/>
              <w:t>44768</w:t>
            </w:r>
          </w:p>
        </w:tc>
        <w:tc>
          <w:tcPr>
            <w:tcW w:type="dxa" w:w="2498"/>
            <w:tcBorders>
              <w:top w:val="nil"/>
              <w:left w:val="nil"/>
              <w:bottom w:val="nil"/>
              <w:right w:val="nil"/>
            </w:tcBorders>
            <w:shd w:fill="FFFFFF" w:val="clear"/>
            <w:vAlign w:val="center"/>
          </w:tcPr>
          <w:p>
            <w:pPr>
              <w:pStyle w:val="style68"/>
              <w:jc w:val="center"/>
              <w:rPr/>
            </w:pPr>
            <w:r>
              <w:rPr/>
              <w:t>121</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8"/>
              <w:jc w:val="center"/>
              <w:rPr/>
            </w:pPr>
            <w:r>
              <w:rPr/>
              <w:t>10969</w:t>
            </w:r>
          </w:p>
        </w:tc>
        <w:tc>
          <w:tcPr>
            <w:tcW w:type="dxa" w:w="2498"/>
            <w:tcBorders>
              <w:top w:val="nil"/>
              <w:left w:val="nil"/>
              <w:bottom w:val="nil"/>
              <w:right w:val="nil"/>
            </w:tcBorders>
            <w:shd w:fill="FFFFFF" w:val="clear"/>
            <w:vAlign w:val="center"/>
          </w:tcPr>
          <w:p>
            <w:pPr>
              <w:pStyle w:val="style68"/>
              <w:jc w:val="center"/>
              <w:rPr/>
            </w:pPr>
            <w:r>
              <w:rPr/>
              <w:t>1667</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8"/>
              <w:jc w:val="center"/>
              <w:rPr/>
            </w:pPr>
            <w:r>
              <w:rPr/>
              <w:t>6217</w:t>
            </w:r>
          </w:p>
        </w:tc>
        <w:tc>
          <w:tcPr>
            <w:tcW w:type="dxa" w:w="2498"/>
            <w:tcBorders>
              <w:top w:val="nil"/>
              <w:left w:val="nil"/>
              <w:bottom w:val="nil"/>
              <w:right w:val="nil"/>
            </w:tcBorders>
            <w:shd w:fill="FFFFFF" w:val="clear"/>
            <w:vAlign w:val="center"/>
          </w:tcPr>
          <w:p>
            <w:pPr>
              <w:pStyle w:val="style68"/>
              <w:jc w:val="center"/>
              <w:rPr/>
            </w:pPr>
            <w:r>
              <w:rPr/>
              <w:t>345</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8"/>
              <w:jc w:val="center"/>
              <w:rPr/>
            </w:pPr>
            <w:r>
              <w:rPr/>
            </w:r>
          </w:p>
        </w:tc>
        <w:tc>
          <w:tcPr>
            <w:tcW w:type="dxa" w:w="2498"/>
            <w:tcBorders>
              <w:top w:val="nil"/>
              <w:left w:val="nil"/>
              <w:bottom w:val="nil"/>
              <w:right w:val="nil"/>
            </w:tcBorders>
            <w:shd w:fill="FFFFFF" w:val="clear"/>
            <w:vAlign w:val="center"/>
          </w:tcPr>
          <w:p>
            <w:pPr>
              <w:pStyle w:val="style68"/>
              <w:jc w:val="center"/>
              <w:rPr/>
            </w:pPr>
            <w:r>
              <w:rPr/>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8"/>
              <w:jc w:val="center"/>
              <w:rPr/>
            </w:pPr>
            <w:r>
              <w:rPr/>
              <w:t>303</w:t>
            </w:r>
          </w:p>
        </w:tc>
        <w:tc>
          <w:tcPr>
            <w:tcW w:type="dxa" w:w="2498"/>
            <w:tcBorders>
              <w:top w:val="nil"/>
              <w:left w:val="nil"/>
              <w:bottom w:val="nil"/>
              <w:right w:val="nil"/>
            </w:tcBorders>
            <w:shd w:fill="FFFFFF" w:val="clear"/>
            <w:vAlign w:val="center"/>
          </w:tcPr>
          <w:p>
            <w:pPr>
              <w:pStyle w:val="style68"/>
              <w:jc w:val="center"/>
              <w:rPr/>
            </w:pPr>
            <w:r>
              <w:rPr/>
              <w:t>132</w:t>
            </w:r>
          </w:p>
        </w:tc>
      </w:tr>
      <w:tr>
        <w:trPr>
          <w:trHeight w:hRule="atLeast" w:val="300"/>
          <w:cantSplit w:val="false"/>
        </w:trPr>
        <w:tc>
          <w:tcPr>
            <w:tcW w:type="dxa" w:w="3315"/>
            <w:tcBorders>
              <w:top w:val="nil"/>
              <w:left w:val="nil"/>
              <w:bottom w:val="nil"/>
              <w:right w:val="nil"/>
            </w:tcBorders>
            <w:shd w:fill="FFFFFF" w:val="clear"/>
            <w:vAlign w:val="center"/>
          </w:tcPr>
          <w:p>
            <w:pPr>
              <w:pStyle w:val="style68"/>
              <w:rPr>
                <w:sz w:val="16"/>
                <w:szCs w:val="16"/>
              </w:rPr>
            </w:pPr>
            <w:r>
              <w:rPr>
                <w:sz w:val="16"/>
                <w:szCs w:val="16"/>
              </w:rPr>
              <w:t>Kurzové straty</w:t>
            </w:r>
          </w:p>
        </w:tc>
        <w:tc>
          <w:tcPr>
            <w:tcW w:type="dxa" w:w="2496"/>
            <w:tcBorders>
              <w:top w:val="nil"/>
              <w:left w:val="nil"/>
              <w:bottom w:val="nil"/>
              <w:right w:val="nil"/>
            </w:tcBorders>
            <w:shd w:fill="FFFFFF" w:val="clear"/>
            <w:vAlign w:val="center"/>
          </w:tcPr>
          <w:p>
            <w:pPr>
              <w:pStyle w:val="style68"/>
              <w:jc w:val="center"/>
              <w:rPr/>
            </w:pPr>
            <w:r>
              <w:rPr/>
              <w:t>9</w:t>
            </w:r>
          </w:p>
        </w:tc>
        <w:tc>
          <w:tcPr>
            <w:tcW w:type="dxa" w:w="2498"/>
            <w:tcBorders>
              <w:top w:val="nil"/>
              <w:left w:val="nil"/>
              <w:bottom w:val="nil"/>
              <w:right w:val="nil"/>
            </w:tcBorders>
            <w:shd w:fill="FFFFFF" w:val="clear"/>
            <w:vAlign w:val="center"/>
          </w:tcPr>
          <w:p>
            <w:pPr>
              <w:pStyle w:val="style68"/>
              <w:jc w:val="center"/>
              <w:rPr/>
            </w:pPr>
            <w:r>
              <w:rPr/>
              <w:t>5</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pPr>
            <w:r>
              <w:rPr/>
              <w:t> </w:t>
            </w:r>
            <w:r>
              <w:rPr/>
              <w:t>Daň z bežnej činnosti splatná</w:t>
            </w:r>
          </w:p>
        </w:tc>
        <w:tc>
          <w:tcPr>
            <w:tcW w:type="dxa" w:w="2496"/>
            <w:tcBorders>
              <w:top w:val="nil"/>
              <w:left w:val="nil"/>
              <w:bottom w:val="nil"/>
              <w:right w:val="nil"/>
            </w:tcBorders>
            <w:shd w:fill="FFFFFF" w:val="clear"/>
            <w:vAlign w:val="center"/>
          </w:tcPr>
          <w:p>
            <w:pPr>
              <w:pStyle w:val="style68"/>
              <w:jc w:val="center"/>
              <w:rPr/>
            </w:pPr>
            <w:r>
              <w:rPr/>
              <w:t>960</w:t>
            </w:r>
          </w:p>
        </w:tc>
        <w:tc>
          <w:tcPr>
            <w:tcW w:type="dxa" w:w="2498"/>
            <w:tcBorders>
              <w:top w:val="nil"/>
              <w:left w:val="nil"/>
              <w:bottom w:val="nil"/>
              <w:right w:val="nil"/>
            </w:tcBorders>
            <w:shd w:fill="FFFFFF" w:val="clear"/>
            <w:vAlign w:val="center"/>
          </w:tcPr>
          <w:p>
            <w:pPr>
              <w:pStyle w:val="style68"/>
              <w:jc w:val="center"/>
              <w:rPr/>
            </w:pPr>
            <w:r>
              <w:rPr/>
              <w:t>960</w:t>
            </w:r>
          </w:p>
        </w:tc>
      </w:tr>
      <w:tr>
        <w:trPr>
          <w:trHeight w:hRule="atLeast" w:val="315"/>
          <w:cantSplit w:val="false"/>
        </w:trPr>
        <w:tc>
          <w:tcPr>
            <w:tcW w:type="dxa" w:w="3315"/>
            <w:tcBorders>
              <w:top w:val="nil"/>
              <w:left w:val="nil"/>
              <w:bottom w:val="nil"/>
              <w:right w:val="nil"/>
            </w:tcBorders>
            <w:shd w:fill="FFFFFF" w:val="clear"/>
            <w:vAlign w:val="center"/>
          </w:tcPr>
          <w:p>
            <w:pPr>
              <w:pStyle w:val="style68"/>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8"/>
              <w:jc w:val="center"/>
              <w:rPr>
                <w:b/>
                <w:bCs/>
                <w:sz w:val="18"/>
                <w:szCs w:val="18"/>
              </w:rPr>
            </w:pPr>
            <w:r>
              <w:rPr>
                <w:b/>
                <w:bCs/>
                <w:sz w:val="18"/>
                <w:szCs w:val="18"/>
              </w:rPr>
              <w:t>63884</w:t>
            </w:r>
          </w:p>
        </w:tc>
        <w:tc>
          <w:tcPr>
            <w:tcW w:type="dxa" w:w="2498"/>
            <w:tcBorders>
              <w:top w:val="nil"/>
              <w:left w:val="nil"/>
              <w:bottom w:val="nil"/>
              <w:right w:val="nil"/>
            </w:tcBorders>
            <w:shd w:fill="FFFFFF" w:val="clear"/>
            <w:vAlign w:val="center"/>
          </w:tcPr>
          <w:p>
            <w:pPr>
              <w:pStyle w:val="style68"/>
              <w:jc w:val="center"/>
              <w:rPr>
                <w:b/>
                <w:bCs/>
                <w:sz w:val="18"/>
                <w:szCs w:val="18"/>
              </w:rPr>
            </w:pPr>
            <w:r>
              <w:rPr>
                <w:b/>
                <w:bCs/>
                <w:sz w:val="18"/>
                <w:szCs w:val="18"/>
              </w:rPr>
              <w:t>3295</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2017 účtovaná iba daňová licencia v celkovej čiastke </w:t>
      </w:r>
      <w:r>
        <w:rPr>
          <w:rFonts w:ascii="Calibri" w:cs="Arial" w:eastAsia="Times New Roman" w:hAnsi="Calibri"/>
          <w:b/>
          <w:bCs/>
          <w:iCs/>
          <w:color w:val="000000"/>
          <w:sz w:val="20"/>
          <w:szCs w:val="20"/>
        </w:rPr>
        <w:t>960</w:t>
      </w:r>
      <w:r>
        <w:rPr>
          <w:rFonts w:ascii="Calibri" w:cs="Arial" w:eastAsia="Times New Roman" w:hAnsi="Calibri"/>
          <w:b/>
          <w:bCs/>
          <w:iCs/>
          <w:color w:val="000000"/>
          <w:sz w:val="20"/>
          <w:szCs w:val="20"/>
        </w:rPr>
        <w:t>,00</w:t>
      </w:r>
      <w:r>
        <w:rPr>
          <w:rFonts w:ascii="Calibri" w:cs="Arial" w:eastAsia="Times New Roman" w:hAnsi="Calibri"/>
          <w:b w:val="false"/>
          <w:bCs w:val="false"/>
          <w:iCs/>
          <w:color w:val="000000"/>
          <w:sz w:val="20"/>
          <w:szCs w:val="20"/>
        </w:rPr>
        <w:t xml:space="preserve"> €</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3"/>
        <w:gridCol w:w="884"/>
        <w:gridCol w:w="1032"/>
        <w:gridCol w:w="796"/>
        <w:gridCol w:w="923"/>
        <w:gridCol w:w="1143"/>
      </w:tblGrid>
      <w:tr>
        <w:trPr>
          <w:cantSplit w:val="false"/>
        </w:trPr>
        <w:tc>
          <w:tcPr>
            <w:tcW w:type="dxa" w:w="4293"/>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2"/>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6"/>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3"/>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w:t>
            </w:r>
            <w:r>
              <w:rPr>
                <w:rFonts w:cs="Times New Roman" w:eastAsia="Times New Roman"/>
                <w:b/>
                <w:bCs/>
                <w:i/>
                <w:iCs/>
                <w:color w:val="00000A"/>
                <w:sz w:val="20"/>
                <w:szCs w:val="20"/>
                <w:lang w:eastAsia="sk-SK"/>
              </w:rPr>
              <w:t>7</w:t>
            </w:r>
          </w:p>
        </w:tc>
        <w:tc>
          <w:tcPr>
            <w:tcW w:type="dxa" w:w="1032"/>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3"/>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2017</w:t>
            </w:r>
          </w:p>
        </w:tc>
      </w:tr>
      <w:tr>
        <w:trPr>
          <w:cantSplit w:val="false"/>
        </w:trPr>
        <w:tc>
          <w:tcPr>
            <w:tcW w:type="dxa" w:w="4293"/>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5000</w:t>
            </w:r>
          </w:p>
        </w:tc>
        <w:tc>
          <w:tcPr>
            <w:tcW w:type="dxa" w:w="1032"/>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5000</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13154</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968</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14122</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t>4980</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center"/>
              <w:rPr/>
            </w:pPr>
            <w:r>
              <w:rPr/>
              <w:t>3108</w:t>
            </w:r>
          </w:p>
        </w:tc>
        <w:tc>
          <w:tcPr>
            <w:tcW w:type="dxa" w:w="1143"/>
            <w:tcBorders>
              <w:top w:val="nil"/>
              <w:left w:val="nil"/>
              <w:bottom w:val="nil"/>
              <w:right w:val="nil"/>
            </w:tcBorders>
            <w:shd w:fill="FFFFFF" w:val="clear"/>
            <w:vAlign w:val="bottom"/>
          </w:tcPr>
          <w:p>
            <w:pPr>
              <w:pStyle w:val="style0"/>
              <w:spacing w:after="119" w:before="28"/>
              <w:contextualSpacing w:val="false"/>
              <w:jc w:val="center"/>
              <w:rPr/>
            </w:pPr>
            <w:r>
              <w:rPr/>
              <w:t>8088</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center"/>
              <w:rPr/>
            </w:pPr>
            <w:r>
              <w:rPr/>
              <w:t>-</w:t>
            </w:r>
            <w:r>
              <w:rPr/>
              <w:t>14139</w:t>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center"/>
              <w:rPr/>
            </w:pPr>
            <w:r>
              <w:rPr/>
              <w:t>-</w:t>
            </w:r>
            <w:r>
              <w:rPr/>
              <w:t>3108</w:t>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t>-</w:t>
            </w:r>
            <w:r>
              <w:rPr/>
              <w:t>14138</w:t>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3"/>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4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 xml:space="preserve">V Nižnej, dňa </w:t>
      </w:r>
      <w:r>
        <w:rPr>
          <w:rFonts w:cs="Arial"/>
          <w:bCs/>
          <w:sz w:val="20"/>
          <w:szCs w:val="20"/>
          <w:u w:val="none"/>
        </w:rPr>
        <w:t>11</w:t>
      </w:r>
      <w:r>
        <w:rPr>
          <w:rFonts w:cs="Arial"/>
          <w:bCs/>
          <w:sz w:val="20"/>
          <w:szCs w:val="20"/>
          <w:u w:val="none"/>
        </w:rPr>
        <w:t>.0</w:t>
      </w:r>
      <w:r>
        <w:rPr>
          <w:rFonts w:cs="Arial"/>
          <w:bCs/>
          <w:sz w:val="20"/>
          <w:szCs w:val="20"/>
          <w:u w:val="none"/>
        </w:rPr>
        <w:t>3</w:t>
      </w:r>
      <w:r>
        <w:rPr>
          <w:rFonts w:cs="Arial"/>
          <w:bCs/>
          <w:sz w:val="20"/>
          <w:szCs w:val="20"/>
          <w:u w:val="none"/>
        </w:rPr>
        <w:t>.2018</w:t>
      </w:r>
    </w:p>
    <w:p>
      <w:pPr>
        <w:pStyle w:val="style0"/>
        <w:rPr>
          <w:rFonts w:cs="Arial"/>
          <w:bCs/>
          <w:sz w:val="20"/>
          <w:szCs w:val="20"/>
          <w:u w:val="none"/>
        </w:rPr>
      </w:pPr>
      <w:r>
        <w:rPr>
          <w:rFonts w:cs="Arial"/>
          <w:bCs/>
          <w:sz w:val="20"/>
          <w:szCs w:val="20"/>
          <w:u w:val="none"/>
        </w:rPr>
        <w:t>Ing. Filip Ferulík</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113663" w:linePitch="725"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57"/>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character">
    <w:name w:val="ListLabel 28"/>
    <w:next w:val="style48"/>
    <w:rPr>
      <w:rFonts w:cs="Symbol"/>
      <w:color w:val="00000A"/>
    </w:rPr>
  </w:style>
  <w:style w:styleId="style49" w:type="character">
    <w:name w:val="ListLabel 29"/>
    <w:next w:val="style49"/>
    <w:rPr>
      <w:rFonts w:cs="Courier New"/>
    </w:rPr>
  </w:style>
  <w:style w:styleId="style50" w:type="character">
    <w:name w:val="ListLabel 30"/>
    <w:next w:val="style50"/>
    <w:rPr>
      <w:rFonts w:cs="Wingdings"/>
    </w:rPr>
  </w:style>
  <w:style w:styleId="style51" w:type="character">
    <w:name w:val="ListLabel 31"/>
    <w:next w:val="style51"/>
    <w:rPr>
      <w:rFonts w:cs="Symbol"/>
    </w:rPr>
  </w:style>
  <w:style w:styleId="style52" w:type="paragraph">
    <w:name w:val="Nadpis"/>
    <w:basedOn w:val="style0"/>
    <w:next w:val="style53"/>
    <w:pPr>
      <w:keepNext/>
      <w:spacing w:after="120" w:before="240"/>
      <w:contextualSpacing w:val="false"/>
    </w:pPr>
    <w:rPr>
      <w:rFonts w:ascii="Arial" w:cs="Mangal" w:eastAsia="Microsoft YaHei" w:hAnsi="Arial"/>
      <w:sz w:val="28"/>
      <w:szCs w:val="28"/>
    </w:rPr>
  </w:style>
  <w:style w:styleId="style53" w:type="paragraph">
    <w:name w:val="Telo textu"/>
    <w:basedOn w:val="style0"/>
    <w:next w:val="style53"/>
    <w:pPr>
      <w:spacing w:after="120" w:before="0"/>
      <w:contextualSpacing w:val="false"/>
    </w:pPr>
    <w:rPr>
      <w:sz w:val="24"/>
      <w:lang w:eastAsia="sk-SK" w:val="cs-CZ"/>
    </w:rPr>
  </w:style>
  <w:style w:styleId="style54" w:type="paragraph">
    <w:name w:val="Zoznam"/>
    <w:basedOn w:val="style53"/>
    <w:next w:val="style54"/>
    <w:pPr/>
    <w:rPr>
      <w:rFonts w:cs="Mangal"/>
    </w:rPr>
  </w:style>
  <w:style w:styleId="style55" w:type="paragraph">
    <w:name w:val="Popis"/>
    <w:basedOn w:val="style0"/>
    <w:next w:val="style55"/>
    <w:pPr>
      <w:suppressLineNumbers/>
      <w:spacing w:after="120" w:before="120"/>
      <w:contextualSpacing w:val="false"/>
    </w:pPr>
    <w:rPr>
      <w:rFonts w:cs="Mangal"/>
      <w:i/>
      <w:iCs/>
      <w:sz w:val="24"/>
      <w:szCs w:val="24"/>
    </w:rPr>
  </w:style>
  <w:style w:styleId="style56" w:type="paragraph">
    <w:name w:val="Index"/>
    <w:basedOn w:val="style0"/>
    <w:next w:val="style56"/>
    <w:pPr>
      <w:suppressLineNumbers/>
    </w:pPr>
    <w:rPr>
      <w:rFonts w:cs="Mangal"/>
    </w:rPr>
  </w:style>
  <w:style w:styleId="style57" w:type="paragraph">
    <w:name w:val="Hlavička"/>
    <w:basedOn w:val="style0"/>
    <w:next w:val="style57"/>
    <w:pPr>
      <w:tabs>
        <w:tab w:leader="none" w:pos="4536" w:val="center"/>
        <w:tab w:leader="none" w:pos="9072" w:val="right"/>
      </w:tabs>
    </w:pPr>
    <w:rPr>
      <w:b/>
    </w:rPr>
  </w:style>
  <w:style w:styleId="style58" w:type="paragraph">
    <w:name w:val="Päta"/>
    <w:basedOn w:val="style0"/>
    <w:next w:val="style58"/>
    <w:pPr>
      <w:tabs>
        <w:tab w:leader="none" w:pos="4703" w:val="center"/>
        <w:tab w:leader="none" w:pos="9406" w:val="right"/>
      </w:tabs>
    </w:pPr>
    <w:rPr/>
  </w:style>
  <w:style w:styleId="style59" w:type="paragraph">
    <w:name w:val="Balloon Text"/>
    <w:basedOn w:val="style0"/>
    <w:next w:val="style59"/>
    <w:pPr/>
    <w:rPr>
      <w:rFonts w:ascii="Tahoma" w:cs="Tahoma" w:hAnsi="Tahoma"/>
      <w:sz w:val="16"/>
      <w:szCs w:val="16"/>
    </w:rPr>
  </w:style>
  <w:style w:styleId="style60" w:type="paragraph">
    <w:name w:val="annotation text"/>
    <w:basedOn w:val="style0"/>
    <w:next w:val="style60"/>
    <w:pPr/>
    <w:rPr>
      <w:sz w:val="20"/>
    </w:rPr>
  </w:style>
  <w:style w:styleId="style61" w:type="paragraph">
    <w:name w:val="annotation subject"/>
    <w:basedOn w:val="style60"/>
    <w:next w:val="style61"/>
    <w:pPr/>
    <w:rPr>
      <w:b/>
      <w:bCs/>
    </w:rPr>
  </w:style>
  <w:style w:styleId="style62" w:type="paragraph">
    <w:name w:val="table header"/>
    <w:basedOn w:val="style0"/>
    <w:next w:val="style62"/>
    <w:pPr>
      <w:jc w:val="center"/>
    </w:pPr>
    <w:rPr>
      <w:rFonts w:ascii="Times New Roman Bold" w:hAnsi="Times New Roman Bold"/>
      <w:b/>
      <w:i/>
      <w:sz w:val="20"/>
      <w:lang w:eastAsia="sk-SK"/>
    </w:rPr>
  </w:style>
  <w:style w:styleId="style63" w:type="paragraph">
    <w:name w:val="Revision"/>
    <w:next w:val="style63"/>
    <w:pPr>
      <w:widowControl/>
      <w:suppressAutoHyphens w:val="true"/>
    </w:pPr>
    <w:rPr>
      <w:rFonts w:ascii="Verdana" w:cs="Times New Roman" w:eastAsia="Times New Roman" w:hAnsi="Verdana"/>
      <w:color w:val="00000A"/>
      <w:sz w:val="17"/>
      <w:szCs w:val="20"/>
      <w:lang w:bidi="ar-SA" w:eastAsia="en-US" w:val="sk-SK"/>
    </w:rPr>
  </w:style>
  <w:style w:styleId="style64" w:type="paragraph">
    <w:name w:val="List Paragraph"/>
    <w:basedOn w:val="style0"/>
    <w:next w:val="style64"/>
    <w:pPr>
      <w:ind w:hanging="0" w:left="708" w:right="0"/>
    </w:pPr>
    <w:rPr/>
  </w:style>
  <w:style w:styleId="style65" w:type="paragraph">
    <w:name w:val="Citácie"/>
    <w:basedOn w:val="style0"/>
    <w:next w:val="style65"/>
    <w:pPr/>
    <w:rPr/>
  </w:style>
  <w:style w:styleId="style66" w:type="paragraph">
    <w:name w:val="Názov"/>
    <w:basedOn w:val="style52"/>
    <w:next w:val="style66"/>
    <w:pPr/>
    <w:rPr/>
  </w:style>
  <w:style w:styleId="style67" w:type="paragraph">
    <w:name w:val="Podnázov"/>
    <w:basedOn w:val="style52"/>
    <w:next w:val="style67"/>
    <w:pPr/>
    <w:rPr/>
  </w:style>
  <w:style w:styleId="style68" w:type="paragraph">
    <w:name w:val="Obsah tabuľky"/>
    <w:basedOn w:val="style0"/>
    <w:next w:val="style68"/>
    <w:pPr/>
    <w:rPr/>
  </w:style>
  <w:style w:styleId="style69" w:type="paragraph">
    <w:name w:val="Nadpis tabuľky"/>
    <w:basedOn w:val="style68"/>
    <w:next w:val="style69"/>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2018-03-12T12:15:22Z</cp:lastPrinted>
  <dcterms:modified xsi:type="dcterms:W3CDTF">2016-01-20T15:48:00Z</dcterms:modified>
  <cp:revision>13</cp:revision>
  <dc:title>Návod na použitie:</dc:title>
</cp:coreProperties>
</file>