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B0116" w:rsidRDefault="00302ADF">
      <w:pPr>
        <w:pStyle w:val="Nadpis1"/>
        <w:numPr>
          <w:ilvl w:val="0"/>
          <w:numId w:val="4"/>
        </w:numPr>
        <w:ind w:left="284" w:hanging="284"/>
      </w:pPr>
      <w:r>
        <w:t>VŠEOBECNÉ  ÚDAJE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Obchodné meno a sídlo spoločnosti</w:t>
      </w:r>
    </w:p>
    <w:p w:rsidR="00EB0116" w:rsidRDefault="00302ADF">
      <w:pPr>
        <w:tabs>
          <w:tab w:val="left" w:pos="2340"/>
        </w:tabs>
        <w:ind w:left="284"/>
      </w:pPr>
      <w:r>
        <w:t>Obchodné meno:</w:t>
      </w:r>
      <w:r>
        <w:tab/>
        <w:t xml:space="preserve">MINAX s.r.o. </w:t>
      </w:r>
    </w:p>
    <w:p w:rsidR="00EB0116" w:rsidRDefault="00302ADF">
      <w:pPr>
        <w:tabs>
          <w:tab w:val="left" w:pos="2340"/>
        </w:tabs>
        <w:ind w:left="284"/>
      </w:pPr>
      <w:r>
        <w:t>Sídlo:</w:t>
      </w:r>
      <w:r>
        <w:tab/>
        <w:t>Štefánikova 20</w:t>
      </w:r>
    </w:p>
    <w:p w:rsidR="00EB0116" w:rsidRDefault="00302ADF">
      <w:pPr>
        <w:tabs>
          <w:tab w:val="left" w:pos="2340"/>
        </w:tabs>
        <w:ind w:left="284"/>
      </w:pPr>
      <w:r>
        <w:tab/>
        <w:t>040 01 Košice</w:t>
      </w:r>
    </w:p>
    <w:p w:rsidR="00EB0116" w:rsidRDefault="00EB0116">
      <w:pPr>
        <w:tabs>
          <w:tab w:val="left" w:pos="2340"/>
        </w:tabs>
        <w:ind w:left="284"/>
      </w:pPr>
    </w:p>
    <w:p w:rsidR="00EB0116" w:rsidRDefault="00302ADF">
      <w:pPr>
        <w:tabs>
          <w:tab w:val="left" w:pos="2340"/>
        </w:tabs>
        <w:ind w:left="284"/>
      </w:pPr>
      <w:r>
        <w:t>Spoločnosť MINAX s.r.o. bola založená 21. septembra 2010 a do obchodného registra vedeného Okresným súdom Košice I bola zapísaná 12.októbra 2010 do oddielu  Sro,</w:t>
      </w:r>
      <w:r>
        <w:rPr>
          <w:color w:val="000000"/>
        </w:rPr>
        <w:t>vložka č. 2643/V.</w:t>
      </w:r>
    </w:p>
    <w:p w:rsidR="00EB0116" w:rsidRDefault="00EB0116">
      <w:pPr>
        <w:tabs>
          <w:tab w:val="left" w:pos="-1985"/>
        </w:tabs>
        <w:ind w:left="284"/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Údaje o konsolidovanom celku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:rsidR="00EB0116" w:rsidRDefault="00302ADF">
      <w:pPr>
        <w:ind w:left="600"/>
      </w:pPr>
      <w:r>
        <w:t>Účtovná jednotka nie je súčasťou žiadneho konsolidovaného celku.</w:t>
      </w:r>
    </w:p>
    <w:p w:rsidR="00EB0116" w:rsidRDefault="00302ADF">
      <w:pPr>
        <w:pStyle w:val="Nadpis3"/>
        <w:numPr>
          <w:ilvl w:val="0"/>
          <w:numId w:val="1"/>
        </w:numPr>
        <w:ind w:left="600" w:hanging="283"/>
      </w:pPr>
      <w:r>
        <w:t xml:space="preserve">Postavenie účtovnej jednotky v konsolidovanom celku </w:t>
      </w:r>
    </w:p>
    <w:p w:rsidR="00EB0116" w:rsidRDefault="00302ADF">
      <w:pPr>
        <w:ind w:left="600"/>
      </w:pPr>
      <w:r>
        <w:t>Účtovná jednotka nie je materskou účtovnou jednotkou.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Priemerný počet zamestnancov počas účtovného obdobia</w:t>
      </w:r>
    </w:p>
    <w:p w:rsidR="00EB0116" w:rsidRDefault="00302ADF">
      <w:pPr>
        <w:ind w:left="284"/>
      </w:pPr>
      <w:bookmarkStart w:id="0" w:name="_MON_1266139584"/>
      <w:bookmarkStart w:id="1" w:name="_MON_1234334908"/>
      <w:bookmarkStart w:id="2" w:name="_MON_1202271857"/>
      <w:bookmarkStart w:id="3" w:name="_MON_1391487934"/>
      <w:bookmarkStart w:id="4" w:name="_MON_1391487896"/>
      <w:bookmarkStart w:id="5" w:name="_MON_1390046228"/>
      <w:bookmarkStart w:id="6" w:name="_MON_1389513669"/>
      <w:bookmarkStart w:id="7" w:name="_MON_1389513663"/>
      <w:bookmarkStart w:id="8" w:name="_MON_1389513657"/>
      <w:bookmarkStart w:id="9" w:name="_MON_1389513596"/>
      <w:bookmarkStart w:id="10" w:name="_MON_1389423257"/>
      <w:bookmarkStart w:id="11" w:name="_MON_1389421776"/>
      <w:bookmarkStart w:id="12" w:name="_MON_13894213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Priemerný počet zamestnancov počas účtovného obdobia 4 zamestnancov. </w:t>
      </w:r>
    </w:p>
    <w:p w:rsidR="00EB0116" w:rsidRDefault="00302ADF">
      <w:pPr>
        <w:pStyle w:val="Nadpis1"/>
        <w:numPr>
          <w:ilvl w:val="0"/>
          <w:numId w:val="4"/>
        </w:numPr>
        <w:ind w:left="300" w:hanging="300"/>
      </w:pPr>
      <w:r>
        <w:t xml:space="preserve">INFORMÁCIE O PRIJATÝCH POSTUPOCH  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Východiská pre zostavenie účtovnej závierky</w:t>
      </w:r>
    </w:p>
    <w:p w:rsidR="00EB0116" w:rsidRDefault="00302ADF">
      <w:pPr>
        <w:ind w:left="284"/>
      </w:pPr>
      <w:r>
        <w:t>Účtovná závierka bola vypracovaná v súlade so zákonom  č. 431/2002 Z.z. o účtovníctve a Opatrením MF SR č. 23054/2002-92 v znení neskorších zmien, ktorým sa ustanovujú podrobnosti o postupoch účtovania a rámcovej účtovej osnove pre podnikateľov. Funkčnou menou pre vykazovanie je euro.</w:t>
      </w:r>
    </w:p>
    <w:p w:rsidR="00EB0116" w:rsidRDefault="00302ADF">
      <w:pPr>
        <w:ind w:left="284"/>
      </w:pPr>
      <w:r>
        <w:t>Táto účtovná závierka bola vypracovaná na základe historických cien a za predpokladu nepretržitého trvania účtovnej jednotky, t.j. vychádza z predpokladu, že spoločnosť bude realizovať svoje aktíva, záväzky a dohody v rámci riadneho chodu svojej činnosti.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oceňovania jednotlivých položiek majetku a záväzkov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Dlhodobý nehmotný majetok,  dlhodobý hmotný majetok a dlhodobý finančný majetok</w:t>
      </w:r>
    </w:p>
    <w:p w:rsidR="00EB0116" w:rsidRDefault="00302ADF">
      <w:pPr>
        <w:ind w:left="284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</w:t>
      </w:r>
    </w:p>
    <w:p w:rsidR="00EB0116" w:rsidRDefault="00302ADF">
      <w:pPr>
        <w:ind w:left="284"/>
      </w:pPr>
      <w:r>
        <w:t xml:space="preserve">Dlhodobý nehmotný a hmotný majetok vytvorený vlastnou činnosťou sa oceňuje vlastnými nákladmi. </w:t>
      </w:r>
    </w:p>
    <w:p w:rsidR="00EB0116" w:rsidRDefault="00302ADF">
      <w:pPr>
        <w:ind w:left="284"/>
      </w:pPr>
      <w:r>
        <w:t>Cenné papiere a podiely (okrem cenných papierov na obchodovanie) sa oceňujú obstarávacími cenami, vrátane nákladov súvisiacich s obstaraním</w:t>
      </w:r>
    </w:p>
    <w:p w:rsidR="00EB0116" w:rsidRDefault="00302ADF">
      <w:pPr>
        <w:ind w:left="284"/>
      </w:pPr>
      <w:r>
        <w:t>Zníženie hodnoty dlhodobého nehmotného, dlhodobého hmotného majetku a dlhodobého finančného majetku sa ku dňu, ku ktorému sa zostavuje účtovná závierka vyjadruje prostredníctvom opravnej položky.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 xml:space="preserve">Zásoby </w:t>
      </w:r>
    </w:p>
    <w:p w:rsidR="00EB0116" w:rsidRDefault="00302ADF"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EB0116" w:rsidRDefault="00302ADF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:rsidR="00EB0116" w:rsidRDefault="00302ADF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:rsidR="00EB0116" w:rsidRDefault="00EB0116">
      <w:pPr>
        <w:ind w:left="284"/>
      </w:pPr>
    </w:p>
    <w:p w:rsidR="00EB0116" w:rsidRDefault="00302ADF">
      <w:pPr>
        <w:pStyle w:val="Zarkazkladnhotextu"/>
        <w:spacing w:before="40"/>
        <w:ind w:left="284"/>
        <w:jc w:val="both"/>
      </w:pPr>
      <w:r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 Toto ocenenie zásob sa upravuje o zníženie hodnoty zásob zistené inventarizáciou (tvorbou opravnej položky).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Pohľadávky</w:t>
      </w:r>
    </w:p>
    <w:p w:rsidR="00EB0116" w:rsidRDefault="00302ADF">
      <w:pPr>
        <w:ind w:left="284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Krátkodobý finančný majetok</w:t>
      </w:r>
    </w:p>
    <w:p w:rsidR="00EB0116" w:rsidRDefault="00302ADF">
      <w:pPr>
        <w:ind w:left="284"/>
      </w:pPr>
      <w:r>
        <w:t>Peňažné prostriedky a ceniny sa oceňujú ich menovitou hodnotou. Zníženie ich hodnoty sa vyjadruje opravnou položkou.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Záväzky vrátane rezerv, dlhopisy, pôžičky, úvery</w:t>
      </w:r>
    </w:p>
    <w:p w:rsidR="00EB0116" w:rsidRDefault="00302ADF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EB0116" w:rsidRDefault="00302ADF">
      <w:pPr>
        <w:ind w:left="284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:rsidR="00EB0116" w:rsidRDefault="00EB0116">
      <w:pPr>
        <w:ind w:left="284"/>
      </w:pP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Ocenenie derivátov</w:t>
      </w:r>
    </w:p>
    <w:p w:rsidR="00EB0116" w:rsidRDefault="00302ADF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:rsidR="00EB0116" w:rsidRDefault="00302ADF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>Zmena reálnej hodnoty derivátov určených na obchodovanie na burze alebo verejnom trhu sa účtuje s</w:t>
      </w:r>
      <w:r>
        <w:tab/>
      </w:r>
    </w:p>
    <w:p w:rsidR="00EB0116" w:rsidRDefault="00302ADF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zostavenia odpisového plánu pre dlhodobý  majetok</w:t>
      </w:r>
    </w:p>
    <w:p w:rsidR="00EB0116" w:rsidRDefault="00302ADF">
      <w:pPr>
        <w:ind w:left="284"/>
      </w:pPr>
      <w:r>
        <w:rPr>
          <w:u w:val="single"/>
        </w:rPr>
        <w:t>Dlhodobý nehmotný majetok /DNM/</w:t>
      </w:r>
    </w:p>
    <w:p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</w:rPr>
        <w:t xml:space="preserve">Odpisy dlhodobého nehmotného majetku v obstarávacej cene vyššej ako 2 400 € sú stanovené individuálne vychádzajúc z predpokladanej doby jeho používania.Odpisovať sa začína počnúc mesiacom zaradenia majetku  do používania. 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Spoločnosť vedie aj kategóriu drobného dlhodobého nehmotného  majetku /DDNM/, ktorého obstarávacia cena je 500 – 2400 € a odpisuje sa  po dobu 15 mesiacov od uvedenia do používania.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ind w:left="284"/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2178649"/>
    <w:bookmarkStart w:id="14" w:name="_MON_1392178630"/>
    <w:bookmarkStart w:id="15" w:name="_MON_1391588355"/>
    <w:bookmarkStart w:id="16" w:name="_MON_1390120107"/>
    <w:bookmarkStart w:id="17" w:name="_MON_1390120086"/>
    <w:bookmarkStart w:id="18" w:name="_MON_1390119902"/>
    <w:bookmarkStart w:id="19" w:name="_MON_1390119848"/>
    <w:bookmarkEnd w:id="13"/>
    <w:bookmarkEnd w:id="14"/>
    <w:bookmarkEnd w:id="15"/>
    <w:bookmarkEnd w:id="16"/>
    <w:bookmarkEnd w:id="17"/>
    <w:bookmarkEnd w:id="18"/>
    <w:bookmarkEnd w:id="19"/>
    <w:bookmarkStart w:id="20" w:name="_MON_1390124052"/>
    <w:bookmarkEnd w:id="20"/>
    <w:p w:rsidR="00EB0116" w:rsidRDefault="00302ADF">
      <w:pPr>
        <w:ind w:left="300"/>
        <w:rPr>
          <w:color w:val="000000"/>
        </w:rPr>
      </w:pPr>
      <w:r>
        <w:object w:dxaOrig="14233" w:dyaOrig="1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 filled="t">
            <v:fill color2="black"/>
            <v:imagedata r:id="rId7" o:title="" croptop="-39f" cropbottom="-39f" cropleft="-4f" cropright="-4f"/>
          </v:shape>
          <o:OLEObject Type="Embed" ProgID="Excel.Sheet.12" ShapeID="_x0000_i1025" DrawAspect="Content" ObjectID="_1582364739" r:id="rId8"/>
        </w:object>
      </w:r>
    </w:p>
    <w:p w:rsidR="00EB0116" w:rsidRDefault="00EB0116">
      <w:pPr>
        <w:pStyle w:val="Prklady"/>
        <w:spacing w:before="0"/>
        <w:ind w:left="284"/>
        <w:rPr>
          <w:i w:val="0"/>
          <w:color w:val="000000"/>
          <w:sz w:val="20"/>
        </w:rPr>
      </w:pPr>
    </w:p>
    <w:p w:rsidR="00EB0116" w:rsidRDefault="00302ADF">
      <w:pPr>
        <w:pStyle w:val="Prklady"/>
        <w:spacing w:before="0"/>
        <w:ind w:left="284"/>
      </w:pPr>
      <w:r>
        <w:rPr>
          <w:i w:val="0"/>
          <w:sz w:val="20"/>
        </w:rPr>
        <w:lastRenderedPageBreak/>
        <w:t>Dlhodobý nehmotný  majetok, ktorého obstarávacia cena je  500 € a nižšia, spoločnosť pri obstaraní účtuje priamo do nákladov. Spoločnosť nevedie evidenciu tohto majetku.</w:t>
      </w:r>
    </w:p>
    <w:p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  <w:u w:val="single"/>
        </w:rPr>
        <w:t>Dlhodobý hmotný majetok  /DHM/</w:t>
      </w:r>
    </w:p>
    <w:p w:rsidR="00EB0116" w:rsidRDefault="00302ADF">
      <w:pPr>
        <w:pStyle w:val="Prklady"/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EB0116" w:rsidRDefault="00302ADF">
      <w:pPr>
        <w:pStyle w:val="Prklady"/>
      </w:pPr>
      <w:r>
        <w:rPr>
          <w:i w:val="0"/>
          <w:sz w:val="20"/>
        </w:rPr>
        <w:t>Spoločnosť vedie aj kategóriu drobného dlhodobého hmotného majetku v obstarávacej cene 500 až 1 700 €. Odpisuje sa 15 mesiacov od uvedenia do používania.</w:t>
      </w:r>
    </w:p>
    <w:p w:rsidR="00EB0116" w:rsidRDefault="00EB0116">
      <w:pPr>
        <w:pStyle w:val="Prklady"/>
        <w:rPr>
          <w:i w:val="0"/>
          <w:sz w:val="20"/>
        </w:rPr>
      </w:pPr>
    </w:p>
    <w:p w:rsidR="00EB0116" w:rsidRDefault="00302ADF">
      <w:pPr>
        <w:pStyle w:val="Prklady"/>
      </w:pPr>
      <w:r>
        <w:rPr>
          <w:i w:val="0"/>
          <w:sz w:val="20"/>
        </w:rPr>
        <w:t>Predpokladaná doba používania, metóda odpisovania a odpisová sadzba sú uvedené v nasledujúcej tabuľke:</w:t>
      </w:r>
    </w:p>
    <w:p w:rsidR="00EB0116" w:rsidRDefault="00EB0116">
      <w:pPr>
        <w:ind w:left="0"/>
        <w:rPr>
          <w:i/>
          <w:color w:val="000000"/>
        </w:rPr>
      </w:pPr>
    </w:p>
    <w:bookmarkStart w:id="21" w:name="_MON_1390124028"/>
    <w:bookmarkStart w:id="22" w:name="_MON_1390123963"/>
    <w:bookmarkStart w:id="23" w:name="_MON_1390123778"/>
    <w:bookmarkStart w:id="24" w:name="_MON_1391588698"/>
    <w:bookmarkStart w:id="25" w:name="_MON_1390124079"/>
    <w:bookmarkEnd w:id="21"/>
    <w:bookmarkEnd w:id="22"/>
    <w:bookmarkEnd w:id="23"/>
    <w:bookmarkEnd w:id="24"/>
    <w:bookmarkEnd w:id="25"/>
    <w:bookmarkStart w:id="26" w:name="_MON_1392700313"/>
    <w:bookmarkEnd w:id="26"/>
    <w:p w:rsidR="00EB0116" w:rsidRDefault="00302ADF">
      <w:pPr>
        <w:ind w:left="300"/>
        <w:rPr>
          <w:color w:val="000000"/>
        </w:rPr>
      </w:pPr>
      <w:r>
        <w:object w:dxaOrig="14233" w:dyaOrig="1719">
          <v:shape id="_x0000_i1026" type="#_x0000_t75" style="width:438.75pt;height:62.25pt" o:ole="" filled="t">
            <v:fill color2="black"/>
            <v:imagedata r:id="rId9" o:title="" croptop="-38f" cropbottom="-38f" cropleft="-4f" cropright="-4f"/>
          </v:shape>
          <o:OLEObject Type="Embed" ProgID="Excel.Sheet.12" ShapeID="_x0000_i1026" DrawAspect="Content" ObjectID="_1582364740" r:id="rId10"/>
        </w:object>
      </w:r>
    </w:p>
    <w:p w:rsidR="00EB0116" w:rsidRDefault="00EB0116">
      <w:pPr>
        <w:ind w:left="0"/>
        <w:rPr>
          <w:color w:val="000000"/>
        </w:rPr>
      </w:pPr>
    </w:p>
    <w:p w:rsidR="00EB0116" w:rsidRDefault="00302ADF">
      <w:pPr>
        <w:pStyle w:val="Prklady"/>
        <w:spacing w:before="0"/>
      </w:pPr>
      <w:r>
        <w:rPr>
          <w:rFonts w:ascii="Times" w:hAnsi="Times" w:cs="Times"/>
          <w:i w:val="0"/>
          <w:sz w:val="20"/>
        </w:rPr>
        <w:t>V prípade drobného DHM, ktorého obstarávacia cena je 500 € a nižšia, sa pri obstaraní účtuje priamo do nákladov. Spoločnosť nevedie evidenciu tohto majetku.</w:t>
      </w:r>
    </w:p>
    <w:p w:rsidR="00EB0116" w:rsidRDefault="00EB0116">
      <w:pPr>
        <w:pStyle w:val="Prklady"/>
        <w:spacing w:before="0"/>
        <w:ind w:left="284"/>
        <w:rPr>
          <w:rFonts w:ascii="Times" w:hAnsi="Times" w:cs="Times"/>
          <w:i w:val="0"/>
          <w:sz w:val="20"/>
        </w:rPr>
      </w:pPr>
    </w:p>
    <w:p w:rsidR="00EB0116" w:rsidRDefault="00302ADF">
      <w:pPr>
        <w:pStyle w:val="Prklady"/>
      </w:pPr>
      <w:r>
        <w:rPr>
          <w:rFonts w:ascii="Times" w:hAnsi="Times" w:cs="Times"/>
          <w:i w:val="0"/>
          <w:sz w:val="20"/>
          <w:u w:val="single"/>
        </w:rPr>
        <w:t>Technické zhodnotenie dlhodobého majetku:</w:t>
      </w:r>
    </w:p>
    <w:p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do 1 700 € sa účtuje priamo do nákladov (spotreba materiálu, resp. ostatné služby)</w:t>
      </w:r>
    </w:p>
    <w:p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nad 1 700 € vstupuje do ceny dlhodobého majetku.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Zmeny účtovných zásad a zmeny účtovných metód</w:t>
      </w:r>
    </w:p>
    <w:p w:rsidR="00EB0116" w:rsidRDefault="00302ADF">
      <w:r>
        <w:t xml:space="preserve">Zákonom č. 431/2002 Z.z. o účtovníctve bola od 1.1.2014 zavedená kategorizácia podnikateľských účtovných jednotiek podľa veľkosti. Účtovná jednotka spĺňa podmienky veľkostnej skupiny  mikro účtovnej jednotky  stanovené v § 2, ods. 6 zákona . </w:t>
      </w:r>
    </w:p>
    <w:p w:rsidR="00EB0116" w:rsidRDefault="00302ADF">
      <w:pPr>
        <w:ind w:left="284"/>
      </w:pPr>
      <w:r>
        <w:t xml:space="preserve"> Hlavné účtovné zásady a metódy použité pri zostavení tejto účtovnej závierky boli konzistentne uplatnené   v porovnaní s predchádzajúcim účtovným obdobím. V súvislosti s uplatnením štatútu mikro účtovnej jednotky zmena metódy oceňovania majetku sa týkala týchto položiek:</w:t>
      </w:r>
    </w:p>
    <w:p w:rsidR="00EB0116" w:rsidRDefault="00302ADF">
      <w:pPr>
        <w:ind w:left="284"/>
      </w:pPr>
      <w:r>
        <w:t xml:space="preserve">Účtovníctvo účtovnej jednotky   je vedené na akruálnom princípe, t.j.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obdobiami. </w:t>
      </w:r>
    </w:p>
    <w:p w:rsidR="00EB0116" w:rsidRDefault="00EB0116"/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dotáciách a ich oceňovanie v účtovníctve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</w:rPr>
        <w:t>Spoločnosť vo vykazovanom období nezískala žiadne dotácie na prevádzku ani na obstaranie dlhodobého majetku.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lastRenderedPageBreak/>
        <w:t>Informácie o  účtovaní významných opráv chýb minulých účtovných období v bežnom účtovnom období</w:t>
      </w:r>
    </w:p>
    <w:p w:rsidR="00EB0116" w:rsidRDefault="00302ADF">
      <w:r>
        <w:t>Účtovná jednotka vo vykazovanom období neúčtovala o oprave významných chýb minulých účtovných období.  </w:t>
      </w:r>
    </w:p>
    <w:p w:rsidR="00EB0116" w:rsidRDefault="00EB0116">
      <w:pPr>
        <w:rPr>
          <w:i/>
        </w:rPr>
      </w:pPr>
    </w:p>
    <w:p w:rsidR="00EB0116" w:rsidRDefault="00302ADF">
      <w:r>
        <w:t>Prehľad účtovaných významných opráv chýb minulých období:</w:t>
      </w:r>
    </w:p>
    <w:bookmarkStart w:id="27" w:name="_1487506651"/>
    <w:bookmarkStart w:id="28" w:name="_1487506592"/>
    <w:bookmarkStart w:id="29" w:name="_1487506572"/>
    <w:bookmarkStart w:id="30" w:name="_1487506551"/>
    <w:bookmarkStart w:id="31" w:name="_1452933731"/>
    <w:bookmarkStart w:id="32" w:name="_1452933684"/>
    <w:bookmarkStart w:id="33" w:name="_1452933676"/>
    <w:bookmarkStart w:id="34" w:name="_1452933655"/>
    <w:bookmarkStart w:id="35" w:name="_1452933583"/>
    <w:bookmarkStart w:id="36" w:name="_1452933201"/>
    <w:bookmarkStart w:id="37" w:name="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:rsidR="00EB0116" w:rsidRDefault="00302ADF">
      <w:pPr>
        <w:pStyle w:val="Prklady"/>
        <w:ind w:left="284"/>
      </w:pPr>
      <w:r>
        <w:object w:dxaOrig="9907" w:dyaOrig="2415">
          <v:shape id="_x0000_i1027" type="#_x0000_t75" style="width:435.75pt;height:117pt" o:ole="" filled="t">
            <v:fill color2="black"/>
            <v:imagedata r:id="rId11" o:title="" croptop="-27f" cropbottom="-27f" cropleft="-6f" cropright="-6f"/>
          </v:shape>
          <o:OLEObject Type="Embed" ProgID="Excel.Sheet.8" ShapeID="_x0000_i1027" DrawAspect="Content" ObjectID="_1582364741" r:id="rId12"/>
        </w:object>
      </w:r>
    </w:p>
    <w:p w:rsidR="00EB0116" w:rsidRDefault="00EB0116">
      <w:pPr>
        <w:pStyle w:val="Prklady"/>
        <w:ind w:left="284"/>
      </w:pP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Nadpis1"/>
        <w:numPr>
          <w:ilvl w:val="0"/>
          <w:numId w:val="4"/>
        </w:numPr>
        <w:spacing w:before="100"/>
        <w:ind w:left="284" w:hanging="284"/>
      </w:pPr>
      <w:r>
        <w:t>informácie o údajoch súvahy A VÝKAZU ZISKOV A STRÁT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vzniku výnimočných  položiek nákladov alebo výnosov</w:t>
      </w:r>
    </w:p>
    <w:p w:rsidR="00EB0116" w:rsidRDefault="00302ADF">
      <w:r>
        <w:t>Účtovná jednotka vo vykazovanom období neúčtovala o vzniku takých položiek nákladov alebo výnosov, ktoré majú výnimočný rozsah alebo výskyt.</w:t>
      </w:r>
    </w:p>
    <w:p w:rsidR="00EB0116" w:rsidRDefault="00EB0116">
      <w:pPr>
        <w:rPr>
          <w:i/>
        </w:rPr>
      </w:pPr>
    </w:p>
    <w:p w:rsidR="00EB0116" w:rsidRDefault="00302ADF">
      <w:pPr>
        <w:rPr>
          <w:i/>
        </w:rPr>
      </w:pPr>
      <w:r>
        <w:t>Položky nákladov a výnosov, ktoré mali výnimočný rozsah alebo výskyt sú uvedené v tabuľke:</w:t>
      </w:r>
      <w:r>
        <w:tab/>
      </w:r>
      <w:r>
        <w:tab/>
      </w:r>
      <w:bookmarkStart w:id="38" w:name="_1487578406"/>
      <w:bookmarkStart w:id="39" w:name="_1487571489"/>
      <w:bookmarkStart w:id="40" w:name="_1487571436"/>
      <w:bookmarkEnd w:id="38"/>
      <w:bookmarkEnd w:id="39"/>
      <w:bookmarkEnd w:id="40"/>
      <w:r>
        <w:object w:dxaOrig="9907" w:dyaOrig="1935">
          <v:shape id="_x0000_i1028" type="#_x0000_t75" style="width:435.75pt;height:93.75pt" o:ole="" filled="t">
            <v:fill color2="black"/>
            <v:imagedata r:id="rId13" o:title="" croptop="-33f" cropbottom="-33f" cropleft="-6f" cropright="-6f"/>
          </v:shape>
          <o:OLEObject Type="Embed" ProgID="Excel.Sheet.8" ShapeID="_x0000_i1028" DrawAspect="Content" ObjectID="_1582364742" r:id="rId14"/>
        </w:object>
      </w:r>
    </w:p>
    <w:p w:rsidR="00EB0116" w:rsidRDefault="00302ADF">
      <w:r>
        <w:rPr>
          <w:i/>
        </w:rPr>
        <w:t>/ide o náklady alebo výnosy z predaja podniku alebo časti podniku, škody z dôvodu živelných  pohrôm/</w:t>
      </w:r>
    </w:p>
    <w:p w:rsidR="00EB0116" w:rsidRDefault="00EB0116">
      <w:pPr>
        <w:rPr>
          <w:i/>
        </w:rPr>
      </w:pPr>
    </w:p>
    <w:p w:rsidR="00EB0116" w:rsidRDefault="00EB0116"/>
    <w:p w:rsidR="00EB0116" w:rsidRDefault="00EB0116"/>
    <w:p w:rsidR="00EB0116" w:rsidRDefault="00EB0116"/>
    <w:p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41" w:name="_MON_1392178714"/>
      <w:bookmarkStart w:id="42" w:name="_MON_1392700456"/>
      <w:bookmarkStart w:id="43" w:name="_MON_1392700449"/>
      <w:bookmarkStart w:id="44" w:name="_MON_1393999383"/>
      <w:bookmarkStart w:id="45" w:name="_MON_1392700430"/>
      <w:bookmarkStart w:id="46" w:name="_MON_1392700425"/>
      <w:bookmarkStart w:id="47" w:name="_MON_1391517384"/>
      <w:bookmarkStart w:id="48" w:name="_MON_1389510654"/>
      <w:bookmarkStart w:id="49" w:name="_MON_139151741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t>Informácie o záväzkoch</w:t>
      </w:r>
    </w:p>
    <w:p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:rsidR="00EB0116" w:rsidRDefault="00302ADF">
      <w:pPr>
        <w:ind w:left="600"/>
      </w:pPr>
      <w:r>
        <w:t>Štruktúra záväzkov  podľa zostatkovej doby splatnosti je uvedená v nasledujúcej tabuľke:</w:t>
      </w:r>
    </w:p>
    <w:p w:rsidR="00EB0116" w:rsidRDefault="00302ADF">
      <w:pPr>
        <w:ind w:left="600"/>
      </w:pPr>
      <w:r>
        <w:tab/>
      </w:r>
    </w:p>
    <w:bookmarkStart w:id="50" w:name="_1487507126"/>
    <w:bookmarkEnd w:id="50"/>
    <w:bookmarkStart w:id="51" w:name="_MON_1582364134"/>
    <w:bookmarkEnd w:id="51"/>
    <w:p w:rsidR="00EB0116" w:rsidRDefault="00302ADF">
      <w:pPr>
        <w:ind w:left="567"/>
      </w:pPr>
      <w:r>
        <w:object w:dxaOrig="11053" w:dyaOrig="2715">
          <v:shape id="_x0000_i1029" type="#_x0000_t75" style="width:457.5pt;height:130.5pt" o:ole="" filled="t">
            <v:fill color2="black"/>
            <v:imagedata r:id="rId15" o:title="" croptop="-23f" cropbottom="-23f" cropleft="-6f" cropright="-6f"/>
          </v:shape>
          <o:OLEObject Type="Embed" ProgID="Excel.Sheet.12" ShapeID="_x0000_i1029" DrawAspect="Content" ObjectID="_1582364743" r:id="rId16"/>
        </w:object>
      </w:r>
    </w:p>
    <w:p w:rsidR="00EB0116" w:rsidRDefault="00EB0116">
      <w:pPr>
        <w:ind w:left="567"/>
      </w:pPr>
    </w:p>
    <w:bookmarkStart w:id="52" w:name="_1487703737"/>
    <w:bookmarkEnd w:id="52"/>
    <w:bookmarkStart w:id="53" w:name="_MON_1582364225"/>
    <w:bookmarkEnd w:id="53"/>
    <w:p w:rsidR="00EB0116" w:rsidRDefault="00D76502">
      <w:pPr>
        <w:ind w:left="567"/>
      </w:pPr>
      <w:r>
        <w:object w:dxaOrig="10537" w:dyaOrig="1735">
          <v:shape id="_x0000_i1035" type="#_x0000_t75" style="width:436.5pt;height:84pt" o:ole="" filled="t">
            <v:fill color2="black"/>
            <v:imagedata r:id="rId17" o:title="" croptop="-36f" cropbottom="-36f" cropleft="-6f" cropright="-6f"/>
          </v:shape>
          <o:OLEObject Type="Embed" ProgID="Excel.Sheet.12" ShapeID="_x0000_i1035" DrawAspect="Content" ObjectID="_1582364744" r:id="rId18"/>
        </w:object>
      </w:r>
      <w:bookmarkStart w:id="54" w:name="_GoBack"/>
      <w:bookmarkEnd w:id="54"/>
    </w:p>
    <w:p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>Záväzky zabezpečené záložným právom alebo zabezpečené inou formou zabezpečenia</w:t>
      </w:r>
    </w:p>
    <w:p w:rsidR="00EB0116" w:rsidRDefault="00302ADF">
      <w:pPr>
        <w:ind w:left="600"/>
      </w:pPr>
      <w:r>
        <w:t>Spoločnosť neeviduje žiadne záväzky zabezpečené záložným právom alebo zabezpečené inou formou zabezpečenia.</w:t>
      </w:r>
    </w:p>
    <w:p w:rsidR="00EB0116" w:rsidRDefault="00302ADF">
      <w:pPr>
        <w:ind w:left="600"/>
      </w:pPr>
      <w:r>
        <w:t xml:space="preserve"> 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vlastných akciách </w:t>
      </w:r>
    </w:p>
    <w:p w:rsidR="00EB0116" w:rsidRDefault="00302ADF">
      <w:r>
        <w:t>Spoločnosť neeviduje vlastné akcie.</w:t>
      </w:r>
    </w:p>
    <w:p w:rsidR="00EB0116" w:rsidRDefault="00EB0116">
      <w:pPr>
        <w:rPr>
          <w:i/>
        </w:rPr>
      </w:pPr>
    </w:p>
    <w:p w:rsidR="00EB0116" w:rsidRDefault="00302ADF">
      <w:pPr>
        <w:pStyle w:val="Nadpis3"/>
        <w:tabs>
          <w:tab w:val="left" w:pos="567"/>
        </w:tabs>
        <w:ind w:left="284"/>
      </w:pPr>
      <w:r>
        <w:t>Dôvod ich nadobudnutia v priebehu účtovného obdobia</w:t>
      </w:r>
    </w:p>
    <w:p w:rsidR="00EB0116" w:rsidRDefault="00302ADF">
      <w:pPr>
        <w:pStyle w:val="Nadpis3"/>
        <w:tabs>
          <w:tab w:val="left" w:pos="567"/>
        </w:tabs>
        <w:ind w:left="284"/>
      </w:pPr>
      <w:r>
        <w:t>Popis nadobudnutých vlastných akcií</w:t>
      </w:r>
    </w:p>
    <w:p w:rsidR="00EB0116" w:rsidRDefault="00302ADF">
      <w:pPr>
        <w:ind w:left="567"/>
      </w:pPr>
      <w:r>
        <w:rPr>
          <w:i/>
        </w:rPr>
        <w:t>Viď opatrenie MF /15464/2013-74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poskytnutých plneniach a výhodách členom  orgánov účtovnej jednotky </w:t>
      </w:r>
    </w:p>
    <w:p w:rsidR="00EB0116" w:rsidRDefault="00302ADF">
      <w:r>
        <w:t xml:space="preserve">Spoločnosť  </w:t>
      </w:r>
      <w:r>
        <w:tab/>
        <w:t>neposkytla členom orgánov účtovnej jednotky záruky, zabezpečenia, pôžičky ani iné plnenia na súkromné účely.</w:t>
      </w:r>
    </w:p>
    <w:p w:rsidR="00EB0116" w:rsidRDefault="00302ADF">
      <w:r>
        <w:tab/>
      </w:r>
      <w:r>
        <w:tab/>
      </w:r>
      <w:r>
        <w:tab/>
      </w:r>
      <w:r>
        <w:tab/>
      </w:r>
    </w:p>
    <w:p w:rsidR="00EB0116" w:rsidRDefault="00302AD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B0116" w:rsidRDefault="00302ADF">
      <w:r>
        <w:t>K poskytnutým príjmom a výhodám členom orgánov účtovnej jednotky spoločnosť uvádza: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Start w:id="55" w:name="_1487576165"/>
    <w:bookmarkStart w:id="56" w:name="_1487575406"/>
    <w:bookmarkStart w:id="57" w:name="_1487566521"/>
    <w:bookmarkStart w:id="58" w:name="_1487566295"/>
    <w:bookmarkStart w:id="59" w:name="_1487566291"/>
    <w:bookmarkStart w:id="60" w:name="_1487566259"/>
    <w:bookmarkStart w:id="61" w:name="_1487566231"/>
    <w:bookmarkStart w:id="62" w:name="_1487566102"/>
    <w:bookmarkStart w:id="63" w:name="_1487566088"/>
    <w:bookmarkStart w:id="64" w:name="_1487566034"/>
    <w:bookmarkStart w:id="65" w:name="_1487565913"/>
    <w:bookmarkStart w:id="66" w:name="_1487565899"/>
    <w:bookmarkStart w:id="67" w:name="_1487565888"/>
    <w:bookmarkStart w:id="68" w:name="_1487565868"/>
    <w:bookmarkStart w:id="69" w:name="_1487565481"/>
    <w:bookmarkStart w:id="70" w:name="_1452937186"/>
    <w:bookmarkStart w:id="71" w:name="_1452937168"/>
    <w:bookmarkStart w:id="72" w:name="_1452937133"/>
    <w:bookmarkStart w:id="73" w:name="_1452937092"/>
    <w:bookmarkStart w:id="74" w:name="_1452937074"/>
    <w:bookmarkStart w:id="75" w:name="_1452936403"/>
    <w:bookmarkStart w:id="76" w:name="_1389634452"/>
    <w:bookmarkStart w:id="77" w:name="_1389634440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p w:rsidR="00EB0116" w:rsidRDefault="00302ADF">
      <w:pPr>
        <w:ind w:left="284"/>
      </w:pPr>
      <w:r>
        <w:object w:dxaOrig="11235" w:dyaOrig="6240">
          <v:shape id="_x0000_i1031" type="#_x0000_t75" style="width:444pt;height:303.75pt" o:ole="" filled="t">
            <v:fill color2="black"/>
            <v:imagedata r:id="rId19" o:title="" croptop="-10f" cropbottom="-10f" cropleft="-5f" cropright="-5f"/>
          </v:shape>
          <o:OLEObject Type="Embed" ProgID="Excel.Sheet.12" ShapeID="_x0000_i1031" DrawAspect="Content" ObjectID="_1582364745" r:id="rId20"/>
        </w:object>
      </w:r>
    </w:p>
    <w:p w:rsidR="00EB0116" w:rsidRDefault="00EB0116">
      <w:pPr>
        <w:ind w:left="567"/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povinnostiach účtovnej jednotky, a to: </w:t>
      </w:r>
    </w:p>
    <w:p w:rsidR="00EB0116" w:rsidRDefault="00302ADF">
      <w:pPr>
        <w:ind w:left="284"/>
      </w:pPr>
      <w:r>
        <w:t>Spoločnosť neeviduje finančné povinnosti, ktoré sa nevykazujú v súvahe.</w:t>
      </w:r>
      <w:r>
        <w:tab/>
      </w:r>
    </w:p>
    <w:p w:rsidR="00EB0116" w:rsidRDefault="00EB0116">
      <w:pPr>
        <w:ind w:left="284"/>
        <w:rPr>
          <w:i/>
        </w:rPr>
      </w:pP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 jednotlivých finančných povinnostiach, ktoré sa nevykazujú v súvahe</w:t>
      </w:r>
    </w:p>
    <w:p w:rsidR="00EB0116" w:rsidRDefault="00302ADF">
      <w:pPr>
        <w:ind w:left="567"/>
      </w:pPr>
      <w:r>
        <w:t>Informácie o jednotlivých finančných povinnostiach, ktoré sa nevykazujú v súvahe, ale sú významné na</w:t>
      </w:r>
    </w:p>
    <w:p w:rsidR="00EB0116" w:rsidRDefault="00302ADF">
      <w:pPr>
        <w:ind w:left="567"/>
      </w:pPr>
      <w:r>
        <w:t>posúdenie finančnej situácie spoločnosti sú uvedené</w:t>
      </w:r>
    </w:p>
    <w:p w:rsidR="00EB0116" w:rsidRDefault="00EB0116">
      <w:pPr>
        <w:rPr>
          <w:b/>
        </w:rPr>
      </w:pPr>
    </w:p>
    <w:bookmarkStart w:id="78" w:name="_1487573601"/>
    <w:bookmarkStart w:id="79" w:name="_1487573590"/>
    <w:bookmarkStart w:id="80" w:name="_1487573579"/>
    <w:bookmarkStart w:id="81" w:name="_1487573570"/>
    <w:bookmarkStart w:id="82" w:name="_1487573558"/>
    <w:bookmarkStart w:id="83" w:name="_1487573528"/>
    <w:bookmarkStart w:id="84" w:name="_1487572978"/>
    <w:bookmarkStart w:id="85" w:name="_1487572903"/>
    <w:bookmarkStart w:id="86" w:name="_1487572829"/>
    <w:bookmarkStart w:id="87" w:name="_1487572806"/>
    <w:bookmarkStart w:id="88" w:name="_1389632884"/>
    <w:bookmarkStart w:id="89" w:name="_1389632623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p w:rsidR="00EB0116" w:rsidRDefault="00302ADF">
      <w:pPr>
        <w:ind w:left="567"/>
      </w:pPr>
      <w:r>
        <w:object w:dxaOrig="9147" w:dyaOrig="1785">
          <v:shape id="_x0000_i1032" type="#_x0000_t75" style="width:435.75pt;height:86.25pt" o:ole="" filled="t">
            <v:fill color2="black"/>
            <v:imagedata r:id="rId21" o:title="" croptop="-36f" cropbottom="-36f" cropleft="-7f" cropright="-7f"/>
          </v:shape>
          <o:OLEObject Type="Embed" ProgID="Excel.Sheet.8" ShapeID="_x0000_i1032" DrawAspect="Content" ObjectID="_1582364746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celkovej sume významných podmienených záväzkov</w:t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567"/>
        <w:jc w:val="left"/>
      </w:pPr>
      <w:r>
        <w:t>Spoločnosť neeviduje podmienené záväzky.</w:t>
      </w:r>
      <w:r>
        <w:tab/>
      </w: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302ADF">
      <w:pPr>
        <w:ind w:left="567"/>
        <w:jc w:val="lef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B0116" w:rsidRDefault="00302ADF">
      <w:pPr>
        <w:ind w:left="567"/>
        <w:jc w:val="left"/>
      </w:pPr>
      <w:r>
        <w:lastRenderedPageBreak/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>
        <w:tab/>
      </w:r>
      <w:bookmarkStart w:id="90" w:name="_1487574153"/>
      <w:bookmarkStart w:id="91" w:name="_1487574130"/>
      <w:bookmarkStart w:id="92" w:name="_1487573973"/>
      <w:bookmarkStart w:id="93" w:name="_1389632350"/>
      <w:bookmarkEnd w:id="90"/>
      <w:bookmarkEnd w:id="91"/>
      <w:bookmarkEnd w:id="92"/>
      <w:bookmarkEnd w:id="93"/>
      <w:r>
        <w:object w:dxaOrig="11222" w:dyaOrig="2415">
          <v:shape id="_x0000_i1033" type="#_x0000_t75" style="width:431.25pt;height:116.25pt" o:ole="" filled="t">
            <v:fill color2="black"/>
            <v:imagedata r:id="rId23" o:title="" croptop="-27f" cropbottom="-27f" cropleft="-5f" cropright="-5f"/>
          </v:shape>
          <o:OLEObject Type="Embed" ProgID="Excel.Sheet.8" ShapeID="_x0000_i1033" DrawAspect="Content" ObjectID="_1582364747" r:id="rId2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567"/>
      </w:pPr>
      <w:r>
        <w:t>Spoločnosť k významným finančným povinnostiam a podmieneným záväzkom ďalej uvádza:</w:t>
      </w:r>
      <w:r>
        <w:tab/>
      </w:r>
    </w:p>
    <w:p w:rsidR="00EB0116" w:rsidRDefault="00EB0116">
      <w:pPr>
        <w:ind w:left="567"/>
      </w:pP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významnej povinnosti vyplývajúcej z dôchodkových programov</w:t>
      </w:r>
    </w:p>
    <w:p w:rsidR="00EB0116" w:rsidRDefault="00302ADF">
      <w:pPr>
        <w:ind w:left="567"/>
      </w:pPr>
      <w:r>
        <w:t xml:space="preserve">Spoločnosť neposkytla účasť na dôchodkových programoch pre zamestnancov. </w:t>
      </w:r>
      <w:r>
        <w:tab/>
      </w:r>
    </w:p>
    <w:p w:rsidR="00EB0116" w:rsidRDefault="00302ADF">
      <w:pPr>
        <w:ind w:left="567"/>
      </w:pPr>
      <w:r>
        <w:rPr>
          <w:i/>
        </w:rPr>
        <w:tab/>
      </w:r>
      <w:r>
        <w:rPr>
          <w:i/>
        </w:rPr>
        <w:tab/>
      </w:r>
    </w:p>
    <w:p w:rsidR="00EB0116" w:rsidRDefault="00302ADF">
      <w:pPr>
        <w:ind w:left="567"/>
      </w:pPr>
      <w:r>
        <w:t>K významným povinnostiam vyplývajúcich z dôchodkových programov spoločnosť uvádza:</w:t>
      </w:r>
    </w:p>
    <w:p w:rsidR="00EB0116" w:rsidRDefault="00EB0116">
      <w:pPr>
        <w:ind w:left="600"/>
        <w:jc w:val="left"/>
        <w:rPr>
          <w:b/>
        </w:rPr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94" w:name="_MON_1394000278"/>
      <w:bookmarkStart w:id="95" w:name="_MON_1389592981"/>
      <w:bookmarkStart w:id="96" w:name="_MON_1389592970"/>
      <w:bookmarkStart w:id="97" w:name="_MON_1390127198"/>
      <w:bookmarkStart w:id="98" w:name="_MON_1389593019"/>
      <w:bookmarkStart w:id="99" w:name="_MON_1391858426"/>
      <w:bookmarkStart w:id="100" w:name="_MON_1391518954"/>
      <w:bookmarkStart w:id="101" w:name="_MON_1390127213"/>
      <w:bookmarkStart w:id="102" w:name="_MON_1389591687"/>
      <w:bookmarkStart w:id="103" w:name="_MON_1390127235"/>
      <w:bookmarkStart w:id="104" w:name="_MON_1392014455"/>
      <w:bookmarkStart w:id="105" w:name="_MON_1389594809"/>
      <w:bookmarkStart w:id="106" w:name="_MON_1389594793"/>
      <w:bookmarkStart w:id="107" w:name="_MON_1391518676"/>
      <w:bookmarkStart w:id="108" w:name="_MON_1394000267"/>
      <w:bookmarkStart w:id="109" w:name="_MON_1393999543"/>
      <w:bookmarkStart w:id="110" w:name="_MON_1389591005"/>
      <w:bookmarkStart w:id="111" w:name="_MON_1389590928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>
        <w:t>Informácie o udelení výlučného práva alebo osobitného práva, ktorým sa udelilo právo poskytovať služby vo verejnom záujme </w:t>
      </w:r>
    </w:p>
    <w:p w:rsidR="00EB0116" w:rsidRDefault="00302ADF">
      <w:pPr>
        <w:ind w:left="300"/>
      </w:pPr>
      <w:r>
        <w:t>Spoločnosti nie je udelené výlučné právo alebo osobitné právo na poskytovanie služieb vo verejnom záujme.</w:t>
      </w:r>
    </w:p>
    <w:p w:rsidR="00EB0116" w:rsidRDefault="00EB0116">
      <w:pPr>
        <w:ind w:left="600"/>
      </w:pPr>
    </w:p>
    <w:p w:rsidR="00EB0116" w:rsidRDefault="00302ADF">
      <w:pPr>
        <w:ind w:left="300"/>
      </w:pPr>
      <w:bookmarkStart w:id="112" w:name="_MON_1391519474"/>
      <w:bookmarkStart w:id="113" w:name="_MON_1391519392"/>
      <w:bookmarkStart w:id="114" w:name="_MON_1390127111"/>
      <w:bookmarkStart w:id="115" w:name="_MON_1389596175"/>
      <w:bookmarkStart w:id="116" w:name="_MON_1393999567"/>
      <w:bookmarkStart w:id="117" w:name="_MON_1391519596"/>
      <w:bookmarkStart w:id="118" w:name="_MON_1391519547"/>
      <w:bookmarkStart w:id="119" w:name="_MON_1391519537"/>
      <w:bookmarkStart w:id="120" w:name="_MON_1390127168"/>
      <w:bookmarkStart w:id="121" w:name="_MON_1392012210"/>
      <w:bookmarkStart w:id="122" w:name="_MON_1389596913"/>
      <w:bookmarkStart w:id="123" w:name="_MON_1394000344"/>
      <w:bookmarkStart w:id="124" w:name="_MON_1389596588"/>
      <w:bookmarkStart w:id="125" w:name="_MON_1391858479"/>
      <w:bookmarkStart w:id="126" w:name="_MON_1389596487"/>
      <w:bookmarkStart w:id="127" w:name="_MON_1389596485"/>
      <w:bookmarkStart w:id="128" w:name="_MON_1391597547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EB0116">
      <w:pPr>
        <w:ind w:left="600"/>
      </w:pPr>
    </w:p>
    <w:p w:rsidR="00EB0116" w:rsidRDefault="00302ADF">
      <w:pPr>
        <w:ind w:left="600"/>
      </w:pPr>
      <w:bookmarkStart w:id="129" w:name="_MON_1390127037"/>
      <w:bookmarkStart w:id="130" w:name="_MON_1390127001"/>
      <w:bookmarkStart w:id="131" w:name="_MON_1391599159"/>
      <w:bookmarkStart w:id="132" w:name="_MON_1390111950"/>
      <w:bookmarkStart w:id="133" w:name="_MON_1390111943"/>
      <w:bookmarkStart w:id="134" w:name="_MON_1392178944"/>
      <w:bookmarkStart w:id="135" w:name="_MON_1389598924"/>
      <w:bookmarkStart w:id="136" w:name="_MON_1389598897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br/>
      </w:r>
    </w:p>
    <w:p w:rsidR="00EB0116" w:rsidRDefault="00EB0116">
      <w:pPr>
        <w:pStyle w:val="Zkladntext"/>
        <w:ind w:left="284"/>
      </w:pPr>
      <w:bookmarkStart w:id="137" w:name="_MON_1389612233"/>
      <w:bookmarkStart w:id="138" w:name="_MON_1389612171"/>
      <w:bookmarkStart w:id="139" w:name="_MON_1389612158"/>
      <w:bookmarkStart w:id="140" w:name="_MON_1389611904"/>
      <w:bookmarkStart w:id="141" w:name="_MON_1389611926"/>
      <w:bookmarkEnd w:id="137"/>
      <w:bookmarkEnd w:id="138"/>
      <w:bookmarkEnd w:id="139"/>
      <w:bookmarkEnd w:id="140"/>
      <w:bookmarkEnd w:id="141"/>
    </w:p>
    <w:p w:rsidR="00EB0116" w:rsidRDefault="00EB0116">
      <w:pPr>
        <w:pStyle w:val="Zkladntext"/>
        <w:rPr>
          <w:sz w:val="20"/>
        </w:rPr>
      </w:pPr>
    </w:p>
    <w:p w:rsidR="00EB0116" w:rsidRDefault="00302ADF">
      <w:pPr>
        <w:tabs>
          <w:tab w:val="left" w:pos="5560"/>
        </w:tabs>
      </w:pPr>
      <w:r>
        <w:tab/>
      </w:r>
    </w:p>
    <w:p w:rsidR="00EB0116" w:rsidRDefault="00EB0116">
      <w:pPr>
        <w:tabs>
          <w:tab w:val="left" w:pos="5560"/>
        </w:tabs>
      </w:pPr>
    </w:p>
    <w:p w:rsidR="00EB0116" w:rsidRDefault="00EB0116">
      <w:pPr>
        <w:tabs>
          <w:tab w:val="left" w:pos="5560"/>
        </w:tabs>
      </w:pPr>
    </w:p>
    <w:p w:rsidR="00EB0116" w:rsidRDefault="00EB0116">
      <w:pPr>
        <w:tabs>
          <w:tab w:val="left" w:pos="5560"/>
        </w:tabs>
      </w:pPr>
    </w:p>
    <w:p w:rsidR="00EB0116" w:rsidRDefault="00EB0116">
      <w:pPr>
        <w:pStyle w:val="Odsekzoznamu"/>
        <w:ind w:left="340"/>
      </w:pPr>
      <w:bookmarkStart w:id="142" w:name="_MON_1391858544"/>
      <w:bookmarkStart w:id="143" w:name="_MON_1389615270"/>
      <w:bookmarkStart w:id="144" w:name="_MON_1398843845"/>
      <w:bookmarkStart w:id="145" w:name="_MON_1398843832"/>
      <w:bookmarkStart w:id="146" w:name="_MON_1389615256"/>
      <w:bookmarkStart w:id="147" w:name="_MON_1391605538"/>
      <w:bookmarkStart w:id="148" w:name="_MON_1393999746"/>
      <w:bookmarkStart w:id="149" w:name="_MON_1391523046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:rsidR="00EB0116" w:rsidRDefault="00EB0116">
      <w:pPr>
        <w:pStyle w:val="Zkladntext"/>
        <w:ind w:left="300"/>
      </w:pPr>
      <w:bookmarkStart w:id="150" w:name="_MON_1389634871"/>
      <w:bookmarkStart w:id="151" w:name="_MON_1389634862"/>
      <w:bookmarkStart w:id="152" w:name="_MON_1389634833"/>
      <w:bookmarkEnd w:id="150"/>
      <w:bookmarkEnd w:id="151"/>
      <w:bookmarkEnd w:id="152"/>
    </w:p>
    <w:p w:rsidR="00EB0116" w:rsidRDefault="00EB0116">
      <w:pPr>
        <w:ind w:left="300"/>
      </w:pPr>
      <w:bookmarkStart w:id="153" w:name="_MON_1393999771"/>
      <w:bookmarkStart w:id="154" w:name="_MON_1393999768"/>
      <w:bookmarkStart w:id="155" w:name="_MON_1391489840"/>
      <w:bookmarkStart w:id="156" w:name="_MON_1391607146"/>
      <w:bookmarkStart w:id="157" w:name="_MON_1391607127"/>
      <w:bookmarkEnd w:id="153"/>
      <w:bookmarkEnd w:id="154"/>
      <w:bookmarkEnd w:id="155"/>
      <w:bookmarkEnd w:id="156"/>
      <w:bookmarkEnd w:id="157"/>
    </w:p>
    <w:p w:rsidR="00EB0116" w:rsidRDefault="00EB0116">
      <w:pPr>
        <w:ind w:left="300"/>
      </w:pPr>
    </w:p>
    <w:p w:rsidR="00EB0116" w:rsidRDefault="00EB0116">
      <w:pPr>
        <w:ind w:left="300"/>
      </w:pPr>
    </w:p>
    <w:p w:rsidR="00EB0116" w:rsidRDefault="00EB0116">
      <w:pPr>
        <w:ind w:left="300"/>
      </w:pPr>
    </w:p>
    <w:sectPr w:rsidR="00EB0116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116" w:rsidRDefault="00302ADF">
      <w:pPr>
        <w:spacing w:before="0"/>
      </w:pPr>
      <w:r>
        <w:separator/>
      </w:r>
    </w:p>
  </w:endnote>
  <w:endnote w:type="continuationSeparator" w:id="0">
    <w:p w:rsidR="00EB0116" w:rsidRDefault="00302A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16" w:rsidRDefault="00302ADF">
    <w:pPr>
      <w:pStyle w:val="Pta"/>
      <w:ind w:right="360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3500" cy="144780"/>
              <wp:effectExtent l="635" t="635" r="254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116" w:rsidRDefault="00302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D76502">
                            <w:rPr>
                              <w:rStyle w:val="slostran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4pt;z-index:25165772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q5Z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" stroked="f">
              <v:fill opacity="0"/>
              <v:textbox inset="0,0,0,0">
                <w:txbxContent>
                  <w:p w:rsidR="00EB0116" w:rsidRDefault="00302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D76502">
                      <w:rPr>
                        <w:rStyle w:val="slostrany"/>
                        <w:noProof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16" w:rsidRDefault="00EB01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116" w:rsidRDefault="00302ADF">
      <w:pPr>
        <w:spacing w:before="0"/>
      </w:pPr>
      <w:r>
        <w:separator/>
      </w:r>
    </w:p>
  </w:footnote>
  <w:footnote w:type="continuationSeparator" w:id="0">
    <w:p w:rsidR="00EB0116" w:rsidRDefault="00302A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4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23"/>
    </w:tblGrid>
    <w:tr w:rsidR="00EB0116">
      <w:trPr>
        <w:trHeight w:val="227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Poznámky Úč MÚJ  3 - 01</w:t>
          </w:r>
        </w:p>
      </w:tc>
      <w:tc>
        <w:tcPr>
          <w:tcW w:w="212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EB0116" w:rsidRDefault="00EB0116">
          <w:pPr>
            <w:snapToGrid w:val="0"/>
            <w:jc w:val="center"/>
            <w:rPr>
              <w:rFonts w:ascii="Arial Narrow" w:hAnsi="Arial Narrow" w:cs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shd w:val="clear" w:color="auto" w:fill="auto"/>
          <w:vAlign w:val="bottom"/>
        </w:tcPr>
        <w:p w:rsidR="00EB0116" w:rsidRDefault="00302ADF">
          <w:pPr>
            <w:tabs>
              <w:tab w:val="left" w:pos="2608"/>
            </w:tabs>
            <w:ind w:left="639" w:right="-2890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</w:tr>
  </w:tbl>
  <w:p w:rsidR="00EB0116" w:rsidRDefault="00EB0116">
    <w:pPr>
      <w:pStyle w:val="Hlavika"/>
      <w:rPr>
        <w:rFonts w:ascii="Arial Narrow" w:hAnsi="Arial Narrow" w:cs="Arial Narrow"/>
        <w:i/>
        <w:sz w:val="16"/>
        <w:szCs w:val="16"/>
      </w:rPr>
    </w:pPr>
  </w:p>
  <w:tbl>
    <w:tblPr>
      <w:tblW w:w="0" w:type="auto"/>
      <w:tblInd w:w="27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94"/>
    </w:tblGrid>
    <w:tr w:rsidR="00EB0116">
      <w:trPr>
        <w:trHeight w:val="227"/>
      </w:trPr>
      <w:tc>
        <w:tcPr>
          <w:tcW w:w="4281" w:type="dxa"/>
          <w:shd w:val="clear" w:color="auto" w:fill="auto"/>
          <w:vAlign w:val="bottom"/>
        </w:tcPr>
        <w:p w:rsidR="00EB0116" w:rsidRDefault="00302ADF">
          <w:pPr>
            <w:tabs>
              <w:tab w:val="left" w:pos="3502"/>
            </w:tabs>
            <w:ind w:left="639" w:right="-495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5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</w:tr>
  </w:tbl>
  <w:p w:rsidR="00EB0116" w:rsidRDefault="00EB011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16" w:rsidRDefault="00EB01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22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Liberation Serif" w:hAnsi="Liberation Serif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DF"/>
    <w:rsid w:val="00302ADF"/>
    <w:rsid w:val="00D76502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B33443C8-7ABB-43C9-9EE0-42C87CE3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before="40"/>
      <w:ind w:left="340"/>
      <w:jc w:val="both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spacing w:before="240" w:after="60"/>
      <w:ind w:left="0"/>
      <w:outlineLvl w:val="0"/>
    </w:pPr>
    <w:rPr>
      <w:rFonts w:ascii="Arial Narrow" w:hAnsi="Arial Narrow" w:cs="Arial Narrow"/>
      <w:b/>
      <w:caps/>
      <w:kern w:val="1"/>
      <w:sz w:val="22"/>
    </w:rPr>
  </w:style>
  <w:style w:type="paragraph" w:styleId="Nadpis2">
    <w:name w:val="heading 2"/>
    <w:basedOn w:val="Normlny"/>
    <w:next w:val="Normlny"/>
    <w:qFormat/>
    <w:pPr>
      <w:keepNext/>
      <w:spacing w:before="240" w:after="120"/>
      <w:ind w:left="0"/>
      <w:outlineLvl w:val="1"/>
    </w:pPr>
    <w:rPr>
      <w:b/>
      <w:sz w:val="22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5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Times New Roman" w:hAnsi="Arial Narrow" w:cs="Times New Roman"/>
    </w:rPr>
  </w:style>
  <w:style w:type="character" w:customStyle="1" w:styleId="WW8Num25z1">
    <w:name w:val="WW8Num25z1"/>
  </w:style>
  <w:style w:type="character" w:customStyle="1" w:styleId="WW8Num25z2">
    <w:name w:val="WW8Num25z2"/>
    <w:rPr>
      <w:rFonts w:hint="default"/>
      <w:b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Nadpis2Char">
    <w:name w:val="Nadpis 2 Char"/>
    <w:rPr>
      <w:b/>
      <w:sz w:val="22"/>
    </w:rPr>
  </w:style>
  <w:style w:type="character" w:customStyle="1" w:styleId="ZarkazkladnhotextuChar">
    <w:name w:val="Zarážka základného textu Char"/>
    <w:rPr>
      <w:b/>
      <w:sz w:val="28"/>
    </w:rPr>
  </w:style>
  <w:style w:type="character" w:customStyle="1" w:styleId="ra">
    <w:name w:val="ra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</w:style>
  <w:style w:type="paragraph" w:customStyle="1" w:styleId="Nadpis">
    <w:name w:val="Nadpis"/>
    <w:basedOn w:val="Normlny"/>
    <w:next w:val="Zkladntext"/>
    <w:pPr>
      <w:spacing w:before="0"/>
      <w:ind w:left="0"/>
      <w:jc w:val="center"/>
    </w:pPr>
    <w:rPr>
      <w:b/>
    </w:rPr>
  </w:style>
  <w:style w:type="paragraph" w:styleId="Zkladntext">
    <w:name w:val="Body Text"/>
    <w:basedOn w:val="Normlny"/>
    <w:pPr>
      <w:spacing w:before="0"/>
      <w:ind w:left="0"/>
      <w:jc w:val="left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before="0"/>
      <w:ind w:left="0"/>
      <w:jc w:val="left"/>
    </w:pPr>
    <w:rPr>
      <w:b/>
      <w:sz w:val="28"/>
      <w:lang w:val="x-none"/>
    </w:rPr>
  </w:style>
  <w:style w:type="paragraph" w:styleId="Pta">
    <w:name w:val="footer"/>
    <w:basedOn w:val="Normlny"/>
    <w:pPr>
      <w:spacing w:before="0"/>
      <w:ind w:left="0"/>
      <w:jc w:val="left"/>
    </w:pPr>
  </w:style>
  <w:style w:type="paragraph" w:styleId="Podtitul">
    <w:name w:val="Subtitle"/>
    <w:basedOn w:val="Normlny"/>
    <w:next w:val="Zkladntext"/>
    <w:qFormat/>
    <w:pPr>
      <w:spacing w:before="0"/>
      <w:ind w:left="0"/>
      <w:jc w:val="left"/>
    </w:pPr>
    <w:rPr>
      <w:b/>
    </w:rPr>
  </w:style>
  <w:style w:type="paragraph" w:customStyle="1" w:styleId="Zarkazkladnhotextu21">
    <w:name w:val="Zarážka základného textu 21"/>
    <w:basedOn w:val="Normlny"/>
    <w:pPr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pPr>
      <w:spacing w:before="0"/>
      <w:ind w:left="142"/>
      <w:jc w:val="left"/>
    </w:pPr>
  </w:style>
  <w:style w:type="paragraph" w:styleId="Hlavika">
    <w:name w:val="header"/>
    <w:basedOn w:val="Normlny"/>
    <w:pPr>
      <w:spacing w:before="0"/>
      <w:ind w:left="0"/>
      <w:jc w:val="left"/>
    </w:pPr>
  </w:style>
  <w:style w:type="paragraph" w:customStyle="1" w:styleId="Zkladntext31">
    <w:name w:val="Základný text 31"/>
    <w:basedOn w:val="Normlny"/>
    <w:pPr>
      <w:spacing w:before="0"/>
      <w:ind w:left="0"/>
      <w:jc w:val="left"/>
    </w:pPr>
    <w:rPr>
      <w:rFonts w:ascii="Arial" w:hAnsi="Arial" w:cs="Arial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Obsah1">
    <w:name w:val="toc 1"/>
    <w:basedOn w:val="Normlny"/>
    <w:next w:val="Normlny"/>
    <w:pPr>
      <w:spacing w:before="360"/>
      <w:ind w:left="0"/>
      <w:jc w:val="left"/>
    </w:pPr>
    <w:rPr>
      <w:b/>
      <w:caps/>
      <w:lang w:eastAsia="sk-SK"/>
    </w:rPr>
  </w:style>
  <w:style w:type="paragraph" w:customStyle="1" w:styleId="Prklady">
    <w:name w:val="Príklady"/>
    <w:basedOn w:val="Normlny"/>
    <w:rPr>
      <w:i/>
      <w:sz w:val="18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pPr>
      <w:spacing w:before="0"/>
    </w:pPr>
    <w:rPr>
      <w:rFonts w:ascii="Tahoma" w:hAnsi="Tahoma" w:cs="Tahoma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4.xlsx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Benol</cp:lastModifiedBy>
  <cp:revision>3</cp:revision>
  <cp:lastPrinted>2017-03-20T16:04:00Z</cp:lastPrinted>
  <dcterms:created xsi:type="dcterms:W3CDTF">2018-03-12T11:56:00Z</dcterms:created>
  <dcterms:modified xsi:type="dcterms:W3CDTF">2018-03-12T11:59:00Z</dcterms:modified>
</cp:coreProperties>
</file>