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57" w:type="dxa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67"/>
        <w:gridCol w:w="2567"/>
        <w:gridCol w:w="339"/>
        <w:gridCol w:w="341"/>
        <w:gridCol w:w="339"/>
        <w:gridCol w:w="339"/>
        <w:gridCol w:w="339"/>
        <w:gridCol w:w="341"/>
        <w:gridCol w:w="339"/>
        <w:gridCol w:w="339"/>
        <w:gridCol w:w="567"/>
        <w:gridCol w:w="335"/>
        <w:gridCol w:w="335"/>
        <w:gridCol w:w="335"/>
        <w:gridCol w:w="335"/>
      </w:tblGrid>
      <w:tr>
        <w:trPr/>
        <w:tc>
          <w:tcPr>
            <w:tcW w:w="2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866"/>
        <w:gridCol w:w="6967"/>
      </w:tblGrid>
      <w:tr>
        <w:trPr>
          <w:trHeight w:val="284" w:hRule="atLeast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Združenie na pomoc ľuďom s mentálnym postihnutím v Slovenskej republike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27.04.1990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Iveta Mišová, štatutárny orgán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Stefi Nováková, predsedníčka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Zuzana Stavrovská, podpredsedníčka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Ľubica Vyberalová, podpredsedníčka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Eva Števková, členka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Ing.Dagmar Blažeková, členka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Et Bc. Maroš Matiaško, LL.M., člen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Dušan Fabián, člen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Agnes Cséfalvay, členka 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Richard Drahovský, člen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Iveta Hlavenková , predsedníčka revíznej komisie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Ladislav Krajčovič,  člen</w:t>
            </w:r>
            <w:bookmarkStart w:id="0" w:name="_GoBack"/>
            <w:bookmarkEnd w:id="0"/>
            <w:r>
              <w:rPr>
                <w:sz w:val="16"/>
                <w:szCs w:val="16"/>
              </w:rPr>
              <w:t xml:space="preserve"> revíznej komisie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Mária Csontosová, členka revíznej komisie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Vykonávanie prevencie a poskytovanie sociálneho poradenstva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Obhajoba práv a záujmov ľudí s mentálnym postihnutím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Vzdelávacie aktivity, publikačná činnosť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Voľnočasové aktivity, pobyty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Inovatívne a modelové projekty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0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529"/>
        <w:gridCol w:w="2525"/>
        <w:gridCol w:w="2524"/>
      </w:tblGrid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/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jc w:val="left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193"/>
        <w:gridCol w:w="3193"/>
        <w:gridCol w:w="3192"/>
      </w:tblGrid>
      <w:tr>
        <w:trPr>
          <w:trHeight w:val="284" w:hRule="atLeast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94"/>
        <w:gridCol w:w="2394"/>
        <w:gridCol w:w="2397"/>
        <w:gridCol w:w="2392"/>
      </w:tblGrid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3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Výpočtová technika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23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26" w:type="dxa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63"/>
        <w:gridCol w:w="4862"/>
      </w:tblGrid>
      <w:tr>
        <w:trPr>
          <w:trHeight w:val="284" w:hRule="atLeast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jc w:val="left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290"/>
        <w:gridCol w:w="1114"/>
        <w:gridCol w:w="1040"/>
        <w:gridCol w:w="1090"/>
        <w:gridCol w:w="1068"/>
        <w:gridCol w:w="1231"/>
        <w:gridCol w:w="1124"/>
        <w:gridCol w:w="1019"/>
      </w:tblGrid>
      <w:tr>
        <w:trPr>
          <w:trHeight w:val="1224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612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Netýka sa </w:t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665" w:type="dxa"/>
        <w:jc w:val="left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594"/>
        <w:gridCol w:w="837"/>
        <w:gridCol w:w="835"/>
        <w:gridCol w:w="837"/>
        <w:gridCol w:w="835"/>
        <w:gridCol w:w="613"/>
        <w:gridCol w:w="794"/>
        <w:gridCol w:w="720"/>
        <w:gridCol w:w="930"/>
        <w:gridCol w:w="851"/>
        <w:gridCol w:w="668"/>
        <w:gridCol w:w="1150"/>
      </w:tblGrid>
      <w:tr>
        <w:trPr>
          <w:trHeight w:val="1020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1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12635,84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8214,29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842444,87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863295,00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621833,91 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621833,91 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12635,84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8214,29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1464278,78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1485128,91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12635,84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8214,29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20850,13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12635,84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8214,29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20850,13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66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1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Prehľad dlhodobého majetku, na ktorý je zriadené záložné právo a dlhodobého majetku, pri ktorom má účtovná jednotka obmedzené právo s ním nakladať:- netýka sa </w:t>
      </w:r>
    </w:p>
    <w:tbl>
      <w:tblPr>
        <w:tblW w:w="10300" w:type="dxa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035"/>
        <w:gridCol w:w="4264"/>
      </w:tblGrid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dlhodobého majetku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o spôsobe a výške poistenia dlhodobého nehmotného majetku a dlhodobého hmotného majetku.-netýka sa </w:t>
      </w:r>
    </w:p>
    <w:tbl>
      <w:tblPr>
        <w:tblW w:w="10300" w:type="dxa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41"/>
        <w:gridCol w:w="2979"/>
        <w:gridCol w:w="2980"/>
      </w:tblGrid>
      <w:tr>
        <w:trPr>
          <w:trHeight w:val="284" w:hRule="atLeast"/>
        </w:trPr>
        <w:tc>
          <w:tcPr>
            <w:tcW w:w="4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poistenia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zmenách jednotlivých položiek dlhodobého finančného majetku:-netýka sa </w:t>
      </w:r>
    </w:p>
    <w:tbl>
      <w:tblPr>
        <w:tblW w:w="5000" w:type="pct"/>
        <w:jc w:val="left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207"/>
        <w:gridCol w:w="967"/>
        <w:gridCol w:w="1005"/>
        <w:gridCol w:w="966"/>
        <w:gridCol w:w="966"/>
        <w:gridCol w:w="966"/>
        <w:gridCol w:w="967"/>
        <w:gridCol w:w="967"/>
        <w:gridCol w:w="966"/>
      </w:tblGrid>
      <w:tr>
        <w:trPr>
          <w:trHeight w:val="1632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štruktúre dlhodobého finančného majetku –netýka sa </w:t>
      </w:r>
    </w:p>
    <w:tbl>
      <w:tblPr>
        <w:tblW w:w="5000" w:type="pct"/>
        <w:jc w:val="left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842"/>
        <w:gridCol w:w="956"/>
        <w:gridCol w:w="1095"/>
        <w:gridCol w:w="1503"/>
        <w:gridCol w:w="1489"/>
        <w:gridCol w:w="2"/>
        <w:gridCol w:w="1519"/>
        <w:gridCol w:w="1571"/>
      </w:tblGrid>
      <w:tr>
        <w:trPr>
          <w:trHeight w:val="922" w:hRule="atLeast"/>
        </w:trPr>
        <w:tc>
          <w:tcPr>
            <w:tcW w:w="184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rPr>
          <w:trHeight w:val="694" w:hRule="atLeast"/>
        </w:trPr>
        <w:tc>
          <w:tcPr>
            <w:tcW w:w="184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5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2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8" w:hRule="atLeast"/>
        </w:trPr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</w:t>
      </w:r>
      <w:r>
        <w:rPr>
          <w:b/>
          <w:bCs/>
          <w:sz w:val="18"/>
          <w:szCs w:val="18"/>
        </w:rPr>
        <w:t>. netýka sa</w:t>
      </w:r>
      <w:r>
        <w:rPr>
          <w:sz w:val="18"/>
          <w:szCs w:val="18"/>
        </w:rPr>
        <w:t xml:space="preserve"> </w:t>
      </w:r>
    </w:p>
    <w:tbl>
      <w:tblPr>
        <w:tblW w:w="10299" w:type="dxa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599"/>
        <w:gridCol w:w="1361"/>
        <w:gridCol w:w="1362"/>
        <w:gridCol w:w="1358"/>
        <w:gridCol w:w="1365"/>
        <w:gridCol w:w="1365"/>
        <w:gridCol w:w="1888"/>
      </w:tblGrid>
      <w:tr>
        <w:trPr>
          <w:trHeight w:val="284" w:hRule="atLeast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>
        <w:trPr>
          <w:trHeight w:val="284" w:hRule="atLeast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p>
      <w:pPr>
        <w:pStyle w:val="Normal"/>
        <w:spacing w:lineRule="auto" w:line="240" w:before="0" w:after="120"/>
        <w:rPr/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10300" w:type="dxa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99"/>
        <w:gridCol w:w="3495"/>
        <w:gridCol w:w="3506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1070,09</w:t>
            </w:r>
          </w:p>
        </w:tc>
        <w:tc>
          <w:tcPr>
            <w:tcW w:w="3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255,76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166138,92</w:t>
            </w:r>
          </w:p>
        </w:tc>
        <w:tc>
          <w:tcPr>
            <w:tcW w:w="3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538095,70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167209,01</w:t>
            </w:r>
          </w:p>
        </w:tc>
        <w:tc>
          <w:tcPr>
            <w:tcW w:w="3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538351,46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2-netýka sa </w:t>
      </w:r>
    </w:p>
    <w:tbl>
      <w:tblPr>
        <w:tblW w:w="10156" w:type="dxa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43"/>
        <w:gridCol w:w="1731"/>
        <w:gridCol w:w="1725"/>
        <w:gridCol w:w="1722"/>
        <w:gridCol w:w="1735"/>
      </w:tblGrid>
      <w:tr>
        <w:trPr>
          <w:trHeight w:val="284" w:hRule="atLeast"/>
        </w:trPr>
        <w:tc>
          <w:tcPr>
            <w:tcW w:w="3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3-netýka sa </w:t>
      </w:r>
    </w:p>
    <w:tbl>
      <w:tblPr>
        <w:tblW w:w="10301" w:type="dxa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99"/>
        <w:gridCol w:w="2327"/>
        <w:gridCol w:w="2340"/>
        <w:gridCol w:w="2334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7  o vývoji opravných položiek k zásobám –netýka sa </w:t>
      </w:r>
    </w:p>
    <w:tbl>
      <w:tblPr>
        <w:tblW w:w="500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234"/>
        <w:gridCol w:w="1548"/>
        <w:gridCol w:w="1550"/>
        <w:gridCol w:w="1548"/>
        <w:gridCol w:w="1549"/>
        <w:gridCol w:w="1548"/>
      </w:tblGrid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činnosť.-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9  o vývoji opravných položiek k pohľadávkam-netýka sa </w:t>
      </w:r>
    </w:p>
    <w:tbl>
      <w:tblPr>
        <w:tblW w:w="500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412"/>
        <w:gridCol w:w="1515"/>
        <w:gridCol w:w="1514"/>
        <w:gridCol w:w="1512"/>
        <w:gridCol w:w="1515"/>
        <w:gridCol w:w="1509"/>
      </w:tblGrid>
      <w:tr>
        <w:trPr>
          <w:trHeight w:val="608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–netýka sa </w:t>
      </w:r>
    </w:p>
    <w:tbl>
      <w:tblPr>
        <w:tblW w:w="500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4583,53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12522,48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40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4583,53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12522,48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Telefon,domena,poistenie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681,32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45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550"/>
        <w:gridCol w:w="1063"/>
        <w:gridCol w:w="1062"/>
        <w:gridCol w:w="1066"/>
        <w:gridCol w:w="1066"/>
        <w:gridCol w:w="1072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31719,75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31719,75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-31368,91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63544,28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32175,37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-63544,28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-9196,13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63544,28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-9196,13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-63193,44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-9196,13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54698,99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-63544,28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-63544,28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24"/>
        <w:gridCol w:w="1412"/>
        <w:gridCol w:w="1411"/>
        <w:gridCol w:w="1411"/>
        <w:gridCol w:w="1411"/>
        <w:gridCol w:w="1408"/>
      </w:tblGrid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nevyč.dovolenky 2016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1761,25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1888,31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1761,25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1888,31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1761,25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1888,31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1761,25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1888,31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záväzkov,-</w:t>
      </w:r>
      <w:r>
        <w:rPr>
          <w:b/>
          <w:bCs/>
          <w:sz w:val="18"/>
          <w:szCs w:val="18"/>
        </w:rPr>
        <w:t>netýka sa</w:t>
      </w:r>
      <w:r>
        <w:rPr>
          <w:sz w:val="18"/>
          <w:szCs w:val="18"/>
        </w:rPr>
        <w:t xml:space="preserve"> </w:t>
      </w:r>
    </w:p>
    <w:tbl>
      <w:tblPr>
        <w:tblW w:w="10382" w:type="dxa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8"/>
        <w:gridCol w:w="1550"/>
        <w:gridCol w:w="1550"/>
        <w:gridCol w:w="1550"/>
        <w:gridCol w:w="1554"/>
      </w:tblGrid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81984,85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528,36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81984,85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528,36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85"/>
        <w:gridCol w:w="2496"/>
        <w:gridCol w:w="2497"/>
      </w:tblGrid>
      <w:tr>
        <w:trPr>
          <w:trHeight w:val="284" w:hRule="atLeast"/>
        </w:trPr>
        <w:tc>
          <w:tcPr>
            <w:tcW w:w="498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81984,85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528,36</w:t>
            </w:r>
          </w:p>
        </w:tc>
      </w:tr>
      <w:tr>
        <w:trPr>
          <w:trHeight w:val="284" w:hRule="atLeast"/>
        </w:trPr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81984,35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528,36</w:t>
            </w:r>
          </w:p>
        </w:tc>
      </w:tr>
      <w:tr>
        <w:trPr>
          <w:trHeight w:val="284" w:hRule="atLeast"/>
        </w:trPr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397,26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277,63</w:t>
            </w:r>
          </w:p>
        </w:tc>
      </w:tr>
      <w:tr>
        <w:trPr>
          <w:trHeight w:val="284" w:hRule="atLeast"/>
        </w:trPr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397,26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277,63</w:t>
            </w:r>
          </w:p>
        </w:tc>
      </w:tr>
      <w:tr>
        <w:trPr>
          <w:trHeight w:val="284" w:hRule="atLeast"/>
        </w:trPr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82382,11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805,99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27"/>
        <w:gridCol w:w="3147"/>
        <w:gridCol w:w="3104"/>
      </w:tblGrid>
      <w:tr>
        <w:trPr>
          <w:trHeight w:val="284" w:hRule="atLeast"/>
        </w:trPr>
        <w:tc>
          <w:tcPr>
            <w:tcW w:w="3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277,63</w:t>
            </w:r>
          </w:p>
        </w:tc>
        <w:tc>
          <w:tcPr>
            <w:tcW w:w="31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414,59</w:t>
            </w:r>
          </w:p>
        </w:tc>
      </w:tr>
      <w:tr>
        <w:trPr>
          <w:trHeight w:val="284" w:hRule="atLeast"/>
        </w:trPr>
        <w:tc>
          <w:tcPr>
            <w:tcW w:w="3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264,11</w:t>
            </w:r>
          </w:p>
        </w:tc>
        <w:tc>
          <w:tcPr>
            <w:tcW w:w="31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251,54</w:t>
            </w:r>
          </w:p>
        </w:tc>
      </w:tr>
      <w:tr>
        <w:trPr>
          <w:trHeight w:val="419" w:hRule="atLeast"/>
        </w:trPr>
        <w:tc>
          <w:tcPr>
            <w:tcW w:w="3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144,48</w:t>
            </w:r>
          </w:p>
        </w:tc>
        <w:tc>
          <w:tcPr>
            <w:tcW w:w="31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388,50</w:t>
            </w:r>
          </w:p>
        </w:tc>
      </w:tr>
      <w:tr>
        <w:trPr>
          <w:trHeight w:val="284" w:hRule="atLeast"/>
        </w:trPr>
        <w:tc>
          <w:tcPr>
            <w:tcW w:w="3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397,26</w:t>
            </w:r>
          </w:p>
        </w:tc>
        <w:tc>
          <w:tcPr>
            <w:tcW w:w="31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277,63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14 písm. f) o bankových úveroch, pôžičkách a návratných finančných výpomociach- netýka sa </w:t>
      </w:r>
    </w:p>
    <w:tbl>
      <w:tblPr>
        <w:tblW w:w="50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797"/>
        <w:gridCol w:w="596"/>
        <w:gridCol w:w="1310"/>
        <w:gridCol w:w="1310"/>
        <w:gridCol w:w="1312"/>
        <w:gridCol w:w="1312"/>
        <w:gridCol w:w="1340"/>
      </w:tblGrid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b/>
          <w:b/>
          <w:bCs/>
          <w:sz w:val="18"/>
          <w:szCs w:val="18"/>
        </w:rPr>
      </w:pPr>
      <w:r>
        <w:rPr>
          <w:sz w:val="18"/>
          <w:szCs w:val="18"/>
        </w:rPr>
        <w:t xml:space="preserve">prehľad o významných položkách časového rozlíšenia výdavkov budúcich období.- 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8"/>
        <w:gridCol w:w="1550"/>
        <w:gridCol w:w="1550"/>
        <w:gridCol w:w="1550"/>
        <w:gridCol w:w="1554"/>
      </w:tblGrid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516703,98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516703,98</w:t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25930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25930</w:t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2430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2430</w:t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4911,83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7378,72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14650,54</w:t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7271,82</w:t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>
      <w:pPr>
        <w:pStyle w:val="Normal"/>
        <w:numPr>
          <w:ilvl w:val="0"/>
          <w:numId w:val="12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88"/>
        <w:gridCol w:w="4989"/>
      </w:tblGrid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Netýka sa 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0"/>
          <w:numId w:val="1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16 o majetku prenajatom formou finančného prenájmu-netýka sa </w:t>
      </w:r>
    </w:p>
    <w:tbl>
      <w:tblPr>
        <w:tblW w:w="10382" w:type="dxa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8"/>
        <w:gridCol w:w="1550"/>
        <w:gridCol w:w="1550"/>
        <w:gridCol w:w="1550"/>
        <w:gridCol w:w="1554"/>
      </w:tblGrid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6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999,80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240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4131,49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BSK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25930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125575,07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b/>
          <w:b/>
          <w:bCs/>
          <w:sz w:val="18"/>
          <w:szCs w:val="18"/>
        </w:rPr>
      </w:pPr>
      <w:r>
        <w:rPr>
          <w:sz w:val="18"/>
          <w:szCs w:val="18"/>
        </w:rPr>
        <w:t xml:space="preserve">Opis a suma významných položiek finančných výnosov; uvádza sa aj celková suma kurzových ziskov, pričom  osobitne sa uvádza hodnota kurzových ziskov účtovaná ku dňu, ku ktorému sa zostavuje účtovná závierka.- 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49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režiu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6839,86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2441,66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2438,96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repre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573,43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10772,44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Reklama,inzercia,tlač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15868,586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48145,65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814614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členské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3236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10"/>
        <w:gridCol w:w="2726"/>
        <w:gridCol w:w="2242"/>
      </w:tblGrid>
      <w:tr>
        <w:trPr>
          <w:trHeight w:val="284" w:hRule="atLeast"/>
        </w:trPr>
        <w:tc>
          <w:tcPr>
            <w:tcW w:w="4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10% spolufinancovanie na grantoch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19686,43</w:t>
            </w:r>
          </w:p>
        </w:tc>
        <w:tc>
          <w:tcPr>
            <w:tcW w:w="2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753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7271,82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suma významných položiek finančných nákladov; uvádza sa aj celková suma kurzových strát, pričom osobitne sa uvádza hodnota kurzových strát účtovaná ku dňu, ku ktorému sa zostavuje účtovná závierka.-netýka sa </w:t>
      </w:r>
    </w:p>
    <w:tbl>
      <w:tblPr>
        <w:tblW w:w="49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56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IV  ods. 8 o nákladoch vynaložených v súvislosti s auditom účtovnej závierky- netýka sa </w:t>
      </w:r>
    </w:p>
    <w:tbl>
      <w:tblPr>
        <w:tblW w:w="49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700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/>
      </w:pPr>
      <w:r>
        <w:rPr>
          <w:sz w:val="16"/>
          <w:szCs w:val="16"/>
        </w:rPr>
        <w:t>Informácie o významných skutočnostiach, ktoré nastali medzi dňom, ku ktorému sa zostavuje účtovná závierka a dňom jej zostavenia.-</w:t>
      </w:r>
      <w:r>
        <w:rPr>
          <w:b/>
          <w:bCs/>
          <w:sz w:val="16"/>
          <w:szCs w:val="16"/>
        </w:rPr>
        <w:t>žiadne nenastali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15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b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5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7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nhideWhenUsed="0"/>
    <w:lsdException w:name="Subtitle" w:uiPriority="11" w:semiHidden="0" w:unhideWhenUsed="0" w:qFormat="1"/>
    <w:lsdException w:name="Hyperlink" w:unhideWhenUsed="0"/>
    <w:lsdException w:name="Strong" w:semiHidden="0" w:unhideWhenUsed="0" w:qFormat="1"/>
    <w:lsdException w:name="Emphasis" w:uiPriority="20" w:semiHidden="0" w:unhideWhenUsed="0" w:qFormat="1"/>
    <w:lsdException w:name="Normal (Web)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3a4222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3a4222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3a4222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Internetovodkaz">
    <w:name w:val="Internetový odkaz"/>
    <w:basedOn w:val="DefaultParagraphFont"/>
    <w:uiPriority w:val="99"/>
    <w:rsid w:val="0049724f"/>
    <w:rPr>
      <w:color w:val="0000FF"/>
      <w:u w:val="single"/>
    </w:rPr>
  </w:style>
  <w:style w:type="character" w:styleId="Style21" w:customStyle="1">
    <w:name w:val="style2"/>
    <w:basedOn w:val="DefaultParagraphFont"/>
    <w:uiPriority w:val="99"/>
    <w:qFormat/>
    <w:rsid w:val="0049724f"/>
    <w:rPr/>
  </w:style>
  <w:style w:type="character" w:styleId="ListLabel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>
    <w:name w:val="ListLabel 2"/>
    <w:qFormat/>
    <w:rPr>
      <w:b w:val="false"/>
      <w:bCs w:val="false"/>
      <w:i w:val="false"/>
      <w:iCs w:val="false"/>
    </w:rPr>
  </w:style>
  <w:style w:type="character" w:styleId="ListLabel3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>
    <w:name w:val="ListLabel 4"/>
    <w:qFormat/>
    <w:rPr>
      <w:b w:val="false"/>
      <w:bCs w:val="false"/>
      <w:i w:val="false"/>
      <w:iCs w:val="false"/>
    </w:rPr>
  </w:style>
  <w:style w:type="character" w:styleId="ListLabel5">
    <w:name w:val="ListLabel 5"/>
    <w:qFormat/>
    <w:rPr>
      <w:b/>
      <w:bCs/>
      <w:i w:val="false"/>
      <w:iCs w:val="false"/>
    </w:rPr>
  </w:style>
  <w:style w:type="character" w:styleId="ListLabel6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>
    <w:name w:val="ListLabel 8"/>
    <w:qFormat/>
    <w:rPr>
      <w:b/>
      <w:bCs/>
      <w:i w:val="false"/>
      <w:iCs w:val="false"/>
    </w:rPr>
  </w:style>
  <w:style w:type="character" w:styleId="ListLabel9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>
    <w:name w:val="ListLabel 11"/>
    <w:qFormat/>
    <w:rPr>
      <w:rFonts w:cs="Symbol"/>
      <w:b/>
      <w:sz w:val="16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Wingdings"/>
    </w:rPr>
  </w:style>
  <w:style w:type="character" w:styleId="ListLabel14">
    <w:name w:val="ListLabel 14"/>
    <w:qFormat/>
    <w:rPr>
      <w:rFonts w:cs="Symbol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Wingdings"/>
    </w:rPr>
  </w:style>
  <w:style w:type="character" w:styleId="ListLabel17">
    <w:name w:val="ListLabel 17"/>
    <w:qFormat/>
    <w:rPr>
      <w:rFonts w:cs="Symbo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Wingdings"/>
    </w:rPr>
  </w:style>
  <w:style w:type="character" w:styleId="ListLabel20">
    <w:name w:val="ListLabel 20"/>
    <w:qFormat/>
    <w:rPr>
      <w:rFonts w:cs="Symbol"/>
      <w:sz w:val="16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Wingdings"/>
    </w:rPr>
  </w:style>
  <w:style w:type="character" w:styleId="ListLabel23">
    <w:name w:val="ListLabel 23"/>
    <w:qFormat/>
    <w:rPr>
      <w:rFonts w:cs="Symbol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Wingdings"/>
    </w:rPr>
  </w:style>
  <w:style w:type="character" w:styleId="ListLabel26">
    <w:name w:val="ListLabel 26"/>
    <w:qFormat/>
    <w:rPr>
      <w:rFonts w:cs="Symbol"/>
    </w:rPr>
  </w:style>
  <w:style w:type="character" w:styleId="ListLabel27">
    <w:name w:val="ListLabel 27"/>
    <w:qFormat/>
    <w:rPr>
      <w:rFonts w:cs="Courier New"/>
    </w:rPr>
  </w:style>
  <w:style w:type="character" w:styleId="ListLabel28">
    <w:name w:val="ListLabel 28"/>
    <w:qFormat/>
    <w:rPr>
      <w:rFonts w:cs="Wingdings"/>
    </w:rPr>
  </w:style>
  <w:style w:type="character" w:styleId="ListLabel29">
    <w:name w:val="ListLabel 29"/>
    <w:qFormat/>
    <w:rPr>
      <w:rFonts w:cs="Symbol"/>
      <w:sz w:val="16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Wingdings"/>
    </w:rPr>
  </w:style>
  <w:style w:type="character" w:styleId="ListLabel32">
    <w:name w:val="ListLabel 32"/>
    <w:qFormat/>
    <w:rPr>
      <w:rFonts w:cs="Symbol"/>
    </w:rPr>
  </w:style>
  <w:style w:type="character" w:styleId="ListLabel33">
    <w:name w:val="ListLabel 33"/>
    <w:qFormat/>
    <w:rPr>
      <w:rFonts w:cs="Courier New"/>
    </w:rPr>
  </w:style>
  <w:style w:type="character" w:styleId="ListLabel34">
    <w:name w:val="ListLabel 34"/>
    <w:qFormat/>
    <w:rPr>
      <w:rFonts w:cs="Wingdings"/>
    </w:rPr>
  </w:style>
  <w:style w:type="character" w:styleId="ListLabel35">
    <w:name w:val="ListLabel 35"/>
    <w:qFormat/>
    <w:rPr>
      <w:rFonts w:cs="Symbol"/>
    </w:rPr>
  </w:style>
  <w:style w:type="character" w:styleId="ListLabel36">
    <w:name w:val="ListLabel 36"/>
    <w:qFormat/>
    <w:rPr>
      <w:rFonts w:cs="Courier New"/>
    </w:rPr>
  </w:style>
  <w:style w:type="character" w:styleId="ListLabel37">
    <w:name w:val="ListLabel 37"/>
    <w:qFormat/>
    <w:rPr>
      <w:rFonts w:cs="Wingdings"/>
    </w:rPr>
  </w:style>
  <w:style w:type="character" w:styleId="ListLabel38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>
    <w:name w:val="ListLabel 39"/>
    <w:qFormat/>
    <w:rPr>
      <w:rFonts w:cs="Symbol"/>
      <w:sz w:val="20"/>
      <w:szCs w:val="20"/>
    </w:rPr>
  </w:style>
  <w:style w:type="character" w:styleId="ListLabel40">
    <w:name w:val="ListLabel 40"/>
    <w:qFormat/>
    <w:rPr>
      <w:rFonts w:cs="Courier New"/>
      <w:sz w:val="20"/>
      <w:szCs w:val="20"/>
    </w:rPr>
  </w:style>
  <w:style w:type="character" w:styleId="ListLabel41">
    <w:name w:val="ListLabel 41"/>
    <w:qFormat/>
    <w:rPr>
      <w:rFonts w:cs="Wingdings"/>
      <w:sz w:val="20"/>
      <w:szCs w:val="20"/>
    </w:rPr>
  </w:style>
  <w:style w:type="character" w:styleId="ListLabel42">
    <w:name w:val="ListLabel 42"/>
    <w:qFormat/>
    <w:rPr>
      <w:rFonts w:cs="Wingdings"/>
      <w:sz w:val="20"/>
      <w:szCs w:val="20"/>
    </w:rPr>
  </w:style>
  <w:style w:type="character" w:styleId="ListLabel43">
    <w:name w:val="ListLabel 43"/>
    <w:qFormat/>
    <w:rPr>
      <w:rFonts w:cs="Wingdings"/>
      <w:sz w:val="20"/>
      <w:szCs w:val="20"/>
    </w:rPr>
  </w:style>
  <w:style w:type="character" w:styleId="ListLabel44">
    <w:name w:val="ListLabel 44"/>
    <w:qFormat/>
    <w:rPr>
      <w:rFonts w:cs="Wingdings"/>
      <w:sz w:val="20"/>
      <w:szCs w:val="20"/>
    </w:rPr>
  </w:style>
  <w:style w:type="character" w:styleId="ListLabel45">
    <w:name w:val="ListLabel 45"/>
    <w:qFormat/>
    <w:rPr>
      <w:rFonts w:cs="Wingdings"/>
      <w:sz w:val="20"/>
      <w:szCs w:val="20"/>
    </w:rPr>
  </w:style>
  <w:style w:type="character" w:styleId="ListLabel46">
    <w:name w:val="ListLabel 46"/>
    <w:qFormat/>
    <w:rPr>
      <w:rFonts w:cs="Wingdings"/>
      <w:sz w:val="20"/>
      <w:szCs w:val="20"/>
    </w:rPr>
  </w:style>
  <w:style w:type="character" w:styleId="ListLabel47">
    <w:name w:val="ListLabel 47"/>
    <w:qFormat/>
    <w:rPr>
      <w:rFonts w:cs="Wingdings"/>
      <w:sz w:val="20"/>
      <w:szCs w:val="20"/>
    </w:rPr>
  </w:style>
  <w:style w:type="character" w:styleId="ListLabel48">
    <w:name w:val="ListLabel 48"/>
    <w:qFormat/>
    <w:rPr>
      <w:rFonts w:cs="Symbol"/>
      <w:sz w:val="20"/>
      <w:szCs w:val="20"/>
    </w:rPr>
  </w:style>
  <w:style w:type="character" w:styleId="ListLabel49">
    <w:name w:val="ListLabel 49"/>
    <w:qFormat/>
    <w:rPr>
      <w:rFonts w:cs="Courier New"/>
      <w:sz w:val="20"/>
      <w:szCs w:val="20"/>
    </w:rPr>
  </w:style>
  <w:style w:type="character" w:styleId="ListLabel50">
    <w:name w:val="ListLabel 50"/>
    <w:qFormat/>
    <w:rPr>
      <w:rFonts w:cs="Wingdings"/>
      <w:sz w:val="20"/>
      <w:szCs w:val="20"/>
    </w:rPr>
  </w:style>
  <w:style w:type="character" w:styleId="ListLabel51">
    <w:name w:val="ListLabel 51"/>
    <w:qFormat/>
    <w:rPr>
      <w:rFonts w:cs="Wingdings"/>
      <w:sz w:val="20"/>
      <w:szCs w:val="20"/>
    </w:rPr>
  </w:style>
  <w:style w:type="character" w:styleId="ListLabel52">
    <w:name w:val="ListLabel 52"/>
    <w:qFormat/>
    <w:rPr>
      <w:rFonts w:cs="Wingdings"/>
      <w:sz w:val="20"/>
      <w:szCs w:val="20"/>
    </w:rPr>
  </w:style>
  <w:style w:type="character" w:styleId="ListLabel53">
    <w:name w:val="ListLabel 53"/>
    <w:qFormat/>
    <w:rPr>
      <w:rFonts w:cs="Wingdings"/>
      <w:sz w:val="20"/>
      <w:szCs w:val="20"/>
    </w:rPr>
  </w:style>
  <w:style w:type="character" w:styleId="ListLabel54">
    <w:name w:val="ListLabel 54"/>
    <w:qFormat/>
    <w:rPr>
      <w:rFonts w:cs="Wingdings"/>
      <w:sz w:val="20"/>
      <w:szCs w:val="20"/>
    </w:rPr>
  </w:style>
  <w:style w:type="character" w:styleId="ListLabel55">
    <w:name w:val="ListLabel 55"/>
    <w:qFormat/>
    <w:rPr>
      <w:rFonts w:cs="Wingdings"/>
      <w:sz w:val="20"/>
      <w:szCs w:val="20"/>
    </w:rPr>
  </w:style>
  <w:style w:type="character" w:styleId="ListLabel56">
    <w:name w:val="ListLabel 56"/>
    <w:qFormat/>
    <w:rPr>
      <w:rFonts w:cs="Wingdings"/>
      <w:sz w:val="20"/>
      <w:szCs w:val="20"/>
    </w:rPr>
  </w:style>
  <w:style w:type="character" w:styleId="ListLabel57">
    <w:name w:val="ListLabel 57"/>
    <w:qFormat/>
    <w:rPr>
      <w:rFonts w:cs="Arial"/>
      <w:b/>
      <w:bCs/>
      <w:i w:val="false"/>
      <w:iCs w:val="false"/>
      <w:sz w:val="24"/>
      <w:szCs w:val="24"/>
    </w:rPr>
  </w:style>
  <w:style w:type="character" w:styleId="ListLabel58">
    <w:name w:val="ListLabel 58"/>
    <w:qFormat/>
    <w:rPr>
      <w:b/>
      <w:bCs/>
      <w:i w:val="false"/>
      <w:iCs w:val="false"/>
    </w:rPr>
  </w:style>
  <w:style w:type="character" w:styleId="ListLabel59">
    <w:name w:val="ListLabel 59"/>
    <w:qFormat/>
    <w:rPr>
      <w:b w:val="false"/>
      <w:bCs w:val="false"/>
      <w:i w:val="false"/>
      <w:iCs w:val="false"/>
      <w:sz w:val="16"/>
    </w:rPr>
  </w:style>
  <w:style w:type="character" w:styleId="ListLabel60">
    <w:name w:val="ListLabel 60"/>
    <w:qFormat/>
    <w:rPr>
      <w:b w:val="false"/>
      <w:bCs w:val="false"/>
      <w:i w:val="false"/>
      <w:iCs w:val="false"/>
      <w:sz w:val="18"/>
    </w:rPr>
  </w:style>
  <w:style w:type="character" w:styleId="ListLabel61">
    <w:name w:val="ListLabel 61"/>
    <w:qFormat/>
    <w:rPr>
      <w:rFonts w:cs="Symbol"/>
      <w:b/>
      <w:sz w:val="16"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Wingdings"/>
    </w:rPr>
  </w:style>
  <w:style w:type="character" w:styleId="ListLabel64">
    <w:name w:val="ListLabel 64"/>
    <w:qFormat/>
    <w:rPr>
      <w:rFonts w:cs="Symbol"/>
    </w:rPr>
  </w:style>
  <w:style w:type="character" w:styleId="ListLabel65">
    <w:name w:val="ListLabel 65"/>
    <w:qFormat/>
    <w:rPr>
      <w:rFonts w:cs="Courier New"/>
    </w:rPr>
  </w:style>
  <w:style w:type="character" w:styleId="ListLabel66">
    <w:name w:val="ListLabel 66"/>
    <w:qFormat/>
    <w:rPr>
      <w:rFonts w:cs="Wingdings"/>
    </w:rPr>
  </w:style>
  <w:style w:type="character" w:styleId="ListLabel67">
    <w:name w:val="ListLabel 67"/>
    <w:qFormat/>
    <w:rPr>
      <w:rFonts w:cs="Symbol"/>
    </w:rPr>
  </w:style>
  <w:style w:type="character" w:styleId="ListLabel68">
    <w:name w:val="ListLabel 68"/>
    <w:qFormat/>
    <w:rPr>
      <w:rFonts w:cs="Courier New"/>
    </w:rPr>
  </w:style>
  <w:style w:type="character" w:styleId="ListLabel69">
    <w:name w:val="ListLabel 69"/>
    <w:qFormat/>
    <w:rPr>
      <w:rFonts w:cs="Wingdings"/>
    </w:rPr>
  </w:style>
  <w:style w:type="character" w:styleId="ListLabel70">
    <w:name w:val="ListLabel 70"/>
    <w:qFormat/>
    <w:rPr>
      <w:rFonts w:cs="Symbol"/>
      <w:sz w:val="16"/>
    </w:rPr>
  </w:style>
  <w:style w:type="character" w:styleId="ListLabel71">
    <w:name w:val="ListLabel 71"/>
    <w:qFormat/>
    <w:rPr>
      <w:rFonts w:cs="Courier New"/>
    </w:rPr>
  </w:style>
  <w:style w:type="character" w:styleId="ListLabel72">
    <w:name w:val="ListLabel 72"/>
    <w:qFormat/>
    <w:rPr>
      <w:rFonts w:cs="Wingdings"/>
    </w:rPr>
  </w:style>
  <w:style w:type="character" w:styleId="ListLabel73">
    <w:name w:val="ListLabel 73"/>
    <w:qFormat/>
    <w:rPr>
      <w:rFonts w:cs="Symbol"/>
    </w:rPr>
  </w:style>
  <w:style w:type="character" w:styleId="ListLabel74">
    <w:name w:val="ListLabel 74"/>
    <w:qFormat/>
    <w:rPr>
      <w:rFonts w:cs="Courier New"/>
    </w:rPr>
  </w:style>
  <w:style w:type="character" w:styleId="ListLabel75">
    <w:name w:val="ListLabel 75"/>
    <w:qFormat/>
    <w:rPr>
      <w:rFonts w:cs="Wingdings"/>
    </w:rPr>
  </w:style>
  <w:style w:type="character" w:styleId="ListLabel76">
    <w:name w:val="ListLabel 76"/>
    <w:qFormat/>
    <w:rPr>
      <w:rFonts w:cs="Symbol"/>
    </w:rPr>
  </w:style>
  <w:style w:type="character" w:styleId="ListLabel77">
    <w:name w:val="ListLabel 77"/>
    <w:qFormat/>
    <w:rPr>
      <w:rFonts w:cs="Courier New"/>
    </w:rPr>
  </w:style>
  <w:style w:type="character" w:styleId="ListLabel78">
    <w:name w:val="ListLabel 78"/>
    <w:qFormat/>
    <w:rPr>
      <w:rFonts w:cs="Wingdings"/>
    </w:rPr>
  </w:style>
  <w:style w:type="character" w:styleId="ListLabel79">
    <w:name w:val="ListLabel 79"/>
    <w:qFormat/>
    <w:rPr>
      <w:rFonts w:cs="Symbol"/>
      <w:sz w:val="16"/>
    </w:rPr>
  </w:style>
  <w:style w:type="character" w:styleId="ListLabel80">
    <w:name w:val="ListLabel 80"/>
    <w:qFormat/>
    <w:rPr>
      <w:rFonts w:cs="Courier New"/>
    </w:rPr>
  </w:style>
  <w:style w:type="character" w:styleId="ListLabel81">
    <w:name w:val="ListLabel 81"/>
    <w:qFormat/>
    <w:rPr>
      <w:rFonts w:cs="Wingdings"/>
    </w:rPr>
  </w:style>
  <w:style w:type="character" w:styleId="ListLabel82">
    <w:name w:val="ListLabel 82"/>
    <w:qFormat/>
    <w:rPr>
      <w:rFonts w:cs="Symbol"/>
    </w:rPr>
  </w:style>
  <w:style w:type="character" w:styleId="ListLabel83">
    <w:name w:val="ListLabel 83"/>
    <w:qFormat/>
    <w:rPr>
      <w:rFonts w:cs="Courier New"/>
    </w:rPr>
  </w:style>
  <w:style w:type="character" w:styleId="ListLabel84">
    <w:name w:val="ListLabel 84"/>
    <w:qFormat/>
    <w:rPr>
      <w:rFonts w:cs="Wingdings"/>
    </w:rPr>
  </w:style>
  <w:style w:type="character" w:styleId="ListLabel85">
    <w:name w:val="ListLabel 85"/>
    <w:qFormat/>
    <w:rPr>
      <w:rFonts w:cs="Symbol"/>
    </w:rPr>
  </w:style>
  <w:style w:type="character" w:styleId="ListLabel86">
    <w:name w:val="ListLabel 86"/>
    <w:qFormat/>
    <w:rPr>
      <w:rFonts w:cs="Courier New"/>
    </w:rPr>
  </w:style>
  <w:style w:type="character" w:styleId="ListLabel87">
    <w:name w:val="ListLabel 87"/>
    <w:qFormat/>
    <w:rPr>
      <w:rFonts w:cs="Wingdings"/>
    </w:rPr>
  </w:style>
  <w:style w:type="character" w:styleId="ListLabel88">
    <w:name w:val="ListLabel 88"/>
    <w:qFormat/>
    <w:rPr>
      <w:rFonts w:cs="Arial"/>
      <w:b/>
      <w:bCs/>
      <w:i w:val="false"/>
      <w:iCs w:val="false"/>
      <w:sz w:val="24"/>
      <w:szCs w:val="24"/>
    </w:rPr>
  </w:style>
  <w:style w:type="character" w:styleId="ListLabel89">
    <w:name w:val="ListLabel 89"/>
    <w:qFormat/>
    <w:rPr>
      <w:b/>
      <w:bCs/>
      <w:i w:val="false"/>
      <w:iCs w:val="false"/>
    </w:rPr>
  </w:style>
  <w:style w:type="character" w:styleId="ListLabel90">
    <w:name w:val="ListLabel 90"/>
    <w:qFormat/>
    <w:rPr>
      <w:b w:val="false"/>
      <w:bCs w:val="false"/>
      <w:i w:val="false"/>
      <w:iCs w:val="false"/>
      <w:sz w:val="16"/>
    </w:rPr>
  </w:style>
  <w:style w:type="character" w:styleId="ListLabel91">
    <w:name w:val="ListLabel 91"/>
    <w:qFormat/>
    <w:rPr>
      <w:b w:val="false"/>
      <w:bCs w:val="false"/>
      <w:i w:val="false"/>
      <w:iCs w:val="false"/>
      <w:sz w:val="18"/>
    </w:rPr>
  </w:style>
  <w:style w:type="character" w:styleId="ListLabel92">
    <w:name w:val="ListLabel 92"/>
    <w:qFormat/>
    <w:rPr>
      <w:rFonts w:cs="Symbol"/>
      <w:b/>
      <w:sz w:val="16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Wingdings"/>
    </w:rPr>
  </w:style>
  <w:style w:type="character" w:styleId="ListLabel95">
    <w:name w:val="ListLabel 95"/>
    <w:qFormat/>
    <w:rPr>
      <w:rFonts w:cs="Symbol"/>
    </w:rPr>
  </w:style>
  <w:style w:type="character" w:styleId="ListLabel96">
    <w:name w:val="ListLabel 96"/>
    <w:qFormat/>
    <w:rPr>
      <w:rFonts w:cs="Courier New"/>
    </w:rPr>
  </w:style>
  <w:style w:type="character" w:styleId="ListLabel97">
    <w:name w:val="ListLabel 97"/>
    <w:qFormat/>
    <w:rPr>
      <w:rFonts w:cs="Wingdings"/>
    </w:rPr>
  </w:style>
  <w:style w:type="character" w:styleId="ListLabel98">
    <w:name w:val="ListLabel 98"/>
    <w:qFormat/>
    <w:rPr>
      <w:rFonts w:cs="Symbol"/>
    </w:rPr>
  </w:style>
  <w:style w:type="character" w:styleId="ListLabel99">
    <w:name w:val="ListLabel 99"/>
    <w:qFormat/>
    <w:rPr>
      <w:rFonts w:cs="Courier New"/>
    </w:rPr>
  </w:style>
  <w:style w:type="character" w:styleId="ListLabel100">
    <w:name w:val="ListLabel 100"/>
    <w:qFormat/>
    <w:rPr>
      <w:rFonts w:cs="Wingdings"/>
    </w:rPr>
  </w:style>
  <w:style w:type="character" w:styleId="ListLabel101">
    <w:name w:val="ListLabel 101"/>
    <w:qFormat/>
    <w:rPr>
      <w:rFonts w:cs="Symbol"/>
      <w:sz w:val="16"/>
    </w:rPr>
  </w:style>
  <w:style w:type="character" w:styleId="ListLabel102">
    <w:name w:val="ListLabel 102"/>
    <w:qFormat/>
    <w:rPr>
      <w:rFonts w:cs="Courier New"/>
    </w:rPr>
  </w:style>
  <w:style w:type="character" w:styleId="ListLabel103">
    <w:name w:val="ListLabel 103"/>
    <w:qFormat/>
    <w:rPr>
      <w:rFonts w:cs="Wingdings"/>
    </w:rPr>
  </w:style>
  <w:style w:type="character" w:styleId="ListLabel104">
    <w:name w:val="ListLabel 104"/>
    <w:qFormat/>
    <w:rPr>
      <w:rFonts w:cs="Symbol"/>
    </w:rPr>
  </w:style>
  <w:style w:type="character" w:styleId="ListLabel105">
    <w:name w:val="ListLabel 105"/>
    <w:qFormat/>
    <w:rPr>
      <w:rFonts w:cs="Courier New"/>
    </w:rPr>
  </w:style>
  <w:style w:type="character" w:styleId="ListLabel106">
    <w:name w:val="ListLabel 106"/>
    <w:qFormat/>
    <w:rPr>
      <w:rFonts w:cs="Wingdings"/>
    </w:rPr>
  </w:style>
  <w:style w:type="character" w:styleId="ListLabel107">
    <w:name w:val="ListLabel 107"/>
    <w:qFormat/>
    <w:rPr>
      <w:rFonts w:cs="Symbol"/>
    </w:rPr>
  </w:style>
  <w:style w:type="character" w:styleId="ListLabel108">
    <w:name w:val="ListLabel 108"/>
    <w:qFormat/>
    <w:rPr>
      <w:rFonts w:cs="Courier New"/>
    </w:rPr>
  </w:style>
  <w:style w:type="character" w:styleId="ListLabel109">
    <w:name w:val="ListLabel 109"/>
    <w:qFormat/>
    <w:rPr>
      <w:rFonts w:cs="Wingdings"/>
    </w:rPr>
  </w:style>
  <w:style w:type="character" w:styleId="ListLabel110">
    <w:name w:val="ListLabel 110"/>
    <w:qFormat/>
    <w:rPr>
      <w:rFonts w:cs="Symbol"/>
      <w:sz w:val="16"/>
    </w:rPr>
  </w:style>
  <w:style w:type="character" w:styleId="ListLabel111">
    <w:name w:val="ListLabel 111"/>
    <w:qFormat/>
    <w:rPr>
      <w:rFonts w:cs="Courier New"/>
    </w:rPr>
  </w:style>
  <w:style w:type="character" w:styleId="ListLabel112">
    <w:name w:val="ListLabel 112"/>
    <w:qFormat/>
    <w:rPr>
      <w:rFonts w:cs="Wingdings"/>
    </w:rPr>
  </w:style>
  <w:style w:type="character" w:styleId="ListLabel113">
    <w:name w:val="ListLabel 113"/>
    <w:qFormat/>
    <w:rPr>
      <w:rFonts w:cs="Symbol"/>
    </w:rPr>
  </w:style>
  <w:style w:type="character" w:styleId="ListLabel114">
    <w:name w:val="ListLabel 114"/>
    <w:qFormat/>
    <w:rPr>
      <w:rFonts w:cs="Courier New"/>
    </w:rPr>
  </w:style>
  <w:style w:type="character" w:styleId="ListLabel115">
    <w:name w:val="ListLabel 115"/>
    <w:qFormat/>
    <w:rPr>
      <w:rFonts w:cs="Wingdings"/>
    </w:rPr>
  </w:style>
  <w:style w:type="character" w:styleId="ListLabel116">
    <w:name w:val="ListLabel 116"/>
    <w:qFormat/>
    <w:rPr>
      <w:rFonts w:cs="Symbol"/>
    </w:rPr>
  </w:style>
  <w:style w:type="character" w:styleId="ListLabel117">
    <w:name w:val="ListLabel 117"/>
    <w:qFormat/>
    <w:rPr>
      <w:rFonts w:cs="Courier New"/>
    </w:rPr>
  </w:style>
  <w:style w:type="character" w:styleId="ListLabel118">
    <w:name w:val="ListLabel 118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qFormat/>
    <w:rsid w:val="0049724f"/>
    <w:pPr>
      <w:spacing w:lineRule="auto" w:line="240" w:beforeAutospacing="1" w:afterAutospacing="1"/>
      <w:jc w:val="left"/>
    </w:pPr>
    <w:rPr>
      <w:sz w:val="24"/>
      <w:szCs w:val="24"/>
      <w:lang w:eastAsia="sk-SK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LibreOffice/5.3.3.2$Windows_X86_64 LibreOffice_project/3d9a8b4b4e538a85e0782bd6c2d430bafe583448</Application>
  <Pages>12</Pages>
  <Words>3511</Words>
  <Characters>20573</Characters>
  <CharactersWithSpaces>23619</CharactersWithSpaces>
  <Paragraphs>1082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2018-03-12T10:24:00Z</dcterms:created>
  <dc:creator>Vlaďka</dc:creator>
  <dc:description/>
  <dc:language>sk-SK</dc:language>
  <cp:lastModifiedBy/>
  <cp:lastPrinted>2017-03-15T10:39:00Z</cp:lastPrinted>
  <dcterms:modified xsi:type="dcterms:W3CDTF">2018-03-12T13:23:34Z</dcterms:modified>
  <cp:revision>4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