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81150" w:rsidRPr="007D0F78" w:rsidRDefault="00C81150" w:rsidP="00C81150">
      <w:pPr>
        <w:rPr>
          <w:u w:val="single"/>
        </w:rPr>
      </w:pPr>
      <w:r w:rsidRPr="007D0F78">
        <w:rPr>
          <w:u w:val="single"/>
        </w:rPr>
        <w:t>Poznámka:</w:t>
      </w:r>
    </w:p>
    <w:p w:rsidR="00C81150" w:rsidRPr="007D0F78" w:rsidRDefault="00C81150" w:rsidP="00C81150">
      <w:pPr>
        <w:rPr>
          <w:snapToGrid w:val="0"/>
          <w:sz w:val="14"/>
          <w:szCs w:val="14"/>
        </w:rPr>
      </w:pPr>
    </w:p>
    <w:p w:rsidR="00C81150" w:rsidRPr="007D0F78" w:rsidRDefault="00615A60" w:rsidP="00C81150">
      <w:pPr>
        <w:rPr>
          <w:snapToGrid w:val="0"/>
        </w:rPr>
      </w:pPr>
      <w:r w:rsidRPr="007D0F78">
        <w:rPr>
          <w:snapToGrid w:val="0"/>
        </w:rPr>
        <w:t xml:space="preserve">V poznámkach sa uvádzajú informácie ustanovené </w:t>
      </w:r>
      <w:r w:rsidR="00F875F2" w:rsidRPr="007D0F78">
        <w:rPr>
          <w:snapToGrid w:val="0"/>
        </w:rPr>
        <w:t>opatrením o</w:t>
      </w:r>
      <w:r w:rsidR="004B7838" w:rsidRPr="007D0F78">
        <w:rPr>
          <w:snapToGrid w:val="0"/>
        </w:rPr>
        <w:t> </w:t>
      </w:r>
      <w:r w:rsidR="00F875F2" w:rsidRPr="007D0F78">
        <w:rPr>
          <w:snapToGrid w:val="0"/>
        </w:rPr>
        <w:t>obsahu</w:t>
      </w:r>
      <w:r w:rsidR="004B7838" w:rsidRPr="007D0F78">
        <w:rPr>
          <w:snapToGrid w:val="0"/>
        </w:rPr>
        <w:t xml:space="preserve"> poznámok k</w:t>
      </w:r>
      <w:r w:rsidR="00F875F2" w:rsidRPr="007D0F78">
        <w:rPr>
          <w:snapToGrid w:val="0"/>
        </w:rPr>
        <w:t xml:space="preserve"> individuáln</w:t>
      </w:r>
      <w:r w:rsidR="004B7838" w:rsidRPr="007D0F78">
        <w:rPr>
          <w:snapToGrid w:val="0"/>
        </w:rPr>
        <w:t>ej</w:t>
      </w:r>
      <w:r w:rsidR="00F875F2" w:rsidRPr="007D0F78">
        <w:rPr>
          <w:snapToGrid w:val="0"/>
        </w:rPr>
        <w:t xml:space="preserve"> účtovn</w:t>
      </w:r>
      <w:r w:rsidR="004B7838" w:rsidRPr="007D0F78">
        <w:rPr>
          <w:snapToGrid w:val="0"/>
        </w:rPr>
        <w:t>ej závierke</w:t>
      </w:r>
      <w:r w:rsidR="00F875F2" w:rsidRPr="007D0F78">
        <w:rPr>
          <w:snapToGrid w:val="0"/>
        </w:rPr>
        <w:t>, pre ktoré má účtovná jednotka obsahovú náplň</w:t>
      </w:r>
      <w:r w:rsidRPr="007D0F78">
        <w:rPr>
          <w:snapToGrid w:val="0"/>
        </w:rPr>
        <w:t>.</w:t>
      </w:r>
      <w:r w:rsidR="00F875F2" w:rsidRPr="007D0F78">
        <w:rPr>
          <w:snapToGrid w:val="0"/>
        </w:rPr>
        <w:t xml:space="preserve"> </w:t>
      </w:r>
      <w:r w:rsidR="00C81150" w:rsidRPr="007D0F78">
        <w:rPr>
          <w:snapToGrid w:val="0"/>
        </w:rPr>
        <w:t>Všetky údaje a informácie uvedené v týchto poznámkach vychádzajú z účtovníctva a nadväzujú na</w:t>
      </w:r>
      <w:r w:rsidR="004B7838" w:rsidRPr="007D0F78">
        <w:rPr>
          <w:snapToGrid w:val="0"/>
        </w:rPr>
        <w:t xml:space="preserve"> individ</w:t>
      </w:r>
      <w:r w:rsidR="00837CD1" w:rsidRPr="007D0F78">
        <w:rPr>
          <w:snapToGrid w:val="0"/>
        </w:rPr>
        <w:t>u</w:t>
      </w:r>
      <w:r w:rsidR="004B7838" w:rsidRPr="007D0F78">
        <w:rPr>
          <w:snapToGrid w:val="0"/>
        </w:rPr>
        <w:t>álne</w:t>
      </w:r>
      <w:r w:rsidR="00C81150" w:rsidRPr="007D0F78">
        <w:rPr>
          <w:snapToGrid w:val="0"/>
        </w:rPr>
        <w:t> účtovné výkazy. Hodnotové údaje sú uvedené v</w:t>
      </w:r>
      <w:r w:rsidR="00F875F2" w:rsidRPr="007D0F78">
        <w:rPr>
          <w:snapToGrid w:val="0"/>
        </w:rPr>
        <w:t xml:space="preserve"> eurocentoch alebo celých </w:t>
      </w:r>
      <w:r w:rsidR="00BE09FD" w:rsidRPr="007D0F78">
        <w:rPr>
          <w:snapToGrid w:val="0"/>
        </w:rPr>
        <w:t>eur</w:t>
      </w:r>
      <w:r w:rsidR="00950360" w:rsidRPr="007D0F78">
        <w:rPr>
          <w:snapToGrid w:val="0"/>
        </w:rPr>
        <w:t>ách</w:t>
      </w:r>
      <w:r w:rsidR="00C81150" w:rsidRPr="007D0F78">
        <w:rPr>
          <w:snapToGrid w:val="0"/>
        </w:rPr>
        <w:t xml:space="preserve"> (pokiaľ nie je uvedené inak). </w:t>
      </w:r>
    </w:p>
    <w:p w:rsidR="00C81150" w:rsidRPr="007D0F78" w:rsidRDefault="00C81150" w:rsidP="00C81150">
      <w:pPr>
        <w:rPr>
          <w:snapToGrid w:val="0"/>
          <w:sz w:val="14"/>
          <w:szCs w:val="14"/>
        </w:rPr>
      </w:pPr>
    </w:p>
    <w:p w:rsidR="00C81150" w:rsidRPr="007D0F78" w:rsidRDefault="00C81150" w:rsidP="00C81150">
      <w:pPr>
        <w:rPr>
          <w:sz w:val="14"/>
          <w:szCs w:val="14"/>
        </w:rPr>
      </w:pPr>
    </w:p>
    <w:p w:rsidR="00C81150" w:rsidRPr="007D0F78" w:rsidRDefault="00C81150" w:rsidP="00C81150">
      <w:pPr>
        <w:pStyle w:val="Heading1"/>
      </w:pPr>
      <w:r w:rsidRPr="007D0F78">
        <w:t>VŠEOBECNÉ INFORMÁCIE</w:t>
      </w:r>
    </w:p>
    <w:p w:rsidR="00C81150" w:rsidRPr="007D0F78" w:rsidRDefault="00C81150" w:rsidP="00C81150">
      <w:pPr>
        <w:rPr>
          <w:b/>
          <w:snapToGrid w:val="0"/>
          <w:sz w:val="14"/>
          <w:szCs w:val="14"/>
          <w:u w:val="single"/>
        </w:rPr>
      </w:pPr>
    </w:p>
    <w:p w:rsidR="00C81150" w:rsidRPr="007D0F78" w:rsidRDefault="00C81150" w:rsidP="00C81150">
      <w:pPr>
        <w:pStyle w:val="Heading2"/>
      </w:pPr>
      <w:r w:rsidRPr="007D0F78">
        <w:t>Základné údaje o spoločnosti</w:t>
      </w:r>
    </w:p>
    <w:p w:rsidR="00BA3F19" w:rsidRPr="007D0F78" w:rsidRDefault="00BA3F19" w:rsidP="00BA3F19">
      <w:pPr>
        <w:rPr>
          <w:b/>
          <w:snapToGrid w:val="0"/>
          <w:u w:val="single"/>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BA3F19" w:rsidRPr="007D0F78" w:rsidTr="00626E98">
        <w:tc>
          <w:tcPr>
            <w:tcW w:w="3969" w:type="dxa"/>
          </w:tcPr>
          <w:p w:rsidR="00BA3F19" w:rsidRPr="007D0F78" w:rsidRDefault="00BA3F19" w:rsidP="00626E98">
            <w:pPr>
              <w:rPr>
                <w:b/>
                <w:sz w:val="15"/>
                <w:szCs w:val="15"/>
              </w:rPr>
            </w:pPr>
            <w:r w:rsidRPr="007D0F78">
              <w:rPr>
                <w:b/>
                <w:sz w:val="15"/>
                <w:szCs w:val="15"/>
              </w:rPr>
              <w:t>Obchodné meno a sídlo</w:t>
            </w:r>
          </w:p>
        </w:tc>
        <w:tc>
          <w:tcPr>
            <w:tcW w:w="5103" w:type="dxa"/>
          </w:tcPr>
          <w:p w:rsidR="00BA3F19" w:rsidRPr="007D0F78" w:rsidRDefault="00BA3F19" w:rsidP="00626E98">
            <w:pPr>
              <w:rPr>
                <w:snapToGrid w:val="0"/>
                <w:sz w:val="15"/>
                <w:szCs w:val="15"/>
              </w:rPr>
            </w:pPr>
            <w:r w:rsidRPr="007D0F78">
              <w:rPr>
                <w:snapToGrid w:val="0"/>
                <w:sz w:val="15"/>
                <w:szCs w:val="15"/>
              </w:rPr>
              <w:t xml:space="preserve">Deloitte </w:t>
            </w:r>
            <w:proofErr w:type="spellStart"/>
            <w:r w:rsidRPr="007D0F78">
              <w:rPr>
                <w:snapToGrid w:val="0"/>
                <w:sz w:val="15"/>
                <w:szCs w:val="15"/>
              </w:rPr>
              <w:t>Security</w:t>
            </w:r>
            <w:proofErr w:type="spellEnd"/>
            <w:r w:rsidRPr="007D0F78">
              <w:rPr>
                <w:snapToGrid w:val="0"/>
                <w:sz w:val="15"/>
                <w:szCs w:val="15"/>
              </w:rPr>
              <w:t xml:space="preserve"> s. r. o.</w:t>
            </w:r>
          </w:p>
          <w:p w:rsidR="00BA3F19" w:rsidRPr="007D0F78" w:rsidRDefault="00BA3F19" w:rsidP="00626E98">
            <w:pPr>
              <w:rPr>
                <w:snapToGrid w:val="0"/>
                <w:sz w:val="15"/>
                <w:szCs w:val="15"/>
              </w:rPr>
            </w:pPr>
            <w:r w:rsidRPr="007D0F78">
              <w:rPr>
                <w:snapToGrid w:val="0"/>
                <w:sz w:val="15"/>
                <w:szCs w:val="15"/>
              </w:rPr>
              <w:t>Einsteinova 23, 851 01 Bratislava</w:t>
            </w:r>
          </w:p>
        </w:tc>
      </w:tr>
      <w:tr w:rsidR="00BA3F19" w:rsidRPr="007D0F78" w:rsidTr="00626E98">
        <w:tc>
          <w:tcPr>
            <w:tcW w:w="3969" w:type="dxa"/>
          </w:tcPr>
          <w:p w:rsidR="00BA3F19" w:rsidRPr="007D0F78" w:rsidRDefault="00BA3F19" w:rsidP="00626E98">
            <w:pPr>
              <w:rPr>
                <w:b/>
                <w:sz w:val="15"/>
                <w:szCs w:val="15"/>
              </w:rPr>
            </w:pPr>
            <w:r w:rsidRPr="007D0F78">
              <w:rPr>
                <w:b/>
                <w:sz w:val="15"/>
                <w:szCs w:val="15"/>
              </w:rPr>
              <w:t>Dátum založenia</w:t>
            </w:r>
          </w:p>
        </w:tc>
        <w:tc>
          <w:tcPr>
            <w:tcW w:w="5103" w:type="dxa"/>
          </w:tcPr>
          <w:p w:rsidR="00BA3F19" w:rsidRPr="007D0F78" w:rsidRDefault="00BA3F19" w:rsidP="00626E98">
            <w:pPr>
              <w:rPr>
                <w:snapToGrid w:val="0"/>
                <w:sz w:val="15"/>
                <w:szCs w:val="15"/>
              </w:rPr>
            </w:pPr>
            <w:r w:rsidRPr="007D0F78">
              <w:rPr>
                <w:snapToGrid w:val="0"/>
                <w:sz w:val="15"/>
                <w:szCs w:val="15"/>
              </w:rPr>
              <w:t>25. mája 2009</w:t>
            </w:r>
          </w:p>
        </w:tc>
      </w:tr>
      <w:tr w:rsidR="00BA3F19" w:rsidRPr="007D0F78" w:rsidTr="00626E98">
        <w:tc>
          <w:tcPr>
            <w:tcW w:w="3969" w:type="dxa"/>
          </w:tcPr>
          <w:p w:rsidR="00BA3F19" w:rsidRPr="007D0F78" w:rsidRDefault="00BA3F19" w:rsidP="00626E98">
            <w:pPr>
              <w:rPr>
                <w:b/>
                <w:sz w:val="15"/>
                <w:szCs w:val="15"/>
              </w:rPr>
            </w:pPr>
            <w:r w:rsidRPr="007D0F78">
              <w:rPr>
                <w:b/>
                <w:sz w:val="15"/>
                <w:szCs w:val="15"/>
              </w:rPr>
              <w:t>Dátum vzniku (podľa obchodného registra)</w:t>
            </w:r>
          </w:p>
        </w:tc>
        <w:tc>
          <w:tcPr>
            <w:tcW w:w="5103" w:type="dxa"/>
          </w:tcPr>
          <w:p w:rsidR="00BA3F19" w:rsidRPr="007D0F78" w:rsidRDefault="00BA3F19" w:rsidP="00626E98">
            <w:pPr>
              <w:rPr>
                <w:snapToGrid w:val="0"/>
                <w:sz w:val="15"/>
                <w:szCs w:val="15"/>
              </w:rPr>
            </w:pPr>
            <w:r w:rsidRPr="007D0F78">
              <w:rPr>
                <w:snapToGrid w:val="0"/>
                <w:sz w:val="15"/>
                <w:szCs w:val="15"/>
              </w:rPr>
              <w:t>3. júla 2009</w:t>
            </w:r>
          </w:p>
        </w:tc>
      </w:tr>
      <w:tr w:rsidR="00BA3F19" w:rsidRPr="007D0F78" w:rsidTr="00626E98">
        <w:tc>
          <w:tcPr>
            <w:tcW w:w="3969" w:type="dxa"/>
          </w:tcPr>
          <w:p w:rsidR="00BA3F19" w:rsidRPr="007D0F78" w:rsidRDefault="00BA3F19" w:rsidP="00626E98">
            <w:pPr>
              <w:rPr>
                <w:b/>
                <w:sz w:val="15"/>
                <w:szCs w:val="15"/>
              </w:rPr>
            </w:pPr>
            <w:r w:rsidRPr="007D0F78">
              <w:rPr>
                <w:b/>
                <w:sz w:val="15"/>
                <w:szCs w:val="15"/>
              </w:rPr>
              <w:t>Predmet činnosti</w:t>
            </w:r>
          </w:p>
        </w:tc>
        <w:tc>
          <w:tcPr>
            <w:tcW w:w="5103" w:type="dxa"/>
          </w:tcPr>
          <w:p w:rsidR="00BA3F19" w:rsidRPr="007D0F78" w:rsidRDefault="00BA3F19" w:rsidP="00BA3F19">
            <w:pPr>
              <w:numPr>
                <w:ilvl w:val="0"/>
                <w:numId w:val="17"/>
              </w:numPr>
              <w:ind w:left="277" w:hanging="277"/>
              <w:jc w:val="left"/>
              <w:rPr>
                <w:color w:val="000000"/>
                <w:sz w:val="15"/>
                <w:szCs w:val="15"/>
              </w:rPr>
            </w:pPr>
            <w:r w:rsidRPr="007D0F78">
              <w:rPr>
                <w:color w:val="000000"/>
                <w:sz w:val="15"/>
                <w:szCs w:val="15"/>
              </w:rPr>
              <w:t xml:space="preserve">Činnosť podnikateľských, organizačných a </w:t>
            </w:r>
            <w:r w:rsidR="00224555" w:rsidRPr="007D0F78">
              <w:rPr>
                <w:color w:val="000000"/>
                <w:sz w:val="15"/>
                <w:szCs w:val="15"/>
              </w:rPr>
              <w:t>ekonomických</w:t>
            </w:r>
            <w:r w:rsidRPr="007D0F78">
              <w:rPr>
                <w:color w:val="000000"/>
                <w:sz w:val="15"/>
                <w:szCs w:val="15"/>
              </w:rPr>
              <w:t xml:space="preserve"> poradcov,</w:t>
            </w:r>
          </w:p>
          <w:p w:rsidR="00BA3F19" w:rsidRPr="007D0F78" w:rsidRDefault="00BA3F19" w:rsidP="00BA3F19">
            <w:pPr>
              <w:numPr>
                <w:ilvl w:val="0"/>
                <w:numId w:val="17"/>
              </w:numPr>
              <w:ind w:left="277" w:hanging="277"/>
              <w:jc w:val="left"/>
              <w:rPr>
                <w:color w:val="000000"/>
                <w:sz w:val="15"/>
                <w:szCs w:val="15"/>
              </w:rPr>
            </w:pPr>
            <w:r w:rsidRPr="007D0F78">
              <w:rPr>
                <w:color w:val="000000"/>
                <w:sz w:val="15"/>
                <w:szCs w:val="15"/>
              </w:rPr>
              <w:t>poradenská činnosť v oblasti manažmentu,</w:t>
            </w:r>
          </w:p>
          <w:p w:rsidR="00BA3F19" w:rsidRPr="007D0F78" w:rsidRDefault="00BA3F19" w:rsidP="00BA3F19">
            <w:pPr>
              <w:numPr>
                <w:ilvl w:val="0"/>
                <w:numId w:val="17"/>
              </w:numPr>
              <w:ind w:left="277" w:hanging="277"/>
              <w:jc w:val="left"/>
              <w:rPr>
                <w:color w:val="000000"/>
                <w:sz w:val="15"/>
                <w:szCs w:val="15"/>
              </w:rPr>
            </w:pPr>
            <w:r w:rsidRPr="007D0F78">
              <w:rPr>
                <w:color w:val="000000"/>
                <w:sz w:val="15"/>
                <w:szCs w:val="15"/>
              </w:rPr>
              <w:t>poradenská činnosť v oblasti obchodu a služieb,</w:t>
            </w:r>
          </w:p>
          <w:p w:rsidR="00BA3F19" w:rsidRPr="007D0F78" w:rsidRDefault="00BA3F19" w:rsidP="00BA3F19">
            <w:pPr>
              <w:numPr>
                <w:ilvl w:val="0"/>
                <w:numId w:val="17"/>
              </w:numPr>
              <w:ind w:left="277" w:hanging="277"/>
              <w:jc w:val="left"/>
              <w:rPr>
                <w:color w:val="000000"/>
                <w:sz w:val="15"/>
                <w:szCs w:val="15"/>
              </w:rPr>
            </w:pPr>
            <w:r w:rsidRPr="007D0F78">
              <w:rPr>
                <w:color w:val="000000"/>
                <w:sz w:val="15"/>
                <w:szCs w:val="15"/>
              </w:rPr>
              <w:t>počítačové služby,</w:t>
            </w:r>
          </w:p>
          <w:p w:rsidR="00BA3F19" w:rsidRPr="007D0F78" w:rsidRDefault="00BA3F19" w:rsidP="00BA3F19">
            <w:pPr>
              <w:numPr>
                <w:ilvl w:val="0"/>
                <w:numId w:val="17"/>
              </w:numPr>
              <w:ind w:left="277" w:hanging="277"/>
              <w:jc w:val="left"/>
              <w:rPr>
                <w:color w:val="000000"/>
                <w:sz w:val="15"/>
                <w:szCs w:val="15"/>
              </w:rPr>
            </w:pPr>
            <w:r w:rsidRPr="007D0F78">
              <w:rPr>
                <w:color w:val="000000"/>
                <w:sz w:val="15"/>
                <w:szCs w:val="15"/>
              </w:rPr>
              <w:t>sprostredkovateľská činnosť v oblasti obchodu,</w:t>
            </w:r>
          </w:p>
          <w:p w:rsidR="00BA3F19" w:rsidRPr="007D0F78" w:rsidRDefault="00BA3F19" w:rsidP="00BA3F19">
            <w:pPr>
              <w:numPr>
                <w:ilvl w:val="0"/>
                <w:numId w:val="17"/>
              </w:numPr>
              <w:ind w:left="277" w:hanging="277"/>
              <w:jc w:val="left"/>
              <w:rPr>
                <w:color w:val="000000"/>
                <w:sz w:val="15"/>
                <w:szCs w:val="15"/>
              </w:rPr>
            </w:pPr>
            <w:r w:rsidRPr="007D0F78">
              <w:rPr>
                <w:color w:val="000000"/>
                <w:sz w:val="15"/>
                <w:szCs w:val="15"/>
              </w:rPr>
              <w:t>sprostredkovateľská činnosť v oblasti služieb,</w:t>
            </w:r>
          </w:p>
          <w:p w:rsidR="00BA3F19" w:rsidRPr="007D0F78" w:rsidRDefault="00BA3F19" w:rsidP="00BA3F19">
            <w:pPr>
              <w:numPr>
                <w:ilvl w:val="0"/>
                <w:numId w:val="17"/>
              </w:numPr>
              <w:ind w:left="277" w:hanging="277"/>
              <w:jc w:val="left"/>
              <w:rPr>
                <w:snapToGrid w:val="0"/>
                <w:sz w:val="15"/>
                <w:szCs w:val="15"/>
              </w:rPr>
            </w:pPr>
            <w:r w:rsidRPr="007D0F78">
              <w:rPr>
                <w:color w:val="000000"/>
                <w:sz w:val="15"/>
                <w:szCs w:val="15"/>
              </w:rPr>
              <w:t>organizovanie kurzov, školení a seminárov.</w:t>
            </w:r>
          </w:p>
        </w:tc>
      </w:tr>
    </w:tbl>
    <w:p w:rsidR="00C81150" w:rsidRPr="007D0F78" w:rsidRDefault="00C81150" w:rsidP="00C81150">
      <w:pPr>
        <w:rPr>
          <w:snapToGrid w:val="0"/>
          <w:sz w:val="14"/>
          <w:szCs w:val="14"/>
        </w:rPr>
      </w:pPr>
    </w:p>
    <w:p w:rsidR="00C81150" w:rsidRPr="007D0F78" w:rsidRDefault="00C81150" w:rsidP="00C81150">
      <w:pPr>
        <w:rPr>
          <w:snapToGrid w:val="0"/>
          <w:sz w:val="14"/>
          <w:szCs w:val="14"/>
        </w:rPr>
      </w:pPr>
    </w:p>
    <w:p w:rsidR="00C81150" w:rsidRPr="007D0F78" w:rsidRDefault="00C81150" w:rsidP="00C81150">
      <w:pPr>
        <w:pStyle w:val="Heading2"/>
      </w:pPr>
      <w:r w:rsidRPr="007D0F78">
        <w:t>Zamestnanci</w:t>
      </w:r>
    </w:p>
    <w:p w:rsidR="005B36DD" w:rsidRPr="007D0F78" w:rsidRDefault="005B36DD" w:rsidP="00C81150">
      <w:pPr>
        <w:rPr>
          <w:snapToGrid w:val="0"/>
          <w:sz w:val="14"/>
          <w:szCs w:val="14"/>
        </w:rPr>
      </w:pPr>
      <w:bookmarkStart w:id="0" w:name="T_number_of_employees"/>
      <w:r w:rsidRPr="007D0F78">
        <w:rPr>
          <w:rFonts w:cs="Arial"/>
          <w:b/>
          <w:bCs/>
          <w:i/>
          <w:iCs/>
          <w:sz w:val="15"/>
          <w:szCs w:val="15"/>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5B36DD" w:rsidRPr="007D0F78" w:rsidTr="005B36DD">
        <w:trPr>
          <w:trHeight w:val="195"/>
        </w:trPr>
        <w:tc>
          <w:tcPr>
            <w:tcW w:w="3553" w:type="pct"/>
            <w:tcBorders>
              <w:top w:val="single" w:sz="8" w:space="0" w:color="auto"/>
              <w:left w:val="nil"/>
              <w:bottom w:val="nil"/>
              <w:right w:val="nil"/>
            </w:tcBorders>
            <w:shd w:val="clear" w:color="auto" w:fill="auto"/>
            <w:vAlign w:val="center"/>
            <w:hideMark/>
          </w:tcPr>
          <w:p w:rsidR="005B36DD" w:rsidRPr="007D0F78" w:rsidRDefault="005B36DD" w:rsidP="005B36DD">
            <w:pPr>
              <w:jc w:val="left"/>
              <w:rPr>
                <w:rFonts w:cs="Arial"/>
                <w:b/>
                <w:bCs/>
                <w:i/>
                <w:iCs/>
                <w:sz w:val="15"/>
                <w:szCs w:val="15"/>
              </w:rPr>
            </w:pPr>
            <w:bookmarkStart w:id="1" w:name="RANGE!B7:D10"/>
            <w:r w:rsidRPr="007D0F78">
              <w:rPr>
                <w:rFonts w:cs="Arial"/>
                <w:b/>
                <w:bCs/>
                <w:i/>
                <w:iCs/>
                <w:sz w:val="15"/>
                <w:szCs w:val="15"/>
              </w:rPr>
              <w:t xml:space="preserve">Názov položky </w:t>
            </w:r>
            <w:bookmarkEnd w:id="1"/>
          </w:p>
        </w:tc>
        <w:tc>
          <w:tcPr>
            <w:tcW w:w="724" w:type="pct"/>
            <w:tcBorders>
              <w:top w:val="single" w:sz="8" w:space="0" w:color="auto"/>
              <w:left w:val="nil"/>
              <w:bottom w:val="nil"/>
              <w:right w:val="nil"/>
            </w:tcBorders>
            <w:shd w:val="clear" w:color="auto" w:fill="auto"/>
            <w:vAlign w:val="center"/>
            <w:hideMark/>
          </w:tcPr>
          <w:p w:rsidR="005B36DD" w:rsidRPr="007D0F78" w:rsidRDefault="005B36DD" w:rsidP="00815EC4">
            <w:pPr>
              <w:jc w:val="center"/>
              <w:rPr>
                <w:rFonts w:cs="Arial"/>
                <w:b/>
                <w:bCs/>
                <w:i/>
                <w:iCs/>
                <w:sz w:val="15"/>
                <w:szCs w:val="15"/>
              </w:rPr>
            </w:pPr>
            <w:r w:rsidRPr="007D0F78">
              <w:rPr>
                <w:rFonts w:cs="Arial"/>
                <w:b/>
                <w:bCs/>
                <w:i/>
                <w:iCs/>
                <w:sz w:val="15"/>
                <w:szCs w:val="15"/>
              </w:rPr>
              <w:t>201</w:t>
            </w:r>
            <w:r w:rsidR="00815EC4">
              <w:rPr>
                <w:rFonts w:cs="Arial"/>
                <w:b/>
                <w:bCs/>
                <w:i/>
                <w:iCs/>
                <w:sz w:val="15"/>
                <w:szCs w:val="15"/>
              </w:rPr>
              <w:t>7</w:t>
            </w:r>
          </w:p>
        </w:tc>
        <w:tc>
          <w:tcPr>
            <w:tcW w:w="724" w:type="pct"/>
            <w:tcBorders>
              <w:top w:val="single" w:sz="8" w:space="0" w:color="auto"/>
              <w:left w:val="nil"/>
              <w:bottom w:val="nil"/>
              <w:right w:val="nil"/>
            </w:tcBorders>
            <w:shd w:val="clear" w:color="auto" w:fill="auto"/>
            <w:vAlign w:val="center"/>
            <w:hideMark/>
          </w:tcPr>
          <w:p w:rsidR="005B36DD" w:rsidRPr="007D0F78" w:rsidRDefault="005B36DD" w:rsidP="00815EC4">
            <w:pPr>
              <w:jc w:val="center"/>
              <w:rPr>
                <w:rFonts w:cs="Arial"/>
                <w:b/>
                <w:bCs/>
                <w:i/>
                <w:iCs/>
                <w:sz w:val="15"/>
                <w:szCs w:val="15"/>
              </w:rPr>
            </w:pPr>
            <w:r w:rsidRPr="007D0F78">
              <w:rPr>
                <w:rFonts w:cs="Arial"/>
                <w:b/>
                <w:bCs/>
                <w:i/>
                <w:iCs/>
                <w:sz w:val="15"/>
                <w:szCs w:val="15"/>
              </w:rPr>
              <w:t>201</w:t>
            </w:r>
            <w:r w:rsidR="00815EC4">
              <w:rPr>
                <w:rFonts w:cs="Arial"/>
                <w:b/>
                <w:bCs/>
                <w:i/>
                <w:iCs/>
                <w:sz w:val="15"/>
                <w:szCs w:val="15"/>
              </w:rPr>
              <w:t>6</w:t>
            </w:r>
          </w:p>
        </w:tc>
      </w:tr>
      <w:tr w:rsidR="005B36DD" w:rsidRPr="007D0F78" w:rsidTr="005B36DD">
        <w:trPr>
          <w:trHeight w:val="195"/>
        </w:trPr>
        <w:tc>
          <w:tcPr>
            <w:tcW w:w="3553" w:type="pct"/>
            <w:tcBorders>
              <w:top w:val="single" w:sz="4" w:space="0" w:color="auto"/>
              <w:left w:val="nil"/>
              <w:bottom w:val="nil"/>
              <w:right w:val="nil"/>
            </w:tcBorders>
            <w:shd w:val="clear" w:color="auto" w:fill="auto"/>
            <w:vAlign w:val="center"/>
            <w:hideMark/>
          </w:tcPr>
          <w:p w:rsidR="005B36DD" w:rsidRPr="007D0F78" w:rsidRDefault="005B36DD" w:rsidP="005B36DD">
            <w:pPr>
              <w:jc w:val="left"/>
              <w:rPr>
                <w:rFonts w:cs="Arial"/>
                <w:sz w:val="15"/>
                <w:szCs w:val="15"/>
              </w:rPr>
            </w:pPr>
            <w:r w:rsidRPr="007D0F78">
              <w:rPr>
                <w:rFonts w:cs="Arial"/>
                <w:sz w:val="15"/>
                <w:szCs w:val="15"/>
              </w:rPr>
              <w:t>Priemerný prepočítaný počet zamestnancov</w:t>
            </w:r>
          </w:p>
        </w:tc>
        <w:tc>
          <w:tcPr>
            <w:tcW w:w="724" w:type="pct"/>
            <w:tcBorders>
              <w:top w:val="single" w:sz="4" w:space="0" w:color="auto"/>
              <w:left w:val="nil"/>
              <w:bottom w:val="nil"/>
              <w:right w:val="nil"/>
            </w:tcBorders>
            <w:shd w:val="clear" w:color="auto" w:fill="auto"/>
            <w:vAlign w:val="bottom"/>
            <w:hideMark/>
          </w:tcPr>
          <w:p w:rsidR="005B36DD" w:rsidRPr="007D0F78" w:rsidRDefault="005B36DD" w:rsidP="005B36DD">
            <w:pPr>
              <w:jc w:val="right"/>
              <w:rPr>
                <w:rFonts w:cs="Arial"/>
                <w:sz w:val="15"/>
                <w:szCs w:val="15"/>
              </w:rPr>
            </w:pPr>
            <w:r w:rsidRPr="007D0F78">
              <w:rPr>
                <w:rFonts w:cs="Arial"/>
                <w:sz w:val="15"/>
                <w:szCs w:val="15"/>
              </w:rPr>
              <w:t xml:space="preserve">- </w:t>
            </w:r>
          </w:p>
        </w:tc>
        <w:tc>
          <w:tcPr>
            <w:tcW w:w="724" w:type="pct"/>
            <w:tcBorders>
              <w:top w:val="single" w:sz="4" w:space="0" w:color="auto"/>
              <w:left w:val="nil"/>
              <w:bottom w:val="nil"/>
              <w:right w:val="nil"/>
            </w:tcBorders>
            <w:shd w:val="clear" w:color="auto" w:fill="auto"/>
            <w:vAlign w:val="bottom"/>
            <w:hideMark/>
          </w:tcPr>
          <w:p w:rsidR="005B36DD" w:rsidRPr="007D0F78" w:rsidRDefault="005B36DD" w:rsidP="005B36DD">
            <w:pPr>
              <w:jc w:val="right"/>
              <w:rPr>
                <w:rFonts w:cs="Arial"/>
                <w:sz w:val="15"/>
                <w:szCs w:val="15"/>
              </w:rPr>
            </w:pPr>
            <w:r w:rsidRPr="007D0F78">
              <w:rPr>
                <w:rFonts w:cs="Arial"/>
                <w:sz w:val="15"/>
                <w:szCs w:val="15"/>
              </w:rPr>
              <w:t xml:space="preserve">- </w:t>
            </w:r>
          </w:p>
        </w:tc>
      </w:tr>
      <w:tr w:rsidR="005B36DD" w:rsidRPr="007D0F78" w:rsidTr="005B36DD">
        <w:trPr>
          <w:trHeight w:val="195"/>
        </w:trPr>
        <w:tc>
          <w:tcPr>
            <w:tcW w:w="3553" w:type="pct"/>
            <w:tcBorders>
              <w:top w:val="nil"/>
              <w:left w:val="nil"/>
              <w:bottom w:val="nil"/>
              <w:right w:val="nil"/>
            </w:tcBorders>
            <w:shd w:val="clear" w:color="auto" w:fill="auto"/>
            <w:vAlign w:val="center"/>
            <w:hideMark/>
          </w:tcPr>
          <w:p w:rsidR="005B36DD" w:rsidRPr="007D0F78" w:rsidRDefault="005B36DD" w:rsidP="005B36DD">
            <w:pPr>
              <w:jc w:val="left"/>
              <w:rPr>
                <w:rFonts w:cs="Arial"/>
                <w:sz w:val="15"/>
                <w:szCs w:val="15"/>
              </w:rPr>
            </w:pPr>
            <w:r w:rsidRPr="007D0F78">
              <w:rPr>
                <w:rFonts w:cs="Arial"/>
                <w:sz w:val="15"/>
                <w:szCs w:val="15"/>
              </w:rPr>
              <w:t>Stav zamestnancov ku dňu, ku ktorému sa zostavuje účtovná závierka</w:t>
            </w:r>
          </w:p>
        </w:tc>
        <w:tc>
          <w:tcPr>
            <w:tcW w:w="724" w:type="pct"/>
            <w:tcBorders>
              <w:top w:val="nil"/>
              <w:left w:val="nil"/>
              <w:bottom w:val="nil"/>
              <w:right w:val="nil"/>
            </w:tcBorders>
            <w:shd w:val="clear" w:color="auto" w:fill="auto"/>
            <w:vAlign w:val="bottom"/>
            <w:hideMark/>
          </w:tcPr>
          <w:p w:rsidR="005B36DD" w:rsidRPr="007D0F78" w:rsidRDefault="0047390C" w:rsidP="0047390C">
            <w:pPr>
              <w:jc w:val="right"/>
              <w:rPr>
                <w:rFonts w:cs="Arial"/>
                <w:sz w:val="15"/>
                <w:szCs w:val="15"/>
              </w:rPr>
            </w:pPr>
            <w:r w:rsidRPr="007D0F78">
              <w:rPr>
                <w:rFonts w:cs="Arial"/>
                <w:sz w:val="15"/>
                <w:szCs w:val="15"/>
              </w:rPr>
              <w:t>2</w:t>
            </w:r>
            <w:r w:rsidR="005B36DD" w:rsidRPr="007D0F78">
              <w:rPr>
                <w:rFonts w:cs="Arial"/>
                <w:sz w:val="15"/>
                <w:szCs w:val="15"/>
              </w:rPr>
              <w:t xml:space="preserve"> </w:t>
            </w:r>
          </w:p>
        </w:tc>
        <w:tc>
          <w:tcPr>
            <w:tcW w:w="724" w:type="pct"/>
            <w:tcBorders>
              <w:top w:val="nil"/>
              <w:left w:val="nil"/>
              <w:bottom w:val="nil"/>
              <w:right w:val="nil"/>
            </w:tcBorders>
            <w:shd w:val="clear" w:color="auto" w:fill="auto"/>
            <w:vAlign w:val="bottom"/>
            <w:hideMark/>
          </w:tcPr>
          <w:p w:rsidR="005B36DD" w:rsidRPr="007D0F78" w:rsidRDefault="00815EC4" w:rsidP="00815EC4">
            <w:pPr>
              <w:jc w:val="right"/>
              <w:rPr>
                <w:rFonts w:cs="Arial"/>
                <w:sz w:val="15"/>
                <w:szCs w:val="15"/>
              </w:rPr>
            </w:pPr>
            <w:r>
              <w:rPr>
                <w:rFonts w:cs="Arial"/>
                <w:sz w:val="15"/>
                <w:szCs w:val="15"/>
              </w:rPr>
              <w:t>2</w:t>
            </w:r>
            <w:r w:rsidR="005B36DD" w:rsidRPr="007D0F78">
              <w:rPr>
                <w:rFonts w:cs="Arial"/>
                <w:sz w:val="15"/>
                <w:szCs w:val="15"/>
              </w:rPr>
              <w:t xml:space="preserve"> </w:t>
            </w:r>
          </w:p>
        </w:tc>
      </w:tr>
      <w:tr w:rsidR="005B36DD" w:rsidRPr="007D0F78" w:rsidTr="005B36DD">
        <w:trPr>
          <w:trHeight w:val="210"/>
        </w:trPr>
        <w:tc>
          <w:tcPr>
            <w:tcW w:w="3553" w:type="pct"/>
            <w:tcBorders>
              <w:top w:val="nil"/>
              <w:left w:val="nil"/>
              <w:bottom w:val="single" w:sz="8" w:space="0" w:color="auto"/>
              <w:right w:val="nil"/>
            </w:tcBorders>
            <w:shd w:val="clear" w:color="auto" w:fill="auto"/>
            <w:vAlign w:val="center"/>
            <w:hideMark/>
          </w:tcPr>
          <w:p w:rsidR="005B36DD" w:rsidRPr="007D0F78" w:rsidRDefault="005B36DD" w:rsidP="007D0F78">
            <w:pPr>
              <w:ind w:left="214"/>
              <w:jc w:val="left"/>
              <w:rPr>
                <w:rFonts w:cs="Arial"/>
                <w:i/>
                <w:iCs/>
                <w:sz w:val="15"/>
                <w:szCs w:val="15"/>
              </w:rPr>
            </w:pPr>
            <w:r w:rsidRPr="007D0F78">
              <w:rPr>
                <w:rFonts w:cs="Arial"/>
                <w:i/>
                <w:iCs/>
                <w:sz w:val="15"/>
                <w:szCs w:val="15"/>
              </w:rPr>
              <w:t>z toho: vedúci zamestnanci</w:t>
            </w:r>
          </w:p>
        </w:tc>
        <w:tc>
          <w:tcPr>
            <w:tcW w:w="724" w:type="pct"/>
            <w:tcBorders>
              <w:top w:val="nil"/>
              <w:left w:val="nil"/>
              <w:bottom w:val="single" w:sz="8" w:space="0" w:color="auto"/>
              <w:right w:val="nil"/>
            </w:tcBorders>
            <w:shd w:val="clear" w:color="auto" w:fill="auto"/>
            <w:vAlign w:val="bottom"/>
            <w:hideMark/>
          </w:tcPr>
          <w:p w:rsidR="005B36DD" w:rsidRPr="007D0F78" w:rsidRDefault="005B36DD" w:rsidP="005B36DD">
            <w:pPr>
              <w:jc w:val="right"/>
              <w:rPr>
                <w:rFonts w:cs="Arial"/>
                <w:i/>
                <w:iCs/>
                <w:sz w:val="15"/>
                <w:szCs w:val="15"/>
              </w:rPr>
            </w:pPr>
            <w:r w:rsidRPr="007D0F78">
              <w:rPr>
                <w:rFonts w:cs="Arial"/>
                <w:i/>
                <w:iCs/>
                <w:sz w:val="15"/>
                <w:szCs w:val="15"/>
              </w:rPr>
              <w:t xml:space="preserve">- </w:t>
            </w:r>
          </w:p>
        </w:tc>
        <w:tc>
          <w:tcPr>
            <w:tcW w:w="724" w:type="pct"/>
            <w:tcBorders>
              <w:top w:val="nil"/>
              <w:left w:val="nil"/>
              <w:bottom w:val="single" w:sz="8" w:space="0" w:color="auto"/>
              <w:right w:val="nil"/>
            </w:tcBorders>
            <w:shd w:val="clear" w:color="auto" w:fill="auto"/>
            <w:vAlign w:val="bottom"/>
            <w:hideMark/>
          </w:tcPr>
          <w:p w:rsidR="005B36DD" w:rsidRPr="007D0F78" w:rsidRDefault="005B36DD" w:rsidP="005B36DD">
            <w:pPr>
              <w:jc w:val="right"/>
              <w:rPr>
                <w:rFonts w:cs="Arial"/>
                <w:i/>
                <w:iCs/>
                <w:sz w:val="15"/>
                <w:szCs w:val="15"/>
              </w:rPr>
            </w:pPr>
            <w:r w:rsidRPr="007D0F78">
              <w:rPr>
                <w:rFonts w:cs="Arial"/>
                <w:i/>
                <w:iCs/>
                <w:sz w:val="15"/>
                <w:szCs w:val="15"/>
              </w:rPr>
              <w:t xml:space="preserve">- </w:t>
            </w:r>
          </w:p>
        </w:tc>
      </w:tr>
    </w:tbl>
    <w:p w:rsidR="00C81150" w:rsidRPr="007D0F78" w:rsidRDefault="00C81150" w:rsidP="00C81150">
      <w:pPr>
        <w:rPr>
          <w:snapToGrid w:val="0"/>
          <w:sz w:val="14"/>
          <w:szCs w:val="14"/>
        </w:rPr>
      </w:pPr>
    </w:p>
    <w:bookmarkEnd w:id="0"/>
    <w:p w:rsidR="00626E98" w:rsidRPr="007D0F78" w:rsidRDefault="00626E98" w:rsidP="00626E98">
      <w:r w:rsidRPr="007D0F78">
        <w:t>Spoločnosť v roku 201</w:t>
      </w:r>
      <w:r w:rsidR="00815EC4">
        <w:t>6</w:t>
      </w:r>
      <w:r w:rsidR="0047390C" w:rsidRPr="007D0F78">
        <w:t xml:space="preserve"> mala </w:t>
      </w:r>
      <w:r w:rsidR="006A3DE7">
        <w:t>2 zamestnancov</w:t>
      </w:r>
      <w:r w:rsidR="0047390C" w:rsidRPr="007D0F78">
        <w:t xml:space="preserve"> a v roku 201</w:t>
      </w:r>
      <w:r w:rsidR="00815EC4">
        <w:t>7</w:t>
      </w:r>
      <w:r w:rsidR="0047390C" w:rsidRPr="007D0F78">
        <w:t xml:space="preserve"> </w:t>
      </w:r>
      <w:r w:rsidR="007D0F78">
        <w:t xml:space="preserve">mala </w:t>
      </w:r>
      <w:r w:rsidR="0047390C" w:rsidRPr="007D0F78">
        <w:t xml:space="preserve">2 </w:t>
      </w:r>
      <w:r w:rsidR="007D0F78" w:rsidRPr="007D0F78">
        <w:t>zamestnancov</w:t>
      </w:r>
      <w:r w:rsidR="0047390C" w:rsidRPr="007D0F78">
        <w:t>.</w:t>
      </w:r>
    </w:p>
    <w:p w:rsidR="00C81150" w:rsidRPr="007D0F78" w:rsidRDefault="00C81150" w:rsidP="00C81150">
      <w:pPr>
        <w:rPr>
          <w:snapToGrid w:val="0"/>
          <w:sz w:val="14"/>
          <w:szCs w:val="14"/>
        </w:rPr>
      </w:pPr>
    </w:p>
    <w:p w:rsidR="00C81150" w:rsidRPr="007D0F78" w:rsidRDefault="00C81150" w:rsidP="00C81150">
      <w:pPr>
        <w:rPr>
          <w:snapToGrid w:val="0"/>
          <w:sz w:val="14"/>
          <w:szCs w:val="14"/>
        </w:rPr>
      </w:pPr>
    </w:p>
    <w:p w:rsidR="00C81150" w:rsidRPr="007D0F78" w:rsidRDefault="00C81150" w:rsidP="00C81150">
      <w:pPr>
        <w:pStyle w:val="Heading2"/>
      </w:pPr>
      <w:r w:rsidRPr="007D0F78">
        <w:t>Právny dôvod zostavenia účtovnej závierky</w:t>
      </w:r>
    </w:p>
    <w:p w:rsidR="00162043" w:rsidRPr="007D0F78" w:rsidRDefault="00162043" w:rsidP="00C81150">
      <w:pPr>
        <w:rPr>
          <w:snapToGrid w:val="0"/>
          <w:sz w:val="14"/>
          <w:szCs w:val="14"/>
        </w:rPr>
      </w:pPr>
    </w:p>
    <w:p w:rsidR="00C81150" w:rsidRPr="007D0F78" w:rsidRDefault="00C81150" w:rsidP="00C81150">
      <w:pPr>
        <w:rPr>
          <w:snapToGrid w:val="0"/>
        </w:rPr>
      </w:pPr>
      <w:r w:rsidRPr="007D0F78">
        <w:rPr>
          <w:snapToGrid w:val="0"/>
        </w:rPr>
        <w:t xml:space="preserve">Táto účtovná závierka je riadna individuálna účtovná závierka </w:t>
      </w:r>
      <w:r w:rsidR="00C27954" w:rsidRPr="007D0F78">
        <w:rPr>
          <w:snapToGrid w:val="0"/>
        </w:rPr>
        <w:t xml:space="preserve">spoločnosti </w:t>
      </w:r>
      <w:r w:rsidR="00BA3F19" w:rsidRPr="007D0F78">
        <w:rPr>
          <w:rFonts w:cs="Arial"/>
          <w:snapToGrid w:val="0"/>
        </w:rPr>
        <w:t xml:space="preserve">Deloitte </w:t>
      </w:r>
      <w:proofErr w:type="spellStart"/>
      <w:r w:rsidR="00BA3F19" w:rsidRPr="007D0F78">
        <w:rPr>
          <w:rFonts w:cs="Arial"/>
          <w:snapToGrid w:val="0"/>
        </w:rPr>
        <w:t>Security</w:t>
      </w:r>
      <w:proofErr w:type="spellEnd"/>
      <w:r w:rsidR="00BA3F19" w:rsidRPr="007D0F78">
        <w:rPr>
          <w:rFonts w:cs="Arial"/>
          <w:snapToGrid w:val="0"/>
        </w:rPr>
        <w:t xml:space="preserve"> </w:t>
      </w:r>
      <w:proofErr w:type="spellStart"/>
      <w:r w:rsidR="00BA3F19" w:rsidRPr="007D0F78">
        <w:rPr>
          <w:rFonts w:cs="Arial"/>
          <w:snapToGrid w:val="0"/>
        </w:rPr>
        <w:t>s.r.o</w:t>
      </w:r>
      <w:proofErr w:type="spellEnd"/>
      <w:r w:rsidR="00BA3F19" w:rsidRPr="007D0F78">
        <w:rPr>
          <w:rFonts w:cs="Arial"/>
          <w:snapToGrid w:val="0"/>
        </w:rPr>
        <w:t>.</w:t>
      </w:r>
      <w:r w:rsidRPr="007D0F78">
        <w:rPr>
          <w:snapToGrid w:val="0"/>
        </w:rPr>
        <w:t xml:space="preserve"> Bola zostavená za účtovné obdobie od 1. januára do 31. decembra 20</w:t>
      </w:r>
      <w:r w:rsidR="008C598A" w:rsidRPr="007D0F78">
        <w:rPr>
          <w:snapToGrid w:val="0"/>
        </w:rPr>
        <w:t>1</w:t>
      </w:r>
      <w:r w:rsidR="00452F10">
        <w:rPr>
          <w:snapToGrid w:val="0"/>
        </w:rPr>
        <w:t>7</w:t>
      </w:r>
      <w:r w:rsidRPr="007D0F78">
        <w:rPr>
          <w:snapToGrid w:val="0"/>
        </w:rPr>
        <w:t xml:space="preserve"> podľa slovenských právnych predpisov, a to zákona o</w:t>
      </w:r>
      <w:r w:rsidRPr="007D0F78">
        <w:t> </w:t>
      </w:r>
      <w:r w:rsidRPr="007D0F78">
        <w:rPr>
          <w:snapToGrid w:val="0"/>
        </w:rPr>
        <w:t xml:space="preserve">účtovníctve a postupov účtovania pre podnikateľov. </w:t>
      </w:r>
    </w:p>
    <w:p w:rsidR="00C81150" w:rsidRPr="007D0F78" w:rsidRDefault="00C81150" w:rsidP="00C81150">
      <w:pPr>
        <w:rPr>
          <w:snapToGrid w:val="0"/>
          <w:sz w:val="14"/>
          <w:szCs w:val="14"/>
        </w:rPr>
      </w:pPr>
    </w:p>
    <w:p w:rsidR="00416D85" w:rsidRPr="007D0F78" w:rsidRDefault="00416D85" w:rsidP="00416D85">
      <w:r w:rsidRPr="007D0F78">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416D85" w:rsidRPr="007D0F78" w:rsidRDefault="00416D85" w:rsidP="00C81150">
      <w:pPr>
        <w:rPr>
          <w:snapToGrid w:val="0"/>
          <w:sz w:val="14"/>
          <w:szCs w:val="14"/>
        </w:rPr>
      </w:pPr>
    </w:p>
    <w:p w:rsidR="00C81150" w:rsidRPr="007D0F78" w:rsidRDefault="00C81150" w:rsidP="00C81150">
      <w:pPr>
        <w:rPr>
          <w:snapToGrid w:val="0"/>
          <w:sz w:val="14"/>
          <w:szCs w:val="14"/>
        </w:rPr>
      </w:pPr>
    </w:p>
    <w:p w:rsidR="00C81150" w:rsidRPr="007D0F78" w:rsidRDefault="00C81150" w:rsidP="00C81150">
      <w:pPr>
        <w:pStyle w:val="Heading2"/>
      </w:pPr>
      <w:r w:rsidRPr="007D0F78">
        <w:t>Schválen</w:t>
      </w:r>
      <w:r w:rsidR="00AC79A3" w:rsidRPr="007D0F78">
        <w:t>ie účtovnej závierky za rok 20</w:t>
      </w:r>
      <w:r w:rsidR="007C4C15" w:rsidRPr="007D0F78">
        <w:t>1</w:t>
      </w:r>
      <w:r w:rsidR="008300FE">
        <w:t>6</w:t>
      </w:r>
    </w:p>
    <w:p w:rsidR="004A5110" w:rsidRPr="007D0F78" w:rsidRDefault="004A5110" w:rsidP="004A5110"/>
    <w:p w:rsidR="004A5110" w:rsidRPr="007D0F78" w:rsidRDefault="004A5110" w:rsidP="004A5110">
      <w:r w:rsidRPr="007D0F78">
        <w:t xml:space="preserve">Účtovnú závierku spoločnosti Deloitte </w:t>
      </w:r>
      <w:proofErr w:type="spellStart"/>
      <w:r w:rsidRPr="007D0F78">
        <w:t>Security</w:t>
      </w:r>
      <w:proofErr w:type="spellEnd"/>
      <w:r w:rsidRPr="007D0F78">
        <w:t xml:space="preserve"> </w:t>
      </w:r>
      <w:proofErr w:type="spellStart"/>
      <w:r w:rsidRPr="007D0F78">
        <w:t>s.r.o</w:t>
      </w:r>
      <w:proofErr w:type="spellEnd"/>
      <w:r w:rsidRPr="00BE4B4E">
        <w:rPr>
          <w:color w:val="000000" w:themeColor="text1"/>
        </w:rPr>
        <w:t xml:space="preserve">., </w:t>
      </w:r>
      <w:r w:rsidR="000E4F8E" w:rsidRPr="00BE4B4E">
        <w:rPr>
          <w:color w:val="000000" w:themeColor="text1"/>
        </w:rPr>
        <w:t>z</w:t>
      </w:r>
      <w:r w:rsidRPr="00BE4B4E">
        <w:rPr>
          <w:color w:val="000000" w:themeColor="text1"/>
        </w:rPr>
        <w:t>a rok 201</w:t>
      </w:r>
      <w:r w:rsidR="00BE4B4E">
        <w:rPr>
          <w:color w:val="000000" w:themeColor="text1"/>
        </w:rPr>
        <w:t>6</w:t>
      </w:r>
      <w:r w:rsidRPr="00BE4B4E">
        <w:rPr>
          <w:color w:val="000000" w:themeColor="text1"/>
        </w:rPr>
        <w:t xml:space="preserve"> </w:t>
      </w:r>
      <w:r w:rsidRPr="007D0F78">
        <w:t xml:space="preserve">schválilo riadne valné zhromaždenie, ktoré sa </w:t>
      </w:r>
      <w:r w:rsidRPr="004A16BD">
        <w:t xml:space="preserve">konalo dňa </w:t>
      </w:r>
      <w:r w:rsidR="006B5EF7" w:rsidRPr="004A16BD">
        <w:t>28</w:t>
      </w:r>
      <w:r w:rsidRPr="004A16BD">
        <w:t>.</w:t>
      </w:r>
      <w:r w:rsidR="007D0F78" w:rsidRPr="004A16BD">
        <w:t xml:space="preserve"> </w:t>
      </w:r>
      <w:r w:rsidR="006B5EF7" w:rsidRPr="004A16BD">
        <w:t>augusta</w:t>
      </w:r>
      <w:r w:rsidR="007D0F78" w:rsidRPr="004A16BD">
        <w:t xml:space="preserve"> </w:t>
      </w:r>
      <w:r w:rsidRPr="004A16BD">
        <w:t>201</w:t>
      </w:r>
      <w:r w:rsidR="006B5EF7" w:rsidRPr="004A16BD">
        <w:t>7</w:t>
      </w:r>
      <w:r w:rsidR="007D0F78" w:rsidRPr="004A16BD">
        <w:t>.</w:t>
      </w:r>
    </w:p>
    <w:p w:rsidR="00AC79A3" w:rsidRPr="007D0F78" w:rsidRDefault="00AC79A3" w:rsidP="00AC79A3">
      <w:pPr>
        <w:rPr>
          <w:sz w:val="14"/>
          <w:szCs w:val="14"/>
        </w:rPr>
      </w:pPr>
    </w:p>
    <w:p w:rsidR="00A32384" w:rsidRPr="007D0F78" w:rsidRDefault="00A32384" w:rsidP="00626E98"/>
    <w:p w:rsidR="00845108" w:rsidRPr="007D0F78" w:rsidRDefault="00845108" w:rsidP="00C81150">
      <w:pPr>
        <w:pStyle w:val="Heading1"/>
      </w:pPr>
      <w:bookmarkStart w:id="2" w:name="_Ref150575427"/>
      <w:r w:rsidRPr="007D0F78">
        <w:t>POUŽITÉ ÚČTOVNÉ ZÁSADY A ÚČTOVNÉ METÓDY</w:t>
      </w:r>
    </w:p>
    <w:bookmarkEnd w:id="2"/>
    <w:p w:rsidR="00C81150" w:rsidRPr="007D0F78" w:rsidRDefault="00C81150" w:rsidP="00C81150"/>
    <w:p w:rsidR="00BE09FD" w:rsidRPr="007D0F78" w:rsidRDefault="00C81150" w:rsidP="00BA3F19">
      <w:pPr>
        <w:numPr>
          <w:ilvl w:val="0"/>
          <w:numId w:val="2"/>
        </w:numPr>
        <w:rPr>
          <w:snapToGrid w:val="0"/>
        </w:rPr>
      </w:pPr>
      <w:r w:rsidRPr="007D0F78">
        <w:rPr>
          <w:snapToGrid w:val="0"/>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7D0F78">
        <w:rPr>
          <w:snapToGrid w:val="0"/>
        </w:rPr>
        <w:t>eurách</w:t>
      </w:r>
      <w:r w:rsidRPr="007D0F78">
        <w:rPr>
          <w:snapToGrid w:val="0"/>
        </w:rPr>
        <w:t>.</w:t>
      </w:r>
    </w:p>
    <w:p w:rsidR="00BA64AD" w:rsidRPr="007D0F78" w:rsidRDefault="00BA64AD" w:rsidP="00BE09FD">
      <w:pPr>
        <w:rPr>
          <w:snapToGrid w:val="0"/>
        </w:rPr>
      </w:pPr>
    </w:p>
    <w:p w:rsidR="00C81150" w:rsidRPr="007D0F78" w:rsidRDefault="00C81150" w:rsidP="00BA3F19">
      <w:pPr>
        <w:numPr>
          <w:ilvl w:val="0"/>
          <w:numId w:val="2"/>
        </w:numPr>
      </w:pPr>
      <w:r w:rsidRPr="007D0F78">
        <w:t>Účtovná závierka za rok 20</w:t>
      </w:r>
      <w:r w:rsidR="008C598A" w:rsidRPr="007D0F78">
        <w:t>1</w:t>
      </w:r>
      <w:r w:rsidR="006A3DE7">
        <w:t>7</w:t>
      </w:r>
      <w:r w:rsidRPr="007D0F78">
        <w:t xml:space="preserve"> bola spracovaná za predpokladu nepretržitého pokračovania činnosti. </w:t>
      </w:r>
    </w:p>
    <w:p w:rsidR="00C81150" w:rsidRPr="007D0F78" w:rsidRDefault="00C81150" w:rsidP="00C81150">
      <w:pPr>
        <w:tabs>
          <w:tab w:val="num" w:pos="540"/>
        </w:tabs>
        <w:ind w:left="540" w:hanging="540"/>
      </w:pPr>
    </w:p>
    <w:p w:rsidR="00C81150" w:rsidRPr="007D0F78" w:rsidRDefault="00C81150" w:rsidP="00BA3F19">
      <w:pPr>
        <w:numPr>
          <w:ilvl w:val="0"/>
          <w:numId w:val="2"/>
        </w:numPr>
      </w:pPr>
      <w:r w:rsidRPr="007D0F78">
        <w:t xml:space="preserve">Účtovníctvo sa vedie na základe dodržania časovej a vecnej súvislosti nákladov a výnosov. Za základ sa berú všetky náklady a výnosy, ktoré sa vzťahujú na účtovné obdobie bez ohľadu na dátum ich platenia. </w:t>
      </w:r>
    </w:p>
    <w:p w:rsidR="00C81150" w:rsidRPr="007D0F78" w:rsidRDefault="00C81150" w:rsidP="00C81150">
      <w:pPr>
        <w:tabs>
          <w:tab w:val="num" w:pos="540"/>
        </w:tabs>
        <w:ind w:left="540" w:hanging="540"/>
      </w:pPr>
    </w:p>
    <w:p w:rsidR="00C81150" w:rsidRPr="007D0F78" w:rsidRDefault="00C81150" w:rsidP="00BA3F19">
      <w:pPr>
        <w:numPr>
          <w:ilvl w:val="0"/>
          <w:numId w:val="2"/>
        </w:numPr>
      </w:pPr>
      <w:r w:rsidRPr="007D0F78">
        <w:t>Pri oceňovaní majetku a záväzkov sa uplatňuje zásada opatrnosti, t. j. berú sa za základ všetky riziká, straty a zníženia hodnoty, ktoré sa týkajú majetku a záväzkov a ktoré sú známe ku dňu, ku ktorému sa zostavuje účtovná závierka.</w:t>
      </w:r>
    </w:p>
    <w:p w:rsidR="007D0F78" w:rsidRPr="007D0F78" w:rsidRDefault="007D0F78">
      <w:pPr>
        <w:jc w:val="left"/>
      </w:pPr>
      <w:r w:rsidRPr="007D0F78">
        <w:br w:type="page"/>
      </w:r>
    </w:p>
    <w:p w:rsidR="00C81150" w:rsidRPr="007D0F78" w:rsidRDefault="00C81150" w:rsidP="00BA3F19">
      <w:pPr>
        <w:numPr>
          <w:ilvl w:val="0"/>
          <w:numId w:val="2"/>
        </w:numPr>
      </w:pPr>
      <w:r w:rsidRPr="007D0F78">
        <w:lastRenderedPageBreak/>
        <w:t>Moment zaúčtovania výnosov – výnosy sa účtujú pri splnení dodacích podmienok, nakoľko v tomto okamihu prechádzajú na odberateľa významné riziká a vlastnícke práva.</w:t>
      </w:r>
    </w:p>
    <w:p w:rsidR="00C81150" w:rsidRPr="007D0F78" w:rsidRDefault="00C81150" w:rsidP="00C81150">
      <w:pPr>
        <w:tabs>
          <w:tab w:val="num" w:pos="540"/>
        </w:tabs>
        <w:ind w:left="540" w:hanging="540"/>
      </w:pPr>
    </w:p>
    <w:p w:rsidR="00C81150" w:rsidRPr="007D0F78" w:rsidRDefault="00C81150" w:rsidP="00BA3F19">
      <w:pPr>
        <w:numPr>
          <w:ilvl w:val="0"/>
          <w:numId w:val="2"/>
        </w:numPr>
      </w:pPr>
      <w:r w:rsidRPr="007D0F78">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rsidR="00BA3F19" w:rsidRPr="007D0F78" w:rsidRDefault="00BA3F19">
      <w:pPr>
        <w:jc w:val="left"/>
      </w:pPr>
    </w:p>
    <w:p w:rsidR="00C81150" w:rsidRPr="007D0F78" w:rsidRDefault="00C81150" w:rsidP="00BA3F19">
      <w:pPr>
        <w:numPr>
          <w:ilvl w:val="0"/>
          <w:numId w:val="2"/>
        </w:numPr>
      </w:pPr>
      <w:r w:rsidRPr="007D0F78">
        <w:t>Použitie odhadov – zostavenie účtovnej závierky si vyžaduje, aby vedenie spoločnosti vypracovalo odhady a predpoklady, ktoré majú vplyv na vykazované sumy aktív a pasív, uvedenie možných budúcich aktív a pasív k</w:t>
      </w:r>
      <w:r w:rsidR="003B3C94" w:rsidRPr="007D0F78">
        <w:t> </w:t>
      </w:r>
      <w:r w:rsidRPr="007D0F78">
        <w:t>dátumu</w:t>
      </w:r>
      <w:r w:rsidR="003B3C94" w:rsidRPr="007D0F78">
        <w:t>, ku ktorému sa zostavuje</w:t>
      </w:r>
      <w:r w:rsidRPr="007D0F78">
        <w:t xml:space="preserve"> účtovn</w:t>
      </w:r>
      <w:r w:rsidR="003B3C94" w:rsidRPr="007D0F78">
        <w:t>á</w:t>
      </w:r>
      <w:r w:rsidRPr="007D0F78">
        <w:t xml:space="preserve"> závierk</w:t>
      </w:r>
      <w:r w:rsidR="003B3C94" w:rsidRPr="007D0F78">
        <w:t>a</w:t>
      </w:r>
      <w:r w:rsidRPr="007D0F78">
        <w:t>, ako aj na vykazovanú výšku výnosov a nákladov počas roka. Skutočné výsledky sa môžu od takýchto odhadov líšiť.</w:t>
      </w:r>
    </w:p>
    <w:p w:rsidR="00C81150" w:rsidRPr="007D0F78" w:rsidRDefault="00C81150" w:rsidP="00C81150">
      <w:pPr>
        <w:tabs>
          <w:tab w:val="num" w:pos="540"/>
        </w:tabs>
        <w:ind w:left="540" w:hanging="540"/>
      </w:pPr>
    </w:p>
    <w:p w:rsidR="00C81150" w:rsidRPr="007D0F78" w:rsidRDefault="00C81150" w:rsidP="00BA3F19">
      <w:pPr>
        <w:numPr>
          <w:ilvl w:val="0"/>
          <w:numId w:val="2"/>
        </w:numPr>
      </w:pPr>
      <w:r w:rsidRPr="007D0F78">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rsidR="00C81150" w:rsidRPr="007D0F78" w:rsidRDefault="00C81150" w:rsidP="00DB2CCC"/>
    <w:p w:rsidR="0000253C" w:rsidRPr="007D0F78" w:rsidRDefault="0000253C" w:rsidP="00DB2CCC"/>
    <w:p w:rsidR="00C81150" w:rsidRPr="007D0F78" w:rsidRDefault="00C81150" w:rsidP="00BA3F19">
      <w:pPr>
        <w:pStyle w:val="Heading2"/>
        <w:numPr>
          <w:ilvl w:val="1"/>
          <w:numId w:val="19"/>
        </w:numPr>
      </w:pPr>
      <w:bookmarkStart w:id="3" w:name="_Ref150575465"/>
      <w:r w:rsidRPr="007D0F78">
        <w:t>Spôsob ocenenia jednotlivých zložiek majetku a záväzkov – nasledujúce ocenenie</w:t>
      </w:r>
      <w:bookmarkEnd w:id="3"/>
    </w:p>
    <w:p w:rsidR="00C81150" w:rsidRPr="007D0F78" w:rsidRDefault="00C81150" w:rsidP="00C81150"/>
    <w:p w:rsidR="00C81150" w:rsidRPr="007D0F78" w:rsidRDefault="00C81150" w:rsidP="00BA3F19">
      <w:pPr>
        <w:numPr>
          <w:ilvl w:val="0"/>
          <w:numId w:val="7"/>
        </w:numPr>
      </w:pPr>
      <w:bookmarkStart w:id="4" w:name="_Ref150575467"/>
      <w:r w:rsidRPr="007D0F78">
        <w:t>Predpokladané riziká, straty a zníženia hodnoty, ktoré sa týkajú majetku a záväzkov, sa vyjadrujú prostredníctvom rezerv, opravných položiek a odpisov.</w:t>
      </w:r>
      <w:bookmarkEnd w:id="4"/>
      <w:r w:rsidRPr="007D0F78">
        <w:t xml:space="preserve"> </w:t>
      </w:r>
    </w:p>
    <w:p w:rsidR="00C81150" w:rsidRPr="007D0F78" w:rsidRDefault="00C81150" w:rsidP="00C81150"/>
    <w:p w:rsidR="00BA3F19" w:rsidRPr="007D0F78" w:rsidRDefault="00BA3F19" w:rsidP="00BA3F19">
      <w:pPr>
        <w:numPr>
          <w:ilvl w:val="0"/>
          <w:numId w:val="4"/>
        </w:numPr>
        <w:tabs>
          <w:tab w:val="clear" w:pos="539"/>
          <w:tab w:val="num" w:pos="900"/>
        </w:tabs>
        <w:ind w:left="900" w:hanging="360"/>
        <w:rPr>
          <w:snapToGrid w:val="0"/>
          <w:u w:val="single"/>
        </w:rPr>
      </w:pPr>
      <w:r w:rsidRPr="007D0F78">
        <w:rPr>
          <w:snapToGrid w:val="0"/>
          <w:u w:val="single"/>
        </w:rPr>
        <w:t>Rezervy – účtujú sa v očakávanej výške záväzku.</w:t>
      </w:r>
    </w:p>
    <w:p w:rsidR="00BA3F19" w:rsidRPr="007D0F78" w:rsidRDefault="00BA3F19" w:rsidP="00BA3F19">
      <w:pPr>
        <w:ind w:left="539"/>
      </w:pPr>
    </w:p>
    <w:p w:rsidR="00BA3F19" w:rsidRPr="007D0F78" w:rsidRDefault="00BA3F19" w:rsidP="00BA3F19">
      <w:pPr>
        <w:numPr>
          <w:ilvl w:val="0"/>
          <w:numId w:val="4"/>
        </w:numPr>
        <w:tabs>
          <w:tab w:val="clear" w:pos="539"/>
          <w:tab w:val="num" w:pos="900"/>
        </w:tabs>
        <w:ind w:left="900" w:hanging="360"/>
        <w:rPr>
          <w:snapToGrid w:val="0"/>
        </w:rPr>
      </w:pPr>
      <w:r w:rsidRPr="007D0F78">
        <w:rPr>
          <w:snapToGrid w:val="0"/>
          <w:u w:val="single"/>
        </w:rPr>
        <w:t>Opravné položky</w:t>
      </w:r>
      <w:r w:rsidRPr="007D0F78">
        <w:rPr>
          <w:snapToGrid w:val="0"/>
        </w:rPr>
        <w:t xml:space="preserve"> – účtujú sa v sume opodstatneného predpokladu zníženia hodnoty majetku oproti jeho oceneniu v účtovníctve, a to:</w:t>
      </w:r>
    </w:p>
    <w:p w:rsidR="00BA3F19" w:rsidRPr="007D0F78" w:rsidRDefault="00BA3F19" w:rsidP="00BA3F19">
      <w:pPr>
        <w:numPr>
          <w:ilvl w:val="1"/>
          <w:numId w:val="6"/>
        </w:numPr>
        <w:tabs>
          <w:tab w:val="clear" w:pos="851"/>
          <w:tab w:val="num" w:pos="1260"/>
        </w:tabs>
        <w:ind w:left="1260" w:hanging="360"/>
      </w:pPr>
      <w:r w:rsidRPr="007D0F78">
        <w:rPr>
          <w:snapToGrid w:val="0"/>
        </w:rPr>
        <w:t>k pohľadávkam po lehote splatnosti nad 360 dní 100 %, nad 120 dní 50 %.</w:t>
      </w:r>
    </w:p>
    <w:p w:rsidR="00BA3F19" w:rsidRPr="007D0F78" w:rsidRDefault="00BA3F19" w:rsidP="00BA3F19">
      <w:pPr>
        <w:ind w:left="539"/>
      </w:pPr>
    </w:p>
    <w:p w:rsidR="00BA3F19" w:rsidRPr="007D0F78" w:rsidRDefault="00BA3F19" w:rsidP="00BA3F19">
      <w:pPr>
        <w:numPr>
          <w:ilvl w:val="0"/>
          <w:numId w:val="5"/>
        </w:numPr>
        <w:tabs>
          <w:tab w:val="clear" w:pos="539"/>
          <w:tab w:val="num" w:pos="900"/>
        </w:tabs>
        <w:ind w:left="900" w:hanging="360"/>
        <w:rPr>
          <w:snapToGrid w:val="0"/>
        </w:rPr>
      </w:pPr>
      <w:r w:rsidRPr="007D0F78">
        <w:rPr>
          <w:snapToGrid w:val="0"/>
          <w:u w:val="single"/>
        </w:rPr>
        <w:t xml:space="preserve">Plán odpisov </w:t>
      </w:r>
    </w:p>
    <w:p w:rsidR="00BA3F19" w:rsidRPr="007D0F78" w:rsidRDefault="00BA3F19" w:rsidP="00BA3F19">
      <w:pPr>
        <w:ind w:left="900"/>
        <w:rPr>
          <w:snapToGrid w:val="0"/>
        </w:rPr>
      </w:pPr>
    </w:p>
    <w:p w:rsidR="00BA3F19" w:rsidRPr="007D0F78" w:rsidRDefault="00BA3F19" w:rsidP="00BA3F19">
      <w:pPr>
        <w:ind w:left="900"/>
      </w:pPr>
      <w:r w:rsidRPr="007D0F78">
        <w:t xml:space="preserve">Dlhodobý hmotný a nehmotný majetok sa odpisuje podľa plánu odpisov, ktorý bol stanovený vzhľadom na odhad reálnej ekonomickej životnosti. Majetok sa odpisuje počas predpokladanej doby používania zodpovedajúcej spotrebe budúcich ekonomických úžitkov z majetku. Účtovné odpisy sú rovnomerné. Majetok sa začína odpisovať v mesiaci nasledujúcom po mesiaci zaradenia do používania. </w:t>
      </w:r>
    </w:p>
    <w:p w:rsidR="00BA64AD" w:rsidRPr="007D0F78" w:rsidRDefault="00BA64AD">
      <w:pPr>
        <w:jc w:val="left"/>
      </w:pPr>
    </w:p>
    <w:p w:rsidR="00BA3F19" w:rsidRPr="007D0F78" w:rsidRDefault="00BA3F19" w:rsidP="00BA3F19">
      <w:pPr>
        <w:numPr>
          <w:ilvl w:val="0"/>
          <w:numId w:val="7"/>
        </w:numPr>
      </w:pPr>
      <w:r w:rsidRPr="007D0F78">
        <w:t xml:space="preserve">Podiely na základnom imaní v obchodných spoločnostiach sa ponechávajú v pôvodnom ocenení. </w:t>
      </w:r>
    </w:p>
    <w:p w:rsidR="00BA3F19" w:rsidRPr="007D0F78" w:rsidRDefault="00BA3F19" w:rsidP="00BA3F19"/>
    <w:p w:rsidR="00BA3F19" w:rsidRPr="007D0F78" w:rsidRDefault="00BA3F19" w:rsidP="00BA3F19">
      <w:pPr>
        <w:numPr>
          <w:ilvl w:val="0"/>
          <w:numId w:val="7"/>
        </w:numPr>
      </w:pPr>
      <w:r w:rsidRPr="007D0F78">
        <w:t>Cenné papiere určené na obchodovanie a realizovateľné cenné papiere sa oceňujú trhovou cenou.</w:t>
      </w:r>
    </w:p>
    <w:p w:rsidR="00BA3F19" w:rsidRPr="007D0F78" w:rsidRDefault="00BA3F19" w:rsidP="00BA3F19">
      <w:pPr>
        <w:rPr>
          <w:sz w:val="20"/>
        </w:rPr>
      </w:pPr>
    </w:p>
    <w:p w:rsidR="00BA3F19" w:rsidRPr="007D0F78" w:rsidRDefault="00BA3F19" w:rsidP="00BA3F19">
      <w:pPr>
        <w:numPr>
          <w:ilvl w:val="0"/>
          <w:numId w:val="7"/>
        </w:numPr>
      </w:pPr>
      <w:r w:rsidRPr="007D0F78">
        <w:t>Deriváty sa oceňujú trhovou cenou.</w:t>
      </w:r>
    </w:p>
    <w:p w:rsidR="00BA3F19" w:rsidRPr="007D0F78" w:rsidRDefault="00BA3F19" w:rsidP="00BA3F19">
      <w:pPr>
        <w:rPr>
          <w:sz w:val="20"/>
        </w:rPr>
      </w:pPr>
    </w:p>
    <w:p w:rsidR="00BA3F19" w:rsidRPr="007D0F78" w:rsidRDefault="00BA3F19" w:rsidP="00BA3F19">
      <w:pPr>
        <w:numPr>
          <w:ilvl w:val="0"/>
          <w:numId w:val="7"/>
        </w:numPr>
      </w:pPr>
      <w:r w:rsidRPr="007D0F78">
        <w:t>Majetok a záväzky zabezpečené derivátmi sa oceňujú trhovou cenou.</w:t>
      </w:r>
    </w:p>
    <w:p w:rsidR="00D31407" w:rsidRPr="007D0F78" w:rsidRDefault="00D31407" w:rsidP="00D31407"/>
    <w:p w:rsidR="0000253C" w:rsidRPr="007D0F78" w:rsidRDefault="0000253C" w:rsidP="0000253C"/>
    <w:p w:rsidR="00C81150" w:rsidRPr="007D0F78" w:rsidRDefault="00C81150" w:rsidP="00CB407B">
      <w:pPr>
        <w:pStyle w:val="Heading2"/>
      </w:pPr>
      <w:r w:rsidRPr="007D0F78">
        <w:t>Prepočet údajov v cudzích menách na slovenskú menu</w:t>
      </w:r>
    </w:p>
    <w:p w:rsidR="00C81150" w:rsidRPr="007D0F78" w:rsidRDefault="00C81150" w:rsidP="00C81150"/>
    <w:p w:rsidR="00C81150" w:rsidRPr="007D0F78" w:rsidRDefault="00C81150" w:rsidP="00C81150">
      <w:r w:rsidRPr="007D0F78">
        <w:t xml:space="preserve">Majetok a záväzky vyjadrené v cudzej mene sa prepočítavajú na </w:t>
      </w:r>
      <w:r w:rsidR="006A49A3" w:rsidRPr="007D0F78">
        <w:t>eurá referenčným výmenným</w:t>
      </w:r>
      <w:r w:rsidRPr="007D0F78">
        <w:t xml:space="preserve"> kurzom určeným </w:t>
      </w:r>
      <w:r w:rsidR="00487854" w:rsidRPr="007D0F78">
        <w:t>a vyhláseným Európskou centrálnou bankou (ECB) alebo Národnou bankou Slovenska (</w:t>
      </w:r>
      <w:r w:rsidRPr="007D0F78">
        <w:t>NBS</w:t>
      </w:r>
      <w:r w:rsidR="00487854" w:rsidRPr="007D0F78">
        <w:t>)</w:t>
      </w:r>
      <w:r w:rsidRPr="007D0F78">
        <w:t xml:space="preserve"> </w:t>
      </w:r>
      <w:r w:rsidR="00487854" w:rsidRPr="007D0F78">
        <w:t xml:space="preserve">v deň predchádzajúci </w:t>
      </w:r>
      <w:r w:rsidRPr="007D0F78">
        <w:t xml:space="preserve">dňu uskutočnenia účtovného prípadu a </w:t>
      </w:r>
      <w:r w:rsidR="00487854" w:rsidRPr="007D0F78">
        <w:t>v deň</w:t>
      </w:r>
      <w:r w:rsidR="003B3C94" w:rsidRPr="007D0F78">
        <w:t>, ku ktorému sa zostavuje účtovná závierka</w:t>
      </w:r>
      <w:r w:rsidRPr="007D0F78">
        <w:t xml:space="preserve">. </w:t>
      </w:r>
      <w:r w:rsidR="000F2546" w:rsidRPr="007D0F78">
        <w:t xml:space="preserve">Prijaté a poskytnuté preddavky v cudzej mene sa </w:t>
      </w:r>
      <w:r w:rsidR="006F1C45" w:rsidRPr="007D0F78">
        <w:t>ku dňu, ku ktorému sa zostavuje účtovná závierka</w:t>
      </w:r>
      <w:r w:rsidR="007D6303" w:rsidRPr="007D0F78">
        <w:t>,</w:t>
      </w:r>
      <w:r w:rsidR="006F1C45" w:rsidRPr="007D0F78">
        <w:t xml:space="preserve"> neprepočítavajú. </w:t>
      </w:r>
      <w:r w:rsidRPr="007D0F78">
        <w:t xml:space="preserve">Pri kúpe a predaji cudzej meny za menu </w:t>
      </w:r>
      <w:r w:rsidR="00487854" w:rsidRPr="007D0F78">
        <w:t xml:space="preserve">euro a pri prevode peňažných prostriedkov z účtu zriadeného v cudzej mene na účet zriadený v eurách a z účtu zriadeného v eurách na účet zriadený v cudzej mene </w:t>
      </w:r>
      <w:r w:rsidRPr="007D0F78">
        <w:t>sa použil kurz, za ktorý boli tieto hodnoty nakúpené alebo predané.</w:t>
      </w:r>
      <w:r w:rsidR="006F1C45" w:rsidRPr="007D0F78">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7D0F78">
        <w:t xml:space="preserve">referenčný výmenný </w:t>
      </w:r>
      <w:r w:rsidR="00D3184D" w:rsidRPr="007D0F78">
        <w:t xml:space="preserve">kurz </w:t>
      </w:r>
      <w:r w:rsidR="00487854" w:rsidRPr="007D0F78">
        <w:t>určený a vyhlásený ECB alebo</w:t>
      </w:r>
      <w:r w:rsidR="006F1C45" w:rsidRPr="007D0F78">
        <w:t xml:space="preserve"> NBS v deň </w:t>
      </w:r>
      <w:r w:rsidR="00487854" w:rsidRPr="007D0F78">
        <w:t xml:space="preserve">predchádzajúci dňu </w:t>
      </w:r>
      <w:r w:rsidR="006F1C45" w:rsidRPr="007D0F78">
        <w:t>vysporiadania obchodu.</w:t>
      </w:r>
    </w:p>
    <w:p w:rsidR="00E3502B" w:rsidRPr="007D0F78" w:rsidRDefault="00E3502B" w:rsidP="00E3502B"/>
    <w:p w:rsidR="00E3502B" w:rsidRPr="007D0F78" w:rsidRDefault="00E3502B" w:rsidP="00E3502B"/>
    <w:p w:rsidR="007D0F78" w:rsidRPr="007D0F78" w:rsidRDefault="007D0F78">
      <w:pPr>
        <w:jc w:val="left"/>
        <w:rPr>
          <w:rFonts w:cs="Arial"/>
          <w:b/>
          <w:bCs/>
          <w:caps/>
          <w:kern w:val="32"/>
          <w:sz w:val="18"/>
          <w:szCs w:val="32"/>
          <w:u w:val="single"/>
        </w:rPr>
      </w:pPr>
      <w:r w:rsidRPr="007D0F78">
        <w:br w:type="page"/>
      </w:r>
    </w:p>
    <w:p w:rsidR="00CB407B" w:rsidRPr="007D0F78" w:rsidRDefault="004A5110" w:rsidP="004A5110">
      <w:pPr>
        <w:pStyle w:val="Heading1"/>
      </w:pPr>
      <w:r w:rsidRPr="007D0F78">
        <w:lastRenderedPageBreak/>
        <w:t>INFORMÁCIE, KTORÉ VYSVETLUJÚ A DOPLNAJU SúVAHU A VYKAZ ZISKOV A</w:t>
      </w:r>
      <w:r w:rsidR="002E3044" w:rsidRPr="007D0F78">
        <w:t> </w:t>
      </w:r>
      <w:r w:rsidRPr="007D0F78">
        <w:t>STRÁT</w:t>
      </w:r>
    </w:p>
    <w:p w:rsidR="002E3044" w:rsidRPr="007D0F78" w:rsidRDefault="002E3044" w:rsidP="002E3044"/>
    <w:p w:rsidR="0074448F" w:rsidRPr="007D0F78" w:rsidRDefault="0074448F" w:rsidP="008711DF">
      <w:pPr>
        <w:pStyle w:val="Heading2"/>
      </w:pPr>
      <w:r w:rsidRPr="007D0F78">
        <w:t xml:space="preserve">Záväzky </w:t>
      </w:r>
    </w:p>
    <w:p w:rsidR="0074448F" w:rsidRPr="007D0F78" w:rsidRDefault="0074448F" w:rsidP="0074448F">
      <w:pPr>
        <w:rPr>
          <w:snapToGrid w:val="0"/>
        </w:rPr>
      </w:pPr>
    </w:p>
    <w:p w:rsidR="008B77F4" w:rsidRPr="007D0F78" w:rsidRDefault="002E3044" w:rsidP="008B77F4">
      <w:pPr>
        <w:pStyle w:val="Heading3"/>
      </w:pPr>
      <w:r w:rsidRPr="007D0F78">
        <w:t>Záväzky podľa zostatkovej doby splatnosti</w:t>
      </w:r>
    </w:p>
    <w:p w:rsidR="00BA64AD" w:rsidRPr="007D0F78" w:rsidRDefault="00BA64AD" w:rsidP="008711DF">
      <w:bookmarkStart w:id="5" w:name="T_payables_maturity"/>
      <w:r w:rsidRPr="007D0F78">
        <w:rPr>
          <w:rFonts w:cs="Arial"/>
          <w:b/>
          <w:bCs/>
          <w:i/>
          <w:iCs/>
          <w:sz w:val="15"/>
          <w:szCs w:val="15"/>
        </w:rPr>
        <w:t xml:space="preserve"> </w:t>
      </w:r>
    </w:p>
    <w:tbl>
      <w:tblPr>
        <w:tblW w:w="5000" w:type="pct"/>
        <w:tblCellMar>
          <w:left w:w="70" w:type="dxa"/>
          <w:right w:w="70" w:type="dxa"/>
        </w:tblCellMar>
        <w:tblLook w:val="04A0" w:firstRow="1" w:lastRow="0" w:firstColumn="1" w:lastColumn="0" w:noHBand="0" w:noVBand="1"/>
      </w:tblPr>
      <w:tblGrid>
        <w:gridCol w:w="6210"/>
        <w:gridCol w:w="1440"/>
        <w:gridCol w:w="1421"/>
      </w:tblGrid>
      <w:tr w:rsidR="00BA64AD" w:rsidRPr="007D0F78" w:rsidTr="007D0F78">
        <w:trPr>
          <w:trHeight w:val="195"/>
        </w:trPr>
        <w:tc>
          <w:tcPr>
            <w:tcW w:w="3423" w:type="pct"/>
            <w:tcBorders>
              <w:top w:val="single" w:sz="8" w:space="0" w:color="auto"/>
              <w:left w:val="nil"/>
              <w:bottom w:val="nil"/>
              <w:right w:val="nil"/>
            </w:tcBorders>
            <w:shd w:val="clear" w:color="auto" w:fill="auto"/>
            <w:vAlign w:val="center"/>
            <w:hideMark/>
          </w:tcPr>
          <w:p w:rsidR="00BA64AD" w:rsidRPr="007D0F78" w:rsidRDefault="00BA64AD" w:rsidP="00BA64AD">
            <w:pPr>
              <w:jc w:val="left"/>
              <w:rPr>
                <w:rFonts w:cs="Arial"/>
                <w:b/>
                <w:bCs/>
                <w:i/>
                <w:iCs/>
                <w:sz w:val="15"/>
                <w:szCs w:val="15"/>
              </w:rPr>
            </w:pPr>
            <w:r w:rsidRPr="007D0F78">
              <w:rPr>
                <w:rFonts w:cs="Arial"/>
                <w:b/>
                <w:bCs/>
                <w:i/>
                <w:iCs/>
                <w:sz w:val="15"/>
                <w:szCs w:val="15"/>
              </w:rPr>
              <w:t>Položka</w:t>
            </w:r>
          </w:p>
        </w:tc>
        <w:tc>
          <w:tcPr>
            <w:tcW w:w="794" w:type="pct"/>
            <w:tcBorders>
              <w:top w:val="single" w:sz="8" w:space="0" w:color="auto"/>
              <w:left w:val="nil"/>
              <w:bottom w:val="nil"/>
              <w:right w:val="nil"/>
            </w:tcBorders>
            <w:shd w:val="clear" w:color="auto" w:fill="auto"/>
            <w:vAlign w:val="center"/>
            <w:hideMark/>
          </w:tcPr>
          <w:p w:rsidR="00BA64AD" w:rsidRPr="007D0F78" w:rsidRDefault="00BA64AD" w:rsidP="008300FE">
            <w:pPr>
              <w:jc w:val="center"/>
              <w:rPr>
                <w:rFonts w:cs="Arial"/>
                <w:b/>
                <w:bCs/>
                <w:i/>
                <w:iCs/>
                <w:sz w:val="15"/>
                <w:szCs w:val="15"/>
              </w:rPr>
            </w:pPr>
            <w:r w:rsidRPr="007D0F78">
              <w:rPr>
                <w:rFonts w:cs="Arial"/>
                <w:b/>
                <w:bCs/>
                <w:i/>
                <w:iCs/>
                <w:sz w:val="15"/>
                <w:szCs w:val="15"/>
              </w:rPr>
              <w:t>31.12.201</w:t>
            </w:r>
            <w:r w:rsidR="008300FE">
              <w:rPr>
                <w:rFonts w:cs="Arial"/>
                <w:b/>
                <w:bCs/>
                <w:i/>
                <w:iCs/>
                <w:sz w:val="15"/>
                <w:szCs w:val="15"/>
              </w:rPr>
              <w:t>7</w:t>
            </w:r>
          </w:p>
        </w:tc>
        <w:tc>
          <w:tcPr>
            <w:tcW w:w="783" w:type="pct"/>
            <w:tcBorders>
              <w:top w:val="single" w:sz="8" w:space="0" w:color="auto"/>
              <w:left w:val="nil"/>
              <w:bottom w:val="nil"/>
              <w:right w:val="nil"/>
            </w:tcBorders>
            <w:shd w:val="clear" w:color="auto" w:fill="auto"/>
            <w:vAlign w:val="center"/>
            <w:hideMark/>
          </w:tcPr>
          <w:p w:rsidR="00BA64AD" w:rsidRPr="007D0F78" w:rsidRDefault="00BA64AD" w:rsidP="008300FE">
            <w:pPr>
              <w:jc w:val="center"/>
              <w:rPr>
                <w:rFonts w:cs="Arial"/>
                <w:b/>
                <w:bCs/>
                <w:i/>
                <w:iCs/>
                <w:sz w:val="15"/>
                <w:szCs w:val="15"/>
              </w:rPr>
            </w:pPr>
            <w:r w:rsidRPr="007D0F78">
              <w:rPr>
                <w:rFonts w:cs="Arial"/>
                <w:b/>
                <w:bCs/>
                <w:i/>
                <w:iCs/>
                <w:sz w:val="15"/>
                <w:szCs w:val="15"/>
              </w:rPr>
              <w:t>31.12.201</w:t>
            </w:r>
            <w:r w:rsidR="008300FE">
              <w:rPr>
                <w:rFonts w:cs="Arial"/>
                <w:b/>
                <w:bCs/>
                <w:i/>
                <w:iCs/>
                <w:sz w:val="15"/>
                <w:szCs w:val="15"/>
              </w:rPr>
              <w:t>6</w:t>
            </w:r>
          </w:p>
        </w:tc>
      </w:tr>
      <w:tr w:rsidR="00BA64AD" w:rsidRPr="007D0F78" w:rsidTr="007D0F78">
        <w:trPr>
          <w:trHeight w:val="195"/>
        </w:trPr>
        <w:tc>
          <w:tcPr>
            <w:tcW w:w="3423" w:type="pct"/>
            <w:tcBorders>
              <w:top w:val="single" w:sz="4" w:space="0" w:color="auto"/>
              <w:left w:val="nil"/>
              <w:bottom w:val="nil"/>
              <w:right w:val="nil"/>
            </w:tcBorders>
            <w:shd w:val="clear" w:color="auto" w:fill="auto"/>
            <w:vAlign w:val="center"/>
            <w:hideMark/>
          </w:tcPr>
          <w:p w:rsidR="00BA64AD" w:rsidRPr="007D0F78" w:rsidRDefault="00BA64AD" w:rsidP="00BA64AD">
            <w:pPr>
              <w:rPr>
                <w:rFonts w:cs="Arial"/>
                <w:b/>
                <w:bCs/>
                <w:i/>
                <w:iCs/>
                <w:sz w:val="15"/>
                <w:szCs w:val="15"/>
              </w:rPr>
            </w:pPr>
            <w:r w:rsidRPr="007D0F78">
              <w:rPr>
                <w:rFonts w:cs="Arial"/>
                <w:b/>
                <w:bCs/>
                <w:i/>
                <w:iCs/>
                <w:sz w:val="15"/>
                <w:szCs w:val="15"/>
              </w:rPr>
              <w:t>Dlhodobé záväzky:</w:t>
            </w:r>
          </w:p>
          <w:p w:rsidR="002E3044" w:rsidRPr="007D0F78" w:rsidRDefault="002E3044" w:rsidP="00BA64AD">
            <w:pPr>
              <w:rPr>
                <w:rFonts w:cs="Arial"/>
                <w:b/>
                <w:bCs/>
                <w:i/>
                <w:iCs/>
                <w:sz w:val="15"/>
                <w:szCs w:val="15"/>
              </w:rPr>
            </w:pPr>
            <w:r w:rsidRPr="007D0F78">
              <w:rPr>
                <w:rFonts w:cs="Arial"/>
                <w:sz w:val="15"/>
                <w:szCs w:val="15"/>
              </w:rPr>
              <w:t>Záväzky so zostatkovou dobou splatnosti jeden rok až päť rokov</w:t>
            </w:r>
          </w:p>
        </w:tc>
        <w:tc>
          <w:tcPr>
            <w:tcW w:w="794" w:type="pct"/>
            <w:tcBorders>
              <w:top w:val="single" w:sz="4" w:space="0" w:color="auto"/>
              <w:left w:val="nil"/>
              <w:bottom w:val="nil"/>
              <w:right w:val="nil"/>
            </w:tcBorders>
            <w:shd w:val="clear" w:color="auto" w:fill="auto"/>
            <w:vAlign w:val="bottom"/>
            <w:hideMark/>
          </w:tcPr>
          <w:p w:rsidR="00BA64AD" w:rsidRPr="007D0F78" w:rsidRDefault="00BA64AD" w:rsidP="00BA64AD">
            <w:pPr>
              <w:jc w:val="right"/>
              <w:rPr>
                <w:rFonts w:cs="Arial"/>
                <w:sz w:val="15"/>
                <w:szCs w:val="15"/>
              </w:rPr>
            </w:pPr>
            <w:r w:rsidRPr="007D0F78">
              <w:rPr>
                <w:rFonts w:cs="Arial"/>
                <w:sz w:val="15"/>
                <w:szCs w:val="15"/>
              </w:rPr>
              <w:t> </w:t>
            </w:r>
          </w:p>
        </w:tc>
        <w:tc>
          <w:tcPr>
            <w:tcW w:w="783" w:type="pct"/>
            <w:tcBorders>
              <w:top w:val="single" w:sz="4" w:space="0" w:color="auto"/>
              <w:left w:val="nil"/>
              <w:bottom w:val="nil"/>
              <w:right w:val="nil"/>
            </w:tcBorders>
            <w:shd w:val="clear" w:color="auto" w:fill="auto"/>
            <w:vAlign w:val="bottom"/>
            <w:hideMark/>
          </w:tcPr>
          <w:p w:rsidR="00BA64AD" w:rsidRPr="007D0F78" w:rsidRDefault="00BA64AD" w:rsidP="00BA64AD">
            <w:pPr>
              <w:jc w:val="right"/>
              <w:rPr>
                <w:rFonts w:cs="Arial"/>
                <w:sz w:val="15"/>
                <w:szCs w:val="15"/>
              </w:rPr>
            </w:pPr>
            <w:r w:rsidRPr="007D0F78">
              <w:rPr>
                <w:rFonts w:cs="Arial"/>
                <w:sz w:val="15"/>
                <w:szCs w:val="15"/>
              </w:rPr>
              <w:t> </w:t>
            </w:r>
          </w:p>
        </w:tc>
      </w:tr>
      <w:tr w:rsidR="00BA64AD" w:rsidRPr="007D0F78" w:rsidTr="007D0F78">
        <w:trPr>
          <w:trHeight w:val="180"/>
        </w:trPr>
        <w:tc>
          <w:tcPr>
            <w:tcW w:w="3423" w:type="pct"/>
            <w:tcBorders>
              <w:top w:val="nil"/>
              <w:left w:val="nil"/>
              <w:right w:val="nil"/>
            </w:tcBorders>
            <w:shd w:val="clear" w:color="auto" w:fill="auto"/>
            <w:vAlign w:val="center"/>
            <w:hideMark/>
          </w:tcPr>
          <w:p w:rsidR="00BA64AD" w:rsidRPr="007D0F78" w:rsidRDefault="00BA64AD" w:rsidP="00BA64AD">
            <w:pPr>
              <w:jc w:val="left"/>
              <w:rPr>
                <w:rFonts w:cs="Arial"/>
                <w:sz w:val="15"/>
                <w:szCs w:val="15"/>
              </w:rPr>
            </w:pPr>
            <w:r w:rsidRPr="007D0F78">
              <w:rPr>
                <w:rFonts w:cs="Arial"/>
                <w:sz w:val="15"/>
                <w:szCs w:val="15"/>
              </w:rPr>
              <w:t>Záväzky so zostatkovou dobou splatnosti nad päť rokov</w:t>
            </w:r>
          </w:p>
        </w:tc>
        <w:tc>
          <w:tcPr>
            <w:tcW w:w="794" w:type="pct"/>
            <w:tcBorders>
              <w:top w:val="nil"/>
              <w:left w:val="nil"/>
              <w:right w:val="nil"/>
            </w:tcBorders>
            <w:shd w:val="clear" w:color="auto" w:fill="auto"/>
            <w:vAlign w:val="bottom"/>
            <w:hideMark/>
          </w:tcPr>
          <w:p w:rsidR="00BA64AD" w:rsidRPr="008300FE" w:rsidRDefault="00D76CA5" w:rsidP="00466E19">
            <w:pPr>
              <w:jc w:val="right"/>
              <w:rPr>
                <w:rFonts w:cs="Arial"/>
                <w:sz w:val="15"/>
                <w:szCs w:val="15"/>
              </w:rPr>
            </w:pPr>
            <w:r>
              <w:rPr>
                <w:rFonts w:cs="Arial"/>
                <w:sz w:val="15"/>
                <w:szCs w:val="15"/>
              </w:rPr>
              <w:t>1626</w:t>
            </w:r>
            <w:r w:rsidR="00BA64AD" w:rsidRPr="008300FE">
              <w:rPr>
                <w:rFonts w:cs="Arial"/>
                <w:sz w:val="15"/>
                <w:szCs w:val="15"/>
              </w:rPr>
              <w:t xml:space="preserve"> </w:t>
            </w:r>
          </w:p>
        </w:tc>
        <w:tc>
          <w:tcPr>
            <w:tcW w:w="783" w:type="pct"/>
            <w:tcBorders>
              <w:top w:val="nil"/>
              <w:left w:val="nil"/>
              <w:right w:val="nil"/>
            </w:tcBorders>
            <w:shd w:val="clear" w:color="auto" w:fill="auto"/>
            <w:vAlign w:val="bottom"/>
            <w:hideMark/>
          </w:tcPr>
          <w:p w:rsidR="00BA64AD" w:rsidRPr="008300FE" w:rsidRDefault="008300FE" w:rsidP="00BA64AD">
            <w:pPr>
              <w:jc w:val="right"/>
              <w:rPr>
                <w:rFonts w:cs="Arial"/>
                <w:sz w:val="15"/>
                <w:szCs w:val="15"/>
              </w:rPr>
            </w:pPr>
            <w:r w:rsidRPr="008300FE">
              <w:rPr>
                <w:rFonts w:cs="Arial"/>
                <w:sz w:val="15"/>
                <w:szCs w:val="15"/>
              </w:rPr>
              <w:t>568</w:t>
            </w:r>
            <w:r w:rsidR="00BA64AD" w:rsidRPr="008300FE">
              <w:rPr>
                <w:rFonts w:cs="Arial"/>
                <w:sz w:val="15"/>
                <w:szCs w:val="15"/>
              </w:rPr>
              <w:t xml:space="preserve"> </w:t>
            </w:r>
          </w:p>
        </w:tc>
      </w:tr>
      <w:tr w:rsidR="00BA64AD" w:rsidRPr="007D0F78" w:rsidTr="007D0F78">
        <w:trPr>
          <w:trHeight w:val="195"/>
        </w:trPr>
        <w:tc>
          <w:tcPr>
            <w:tcW w:w="3423" w:type="pct"/>
            <w:tcBorders>
              <w:top w:val="nil"/>
              <w:left w:val="nil"/>
              <w:bottom w:val="single" w:sz="8" w:space="0" w:color="auto"/>
              <w:right w:val="nil"/>
            </w:tcBorders>
            <w:shd w:val="clear" w:color="auto" w:fill="auto"/>
            <w:vAlign w:val="center"/>
            <w:hideMark/>
          </w:tcPr>
          <w:p w:rsidR="00BA64AD" w:rsidRPr="007D0F78" w:rsidRDefault="00BA64AD" w:rsidP="00BA64AD">
            <w:pPr>
              <w:rPr>
                <w:rFonts w:cs="Arial"/>
                <w:b/>
                <w:bCs/>
                <w:sz w:val="15"/>
                <w:szCs w:val="15"/>
              </w:rPr>
            </w:pPr>
            <w:r w:rsidRPr="007D0F78">
              <w:rPr>
                <w:rFonts w:cs="Arial"/>
                <w:b/>
                <w:bCs/>
                <w:sz w:val="15"/>
                <w:szCs w:val="15"/>
              </w:rPr>
              <w:t>Spolu dlhodobé záväzky</w:t>
            </w:r>
          </w:p>
        </w:tc>
        <w:tc>
          <w:tcPr>
            <w:tcW w:w="794" w:type="pct"/>
            <w:tcBorders>
              <w:top w:val="nil"/>
              <w:left w:val="nil"/>
              <w:bottom w:val="single" w:sz="8" w:space="0" w:color="auto"/>
              <w:right w:val="nil"/>
            </w:tcBorders>
            <w:shd w:val="clear" w:color="auto" w:fill="auto"/>
            <w:vAlign w:val="center"/>
            <w:hideMark/>
          </w:tcPr>
          <w:p w:rsidR="00BA64AD" w:rsidRPr="007D0F78" w:rsidRDefault="00BA64AD" w:rsidP="00BA64AD">
            <w:pPr>
              <w:jc w:val="right"/>
              <w:rPr>
                <w:rFonts w:cs="Arial"/>
                <w:b/>
                <w:bCs/>
                <w:sz w:val="15"/>
                <w:szCs w:val="15"/>
              </w:rPr>
            </w:pPr>
            <w:r w:rsidRPr="007D0F78">
              <w:rPr>
                <w:rFonts w:cs="Arial"/>
                <w:b/>
                <w:bCs/>
                <w:sz w:val="15"/>
                <w:szCs w:val="15"/>
              </w:rPr>
              <w:t xml:space="preserve">- </w:t>
            </w:r>
          </w:p>
        </w:tc>
        <w:tc>
          <w:tcPr>
            <w:tcW w:w="783" w:type="pct"/>
            <w:tcBorders>
              <w:top w:val="nil"/>
              <w:left w:val="nil"/>
              <w:bottom w:val="single" w:sz="8" w:space="0" w:color="auto"/>
              <w:right w:val="nil"/>
            </w:tcBorders>
            <w:shd w:val="clear" w:color="auto" w:fill="auto"/>
            <w:vAlign w:val="center"/>
            <w:hideMark/>
          </w:tcPr>
          <w:p w:rsidR="00BA64AD" w:rsidRPr="007D0F78" w:rsidRDefault="00BA64AD" w:rsidP="00BA64AD">
            <w:pPr>
              <w:jc w:val="right"/>
              <w:rPr>
                <w:rFonts w:cs="Arial"/>
                <w:b/>
                <w:bCs/>
                <w:sz w:val="15"/>
                <w:szCs w:val="15"/>
              </w:rPr>
            </w:pPr>
            <w:r w:rsidRPr="007D0F78">
              <w:rPr>
                <w:rFonts w:cs="Arial"/>
                <w:b/>
                <w:bCs/>
                <w:sz w:val="15"/>
                <w:szCs w:val="15"/>
              </w:rPr>
              <w:t xml:space="preserve">- </w:t>
            </w:r>
          </w:p>
        </w:tc>
      </w:tr>
      <w:bookmarkEnd w:id="5"/>
    </w:tbl>
    <w:p w:rsidR="005F1651" w:rsidRPr="007D0F78" w:rsidRDefault="005F1651" w:rsidP="009E172B">
      <w:pPr>
        <w:rPr>
          <w:snapToGrid w:val="0"/>
          <w:u w:val="single"/>
        </w:rPr>
      </w:pPr>
    </w:p>
    <w:p w:rsidR="007D0F78" w:rsidRPr="007D0F78" w:rsidRDefault="007D0F78" w:rsidP="009E172B">
      <w:pPr>
        <w:rPr>
          <w:snapToGrid w:val="0"/>
          <w:u w:val="single"/>
        </w:rPr>
      </w:pPr>
    </w:p>
    <w:p w:rsidR="001E2635" w:rsidRPr="007D0F78" w:rsidRDefault="001E2635" w:rsidP="001E2635">
      <w:pPr>
        <w:pStyle w:val="Heading1"/>
      </w:pPr>
      <w:r w:rsidRPr="007D0F78">
        <w:t>INÉ AKTÍVA A INÉ PASÍVA</w:t>
      </w:r>
      <w:bookmarkStart w:id="6" w:name="_GoBack"/>
      <w:bookmarkEnd w:id="6"/>
    </w:p>
    <w:p w:rsidR="002E3044" w:rsidRPr="007D0F78" w:rsidRDefault="002E3044" w:rsidP="002E3044"/>
    <w:p w:rsidR="002E3044" w:rsidRPr="007D0F78" w:rsidRDefault="002E3044" w:rsidP="002E3044">
      <w:pPr>
        <w:pStyle w:val="Heading2"/>
      </w:pPr>
      <w:r w:rsidRPr="007D0F78">
        <w:t>Podmienené záväzky</w:t>
      </w:r>
    </w:p>
    <w:p w:rsidR="001E2635" w:rsidRPr="007D0F78" w:rsidRDefault="001E2635" w:rsidP="001E2635"/>
    <w:p w:rsidR="001E2635" w:rsidRPr="007D0F78" w:rsidRDefault="001E2635" w:rsidP="001E2635">
      <w:pPr>
        <w:rPr>
          <w:snapToGrid w:val="0"/>
        </w:rPr>
      </w:pPr>
      <w:r w:rsidRPr="007D0F78">
        <w:rPr>
          <w:snapToGrid w:val="0"/>
        </w:rPr>
        <w:t>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20</w:t>
      </w:r>
      <w:r w:rsidR="00894947" w:rsidRPr="007D0F78">
        <w:rPr>
          <w:snapToGrid w:val="0"/>
        </w:rPr>
        <w:t>1</w:t>
      </w:r>
      <w:r w:rsidR="008300FE">
        <w:rPr>
          <w:snapToGrid w:val="0"/>
        </w:rPr>
        <w:t>7</w:t>
      </w:r>
      <w:r w:rsidRPr="007D0F78">
        <w:rPr>
          <w:snapToGrid w:val="0"/>
        </w:rPr>
        <w:t xml:space="preserve"> daňové priznania spoločnosti za roky 20</w:t>
      </w:r>
      <w:r w:rsidR="00BA64AD" w:rsidRPr="007D0F78">
        <w:rPr>
          <w:snapToGrid w:val="0"/>
        </w:rPr>
        <w:t>1</w:t>
      </w:r>
      <w:r w:rsidR="008300FE">
        <w:rPr>
          <w:snapToGrid w:val="0"/>
        </w:rPr>
        <w:t>3</w:t>
      </w:r>
      <w:r w:rsidR="00AC79A3" w:rsidRPr="007D0F78">
        <w:rPr>
          <w:snapToGrid w:val="0"/>
        </w:rPr>
        <w:t xml:space="preserve"> až </w:t>
      </w:r>
      <w:r w:rsidR="002647F4" w:rsidRPr="007D0F78">
        <w:rPr>
          <w:snapToGrid w:val="0"/>
        </w:rPr>
        <w:t>201</w:t>
      </w:r>
      <w:r w:rsidR="008300FE">
        <w:rPr>
          <w:snapToGrid w:val="0"/>
        </w:rPr>
        <w:t>7</w:t>
      </w:r>
      <w:r w:rsidRPr="007D0F78">
        <w:rPr>
          <w:snapToGrid w:val="0"/>
        </w:rPr>
        <w:t xml:space="preserve"> otvorené a môžu sa stať predmetom kontroly.</w:t>
      </w:r>
    </w:p>
    <w:p w:rsidR="005747D1" w:rsidRPr="007D0F78" w:rsidRDefault="005747D1" w:rsidP="001E2635">
      <w:pPr>
        <w:rPr>
          <w:snapToGrid w:val="0"/>
        </w:rPr>
      </w:pPr>
    </w:p>
    <w:p w:rsidR="00BA64AD" w:rsidRPr="007D0F78" w:rsidRDefault="00BA64AD">
      <w:pPr>
        <w:jc w:val="left"/>
        <w:rPr>
          <w:rFonts w:cs="Arial"/>
          <w:b/>
          <w:bCs/>
          <w:caps/>
          <w:kern w:val="32"/>
          <w:sz w:val="18"/>
          <w:szCs w:val="32"/>
          <w:u w:val="single"/>
        </w:rPr>
      </w:pPr>
    </w:p>
    <w:p w:rsidR="001E2635" w:rsidRPr="007D0F78" w:rsidRDefault="001E2635" w:rsidP="001E2635">
      <w:pPr>
        <w:pStyle w:val="Heading1"/>
      </w:pPr>
      <w:r w:rsidRPr="007D0F78">
        <w:t>SKUTOČNOSTI, KTORÉ NASTALI PO DNI, KU KTORÉMU SA ZOSTAVUJE ÚČTOVNÁ ZÁVIERKA, A DO DŇA ZOSTAVENIA ÚČTOVNEJ ZÁVIERKY</w:t>
      </w:r>
    </w:p>
    <w:p w:rsidR="001E2635" w:rsidRPr="007D0F78" w:rsidRDefault="001E2635" w:rsidP="001E2635">
      <w:pPr>
        <w:rPr>
          <w:sz w:val="15"/>
          <w:szCs w:val="15"/>
        </w:rPr>
      </w:pPr>
    </w:p>
    <w:p w:rsidR="001E2635" w:rsidRPr="007D0F78" w:rsidRDefault="001E2635" w:rsidP="001E2635">
      <w:pPr>
        <w:rPr>
          <w:snapToGrid w:val="0"/>
        </w:rPr>
      </w:pPr>
      <w:r w:rsidRPr="007D0F78">
        <w:rPr>
          <w:snapToGrid w:val="0"/>
        </w:rPr>
        <w:t>Po 31. decembri 20</w:t>
      </w:r>
      <w:r w:rsidR="00894947" w:rsidRPr="007D0F78">
        <w:rPr>
          <w:snapToGrid w:val="0"/>
        </w:rPr>
        <w:t>1</w:t>
      </w:r>
      <w:r w:rsidR="006A3DE7">
        <w:rPr>
          <w:snapToGrid w:val="0"/>
        </w:rPr>
        <w:t>7</w:t>
      </w:r>
      <w:r w:rsidRPr="007D0F78">
        <w:rPr>
          <w:snapToGrid w:val="0"/>
        </w:rPr>
        <w:t xml:space="preserve"> a do dňa zostavenia účtovnej závierky nenastali žiadne také udalosti, ktoré by významným spôsobom ovplyvnili aktíva a pasíva spoločnosti, okrem tých, ktoré sú výsledkom bežnej činnosti.</w:t>
      </w:r>
    </w:p>
    <w:p w:rsidR="00BA64AD" w:rsidRPr="007D0F78" w:rsidRDefault="002E3044">
      <w:pPr>
        <w:jc w:val="left"/>
        <w:rPr>
          <w:rFonts w:cs="Arial"/>
          <w:b/>
          <w:bCs/>
          <w:caps/>
          <w:kern w:val="32"/>
          <w:sz w:val="18"/>
          <w:szCs w:val="32"/>
          <w:u w:val="single"/>
        </w:rPr>
      </w:pPr>
      <w:r w:rsidRPr="007D0F78">
        <w:t xml:space="preserve"> </w:t>
      </w:r>
    </w:p>
    <w:sectPr w:rsidR="00BA64AD" w:rsidRPr="007D0F78" w:rsidSect="008E3271">
      <w:headerReference w:type="default" r:id="rId9"/>
      <w:footerReference w:type="default" r:id="rId10"/>
      <w:pgSz w:w="11907" w:h="16840" w:code="9"/>
      <w:pgMar w:top="1418" w:right="1418" w:bottom="992" w:left="1418" w:header="851"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A5110" w:rsidRDefault="004A5110">
      <w:r>
        <w:separator/>
      </w:r>
    </w:p>
  </w:endnote>
  <w:endnote w:type="continuationSeparator" w:id="0">
    <w:p w:rsidR="004A5110" w:rsidRDefault="004A511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 w:name="Arial">
    <w:panose1 w:val="020B0604020202020204"/>
    <w:charset w:val="EE"/>
    <w:family w:val="swiss"/>
    <w:pitch w:val="variable"/>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18567130"/>
      <w:docPartObj>
        <w:docPartGallery w:val="Page Numbers (Bottom of Page)"/>
        <w:docPartUnique/>
      </w:docPartObj>
    </w:sdtPr>
    <w:sdtEndPr>
      <w:rPr>
        <w:noProof/>
      </w:rPr>
    </w:sdtEndPr>
    <w:sdtContent>
      <w:p w:rsidR="007D0F78" w:rsidRDefault="007D0F78" w:rsidP="007D0F78">
        <w:pPr>
          <w:pStyle w:val="Footer"/>
          <w:pBdr>
            <w:top w:val="single" w:sz="4" w:space="1" w:color="auto"/>
          </w:pBdr>
          <w:jc w:val="right"/>
        </w:pPr>
        <w:r>
          <w:fldChar w:fldCharType="begin"/>
        </w:r>
        <w:r>
          <w:instrText xml:space="preserve"> PAGE   \* MERGEFORMAT </w:instrText>
        </w:r>
        <w:r>
          <w:fldChar w:fldCharType="separate"/>
        </w:r>
        <w:r w:rsidR="00D76CA5">
          <w:rPr>
            <w:noProof/>
          </w:rPr>
          <w:t>3</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A5110" w:rsidRDefault="004A5110">
      <w:r>
        <w:separator/>
      </w:r>
    </w:p>
  </w:footnote>
  <w:footnote w:type="continuationSeparator" w:id="0">
    <w:p w:rsidR="004A5110" w:rsidRDefault="004A511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A5110" w:rsidRDefault="004A5110" w:rsidP="00BA64AD">
    <w:pPr>
      <w:pStyle w:val="Header"/>
      <w:pBdr>
        <w:top w:val="single" w:sz="4" w:space="1" w:color="auto"/>
        <w:left w:val="single" w:sz="4" w:space="4" w:color="auto"/>
        <w:bottom w:val="single" w:sz="4" w:space="1" w:color="auto"/>
        <w:right w:val="single" w:sz="4" w:space="4" w:color="auto"/>
      </w:pBdr>
      <w:tabs>
        <w:tab w:val="clear" w:pos="4536"/>
        <w:tab w:val="left" w:pos="4111"/>
        <w:tab w:val="left" w:pos="6663"/>
      </w:tabs>
    </w:pPr>
    <w:bookmarkStart w:id="7" w:name="Business_name"/>
    <w:r>
      <w:t xml:space="preserve">Poznámky </w:t>
    </w:r>
    <w:proofErr w:type="spellStart"/>
    <w:r>
      <w:t>Úč</w:t>
    </w:r>
    <w:proofErr w:type="spellEnd"/>
    <w:r>
      <w:t xml:space="preserve"> POD 3-01</w:t>
    </w:r>
    <w:r>
      <w:tab/>
      <w:t xml:space="preserve">IČO: </w:t>
    </w:r>
    <w:r w:rsidRPr="00BA64AD">
      <w:t>44803443</w:t>
    </w:r>
    <w:r>
      <w:tab/>
      <w:t xml:space="preserve">DIČ: </w:t>
    </w:r>
    <w:r w:rsidRPr="00BA64AD">
      <w:t>2022848542</w:t>
    </w:r>
  </w:p>
  <w:p w:rsidR="004A5110" w:rsidRPr="0067003C" w:rsidRDefault="004A5110" w:rsidP="00C81150">
    <w:pPr>
      <w:pStyle w:val="Header"/>
    </w:pPr>
    <w:r>
      <w:t xml:space="preserve">Deloitte </w:t>
    </w:r>
    <w:proofErr w:type="spellStart"/>
    <w:r>
      <w:t>Security</w:t>
    </w:r>
    <w:proofErr w:type="spellEnd"/>
    <w:r>
      <w:t xml:space="preserve"> </w:t>
    </w:r>
    <w:bookmarkEnd w:id="7"/>
    <w:proofErr w:type="spellStart"/>
    <w:r>
      <w:t>s.r.o</w:t>
    </w:r>
    <w:proofErr w:type="spellEnd"/>
    <w:r>
      <w:t>.</w:t>
    </w:r>
  </w:p>
  <w:p w:rsidR="004A5110" w:rsidRDefault="004A5110" w:rsidP="00C81150">
    <w:pPr>
      <w:pStyle w:val="Header"/>
    </w:pPr>
    <w:r>
      <w:t>Poznámky individuálnej účtovnej závierky</w:t>
    </w:r>
  </w:p>
  <w:p w:rsidR="00627DA2" w:rsidRDefault="00627DA2" w:rsidP="00C81150">
    <w:pPr>
      <w:pStyle w:val="Header"/>
    </w:pPr>
    <w:r>
      <w:t>Zostavenej k 31. decembru 201</w:t>
    </w:r>
    <w:r w:rsidR="00815EC4">
      <w:t>7</w:t>
    </w:r>
  </w:p>
  <w:p w:rsidR="004A5110" w:rsidRDefault="004A5110" w:rsidP="00C81150">
    <w:pPr>
      <w:pStyle w:val="Header"/>
      <w:pBdr>
        <w:bottom w:val="single" w:sz="4" w:space="1" w:color="auto"/>
      </w:pBdr>
    </w:pPr>
    <w:r>
      <w:t>(údaje v tabuľkách sú uvedené v celých eurách, ak nie je uvedené inak)</w:t>
    </w:r>
  </w:p>
  <w:p w:rsidR="004A5110" w:rsidRDefault="004A5110" w:rsidP="00C8115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6F50910"/>
    <w:multiLevelType w:val="hybridMultilevel"/>
    <w:tmpl w:val="CF0A5BDA"/>
    <w:lvl w:ilvl="0" w:tplc="04090017">
      <w:start w:val="1"/>
      <w:numFmt w:val="lowerLetter"/>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B745EE9"/>
    <w:multiLevelType w:val="hybridMultilevel"/>
    <w:tmpl w:val="D602C0E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1CBD2565"/>
    <w:multiLevelType w:val="hybridMultilevel"/>
    <w:tmpl w:val="86B07C58"/>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25FC70A1"/>
    <w:multiLevelType w:val="hybridMultilevel"/>
    <w:tmpl w:val="35F07E9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30A30CE7"/>
    <w:multiLevelType w:val="hybridMultilevel"/>
    <w:tmpl w:val="649C3FE8"/>
    <w:lvl w:ilvl="0" w:tplc="031499EC">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AF2201D"/>
    <w:multiLevelType w:val="hybridMultilevel"/>
    <w:tmpl w:val="DA2C89CE"/>
    <w:lvl w:ilvl="0" w:tplc="81C25B0A">
      <w:start w:val="1"/>
      <w:numFmt w:val="bullet"/>
      <w:lvlText w:val=""/>
      <w:lvlJc w:val="left"/>
      <w:pPr>
        <w:tabs>
          <w:tab w:val="num" w:pos="539"/>
        </w:tabs>
        <w:ind w:left="539" w:hanging="539"/>
      </w:pPr>
      <w:rPr>
        <w:rFonts w:ascii="Symbol" w:hAnsi="Symbol" w:hint="default"/>
      </w:rPr>
    </w:lvl>
    <w:lvl w:ilvl="1" w:tplc="141EFF68">
      <w:numFmt w:val="bullet"/>
      <w:lvlText w:val="-"/>
      <w:lvlJc w:val="left"/>
      <w:pPr>
        <w:ind w:left="1440" w:hanging="360"/>
      </w:pPr>
      <w:rPr>
        <w:rFonts w:ascii="Verdana" w:eastAsia="Times New Roman" w:hAnsi="Verdana" w:cs="Times New Roman"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F107AB4"/>
    <w:multiLevelType w:val="multilevel"/>
    <w:tmpl w:val="B190736C"/>
    <w:lvl w:ilvl="0">
      <w:start w:val="1"/>
      <w:numFmt w:val="upperRoman"/>
      <w:pStyle w:val="Heading1"/>
      <w:lvlText w:val="%1."/>
      <w:lvlJc w:val="left"/>
      <w:pPr>
        <w:tabs>
          <w:tab w:val="num" w:pos="539"/>
        </w:tabs>
        <w:ind w:left="539" w:hanging="539"/>
      </w:pPr>
      <w:rPr>
        <w:rFonts w:hint="default"/>
      </w:rPr>
    </w:lvl>
    <w:lvl w:ilvl="1">
      <w:start w:val="1"/>
      <w:numFmt w:val="decimal"/>
      <w:pStyle w:val="Heading2"/>
      <w:lvlText w:val="%2."/>
      <w:lvlJc w:val="left"/>
      <w:pPr>
        <w:tabs>
          <w:tab w:val="num" w:pos="539"/>
        </w:tabs>
        <w:ind w:left="539" w:hanging="539"/>
      </w:pPr>
      <w:rPr>
        <w:rFonts w:hint="default"/>
      </w:rPr>
    </w:lvl>
    <w:lvl w:ilvl="2">
      <w:start w:val="1"/>
      <w:numFmt w:val="decimal"/>
      <w:pStyle w:val="Heading3"/>
      <w:lvlText w:val="%2.%3."/>
      <w:lvlJc w:val="left"/>
      <w:pPr>
        <w:tabs>
          <w:tab w:val="num" w:pos="539"/>
        </w:tabs>
        <w:ind w:left="539" w:hanging="539"/>
      </w:pPr>
      <w:rPr>
        <w:rFonts w:hint="default"/>
      </w:rPr>
    </w:lvl>
    <w:lvl w:ilvl="3">
      <w:start w:val="1"/>
      <w:numFmt w:val="decimal"/>
      <w:pStyle w:val="Heading4"/>
      <w:lvlText w:val="%2.%3.%4"/>
      <w:lvlJc w:val="left"/>
      <w:pPr>
        <w:tabs>
          <w:tab w:val="num" w:pos="539"/>
        </w:tabs>
        <w:ind w:left="539" w:hanging="539"/>
      </w:pPr>
      <w:rPr>
        <w:rFonts w:hint="default"/>
      </w:rPr>
    </w:lvl>
    <w:lvl w:ilvl="4">
      <w:start w:val="1"/>
      <w:numFmt w:val="decimal"/>
      <w:pStyle w:val="Heading5"/>
      <w:lvlText w:val="%1.%2.%3.%4.%5"/>
      <w:lvlJc w:val="left"/>
      <w:pPr>
        <w:tabs>
          <w:tab w:val="num" w:pos="1008"/>
        </w:tabs>
        <w:ind w:left="1008" w:hanging="1008"/>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abstractNum w:abstractNumId="12" w15:restartNumberingAfterBreak="0">
    <w:nsid w:val="42503F27"/>
    <w:multiLevelType w:val="hybridMultilevel"/>
    <w:tmpl w:val="1CBE1854"/>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3E364DF"/>
    <w:multiLevelType w:val="hybridMultilevel"/>
    <w:tmpl w:val="121075B2"/>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F9526CA"/>
    <w:multiLevelType w:val="hybridMultilevel"/>
    <w:tmpl w:val="838E7776"/>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697573FB"/>
    <w:multiLevelType w:val="hybridMultilevel"/>
    <w:tmpl w:val="66ECEE68"/>
    <w:lvl w:ilvl="0" w:tplc="04090017">
      <w:start w:val="1"/>
      <w:numFmt w:val="lowerLetter"/>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6"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6"/>
  </w:num>
  <w:num w:numId="2">
    <w:abstractNumId w:val="2"/>
  </w:num>
  <w:num w:numId="3">
    <w:abstractNumId w:val="16"/>
  </w:num>
  <w:num w:numId="4">
    <w:abstractNumId w:val="0"/>
  </w:num>
  <w:num w:numId="5">
    <w:abstractNumId w:val="7"/>
  </w:num>
  <w:num w:numId="6">
    <w:abstractNumId w:val="17"/>
  </w:num>
  <w:num w:numId="7">
    <w:abstractNumId w:val="3"/>
  </w:num>
  <w:num w:numId="8">
    <w:abstractNumId w:val="10"/>
  </w:num>
  <w:num w:numId="9">
    <w:abstractNumId w:val="13"/>
  </w:num>
  <w:num w:numId="10">
    <w:abstractNumId w:val="12"/>
  </w:num>
  <w:num w:numId="11">
    <w:abstractNumId w:val="1"/>
  </w:num>
  <w:num w:numId="12">
    <w:abstractNumId w:val="15"/>
  </w:num>
  <w:num w:numId="13">
    <w:abstractNumId w:val="5"/>
  </w:num>
  <w:num w:numId="14">
    <w:abstractNumId w:val="4"/>
  </w:num>
  <w:num w:numId="15">
    <w:abstractNumId w:val="14"/>
  </w:num>
  <w:num w:numId="16">
    <w:abstractNumId w:val="8"/>
  </w:num>
  <w:num w:numId="17">
    <w:abstractNumId w:val="9"/>
  </w:num>
  <w:num w:numId="18">
    <w:abstractNumId w:val="11"/>
  </w:num>
  <w:num w:numId="19">
    <w:abstractNumId w:val="11"/>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1150"/>
    <w:rsid w:val="000003CC"/>
    <w:rsid w:val="000006C1"/>
    <w:rsid w:val="00001636"/>
    <w:rsid w:val="0000253C"/>
    <w:rsid w:val="000042DC"/>
    <w:rsid w:val="000051FC"/>
    <w:rsid w:val="00011C99"/>
    <w:rsid w:val="000143B4"/>
    <w:rsid w:val="000152FD"/>
    <w:rsid w:val="00015718"/>
    <w:rsid w:val="00025E11"/>
    <w:rsid w:val="0003554D"/>
    <w:rsid w:val="0003701A"/>
    <w:rsid w:val="000413F6"/>
    <w:rsid w:val="00042DF7"/>
    <w:rsid w:val="00042E14"/>
    <w:rsid w:val="000505CF"/>
    <w:rsid w:val="00056876"/>
    <w:rsid w:val="00061A44"/>
    <w:rsid w:val="00066AED"/>
    <w:rsid w:val="000670A7"/>
    <w:rsid w:val="00072D4F"/>
    <w:rsid w:val="00086A37"/>
    <w:rsid w:val="000923F2"/>
    <w:rsid w:val="000A3022"/>
    <w:rsid w:val="000B638D"/>
    <w:rsid w:val="000C1342"/>
    <w:rsid w:val="000C3965"/>
    <w:rsid w:val="000C559C"/>
    <w:rsid w:val="000C6D1B"/>
    <w:rsid w:val="000D051D"/>
    <w:rsid w:val="000D4339"/>
    <w:rsid w:val="000D6844"/>
    <w:rsid w:val="000D7DAD"/>
    <w:rsid w:val="000E123F"/>
    <w:rsid w:val="000E1EAB"/>
    <w:rsid w:val="000E2CA7"/>
    <w:rsid w:val="000E4315"/>
    <w:rsid w:val="000E4F8E"/>
    <w:rsid w:val="000F2546"/>
    <w:rsid w:val="000F3C33"/>
    <w:rsid w:val="000F3D4D"/>
    <w:rsid w:val="000F63F1"/>
    <w:rsid w:val="00100B64"/>
    <w:rsid w:val="00101342"/>
    <w:rsid w:val="00111C30"/>
    <w:rsid w:val="00113235"/>
    <w:rsid w:val="001145C2"/>
    <w:rsid w:val="00121FD2"/>
    <w:rsid w:val="00123B6F"/>
    <w:rsid w:val="001240E4"/>
    <w:rsid w:val="0013020B"/>
    <w:rsid w:val="001343A4"/>
    <w:rsid w:val="00134D0C"/>
    <w:rsid w:val="001354FB"/>
    <w:rsid w:val="00140952"/>
    <w:rsid w:val="00142157"/>
    <w:rsid w:val="001440A4"/>
    <w:rsid w:val="00150CFF"/>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7794"/>
    <w:rsid w:val="0021323C"/>
    <w:rsid w:val="00214BAA"/>
    <w:rsid w:val="0021575F"/>
    <w:rsid w:val="0021576C"/>
    <w:rsid w:val="002162B9"/>
    <w:rsid w:val="00223A9A"/>
    <w:rsid w:val="00224555"/>
    <w:rsid w:val="00234DAD"/>
    <w:rsid w:val="00234DD8"/>
    <w:rsid w:val="0024441D"/>
    <w:rsid w:val="002543B4"/>
    <w:rsid w:val="002551CB"/>
    <w:rsid w:val="00256108"/>
    <w:rsid w:val="002643ED"/>
    <w:rsid w:val="002647F4"/>
    <w:rsid w:val="00264D66"/>
    <w:rsid w:val="00271FCD"/>
    <w:rsid w:val="002747FF"/>
    <w:rsid w:val="00276E90"/>
    <w:rsid w:val="00280586"/>
    <w:rsid w:val="0028631C"/>
    <w:rsid w:val="002926EC"/>
    <w:rsid w:val="00295DB1"/>
    <w:rsid w:val="002966BD"/>
    <w:rsid w:val="002A472F"/>
    <w:rsid w:val="002A48FC"/>
    <w:rsid w:val="002B1694"/>
    <w:rsid w:val="002C2DC7"/>
    <w:rsid w:val="002C6F9D"/>
    <w:rsid w:val="002D03DC"/>
    <w:rsid w:val="002D055E"/>
    <w:rsid w:val="002E19BA"/>
    <w:rsid w:val="002E2DB5"/>
    <w:rsid w:val="002E3044"/>
    <w:rsid w:val="002E3D80"/>
    <w:rsid w:val="002E5681"/>
    <w:rsid w:val="002E7573"/>
    <w:rsid w:val="002E7E87"/>
    <w:rsid w:val="002F055A"/>
    <w:rsid w:val="002F1A8A"/>
    <w:rsid w:val="002F34E7"/>
    <w:rsid w:val="002F583C"/>
    <w:rsid w:val="002F78A4"/>
    <w:rsid w:val="002F7F37"/>
    <w:rsid w:val="00306504"/>
    <w:rsid w:val="00310224"/>
    <w:rsid w:val="0031154A"/>
    <w:rsid w:val="0032199B"/>
    <w:rsid w:val="00321F75"/>
    <w:rsid w:val="00330565"/>
    <w:rsid w:val="00330AB2"/>
    <w:rsid w:val="00332B4B"/>
    <w:rsid w:val="003407DC"/>
    <w:rsid w:val="00354434"/>
    <w:rsid w:val="00354E22"/>
    <w:rsid w:val="00363B4A"/>
    <w:rsid w:val="00366100"/>
    <w:rsid w:val="003661CA"/>
    <w:rsid w:val="0037364A"/>
    <w:rsid w:val="0038564B"/>
    <w:rsid w:val="00387CFF"/>
    <w:rsid w:val="00391E6D"/>
    <w:rsid w:val="00394CF8"/>
    <w:rsid w:val="003A28A0"/>
    <w:rsid w:val="003A347B"/>
    <w:rsid w:val="003A3648"/>
    <w:rsid w:val="003A3754"/>
    <w:rsid w:val="003A3E62"/>
    <w:rsid w:val="003A661C"/>
    <w:rsid w:val="003A6DD6"/>
    <w:rsid w:val="003A7362"/>
    <w:rsid w:val="003B1448"/>
    <w:rsid w:val="003B34EF"/>
    <w:rsid w:val="003B365C"/>
    <w:rsid w:val="003B3C94"/>
    <w:rsid w:val="003B4AB0"/>
    <w:rsid w:val="003C032B"/>
    <w:rsid w:val="003C12E4"/>
    <w:rsid w:val="003C309E"/>
    <w:rsid w:val="003C60C9"/>
    <w:rsid w:val="003D0CC4"/>
    <w:rsid w:val="003D74FC"/>
    <w:rsid w:val="003D76C3"/>
    <w:rsid w:val="003E168C"/>
    <w:rsid w:val="003F0FCA"/>
    <w:rsid w:val="003F1C6A"/>
    <w:rsid w:val="003F20D8"/>
    <w:rsid w:val="00401CA3"/>
    <w:rsid w:val="004032CB"/>
    <w:rsid w:val="00405A94"/>
    <w:rsid w:val="00410D92"/>
    <w:rsid w:val="0041301E"/>
    <w:rsid w:val="00414800"/>
    <w:rsid w:val="00414BEA"/>
    <w:rsid w:val="00416D85"/>
    <w:rsid w:val="00417846"/>
    <w:rsid w:val="004222FE"/>
    <w:rsid w:val="00424C87"/>
    <w:rsid w:val="00425DB7"/>
    <w:rsid w:val="00425F00"/>
    <w:rsid w:val="0043110A"/>
    <w:rsid w:val="00432F9A"/>
    <w:rsid w:val="004431DF"/>
    <w:rsid w:val="00447B2C"/>
    <w:rsid w:val="00452F10"/>
    <w:rsid w:val="00453985"/>
    <w:rsid w:val="004570ED"/>
    <w:rsid w:val="004654CD"/>
    <w:rsid w:val="00465890"/>
    <w:rsid w:val="00465E18"/>
    <w:rsid w:val="00466E19"/>
    <w:rsid w:val="00470A91"/>
    <w:rsid w:val="0047390C"/>
    <w:rsid w:val="00473947"/>
    <w:rsid w:val="00477E08"/>
    <w:rsid w:val="004816DC"/>
    <w:rsid w:val="00487854"/>
    <w:rsid w:val="00491B66"/>
    <w:rsid w:val="004964F5"/>
    <w:rsid w:val="004A16BD"/>
    <w:rsid w:val="004A1F58"/>
    <w:rsid w:val="004A273B"/>
    <w:rsid w:val="004A40D5"/>
    <w:rsid w:val="004A4A5A"/>
    <w:rsid w:val="004A4D49"/>
    <w:rsid w:val="004A5110"/>
    <w:rsid w:val="004B5701"/>
    <w:rsid w:val="004B7838"/>
    <w:rsid w:val="004C09F3"/>
    <w:rsid w:val="004C2171"/>
    <w:rsid w:val="004D02DC"/>
    <w:rsid w:val="004D3F16"/>
    <w:rsid w:val="004D4CB4"/>
    <w:rsid w:val="004E1ADB"/>
    <w:rsid w:val="004E40B8"/>
    <w:rsid w:val="004F21FD"/>
    <w:rsid w:val="004F4E7B"/>
    <w:rsid w:val="004F5290"/>
    <w:rsid w:val="005009EF"/>
    <w:rsid w:val="00502A51"/>
    <w:rsid w:val="00502FB9"/>
    <w:rsid w:val="00507587"/>
    <w:rsid w:val="00511BA5"/>
    <w:rsid w:val="00511DA2"/>
    <w:rsid w:val="00514ACD"/>
    <w:rsid w:val="00516FB6"/>
    <w:rsid w:val="00517F4D"/>
    <w:rsid w:val="00520F36"/>
    <w:rsid w:val="00530F08"/>
    <w:rsid w:val="0053243B"/>
    <w:rsid w:val="0054112A"/>
    <w:rsid w:val="00541E0A"/>
    <w:rsid w:val="00542472"/>
    <w:rsid w:val="00542B27"/>
    <w:rsid w:val="0055258C"/>
    <w:rsid w:val="005533C4"/>
    <w:rsid w:val="005601EC"/>
    <w:rsid w:val="00566707"/>
    <w:rsid w:val="005703C3"/>
    <w:rsid w:val="005747D1"/>
    <w:rsid w:val="00576D18"/>
    <w:rsid w:val="00577700"/>
    <w:rsid w:val="00583EE0"/>
    <w:rsid w:val="00584733"/>
    <w:rsid w:val="00584EA1"/>
    <w:rsid w:val="00584F0C"/>
    <w:rsid w:val="00585041"/>
    <w:rsid w:val="00585AA8"/>
    <w:rsid w:val="00590F0A"/>
    <w:rsid w:val="00594311"/>
    <w:rsid w:val="0059698B"/>
    <w:rsid w:val="00596D07"/>
    <w:rsid w:val="005A27E3"/>
    <w:rsid w:val="005A5BEE"/>
    <w:rsid w:val="005B2929"/>
    <w:rsid w:val="005B36DD"/>
    <w:rsid w:val="005B4A69"/>
    <w:rsid w:val="005B5695"/>
    <w:rsid w:val="005B57EA"/>
    <w:rsid w:val="005B6728"/>
    <w:rsid w:val="005C21A4"/>
    <w:rsid w:val="005C501F"/>
    <w:rsid w:val="005D447B"/>
    <w:rsid w:val="005D55FF"/>
    <w:rsid w:val="005E055A"/>
    <w:rsid w:val="005E121C"/>
    <w:rsid w:val="005E41B9"/>
    <w:rsid w:val="005F07B4"/>
    <w:rsid w:val="005F1651"/>
    <w:rsid w:val="005F2E78"/>
    <w:rsid w:val="00603BE4"/>
    <w:rsid w:val="00607D6C"/>
    <w:rsid w:val="00610D50"/>
    <w:rsid w:val="00612589"/>
    <w:rsid w:val="00614C42"/>
    <w:rsid w:val="006150D4"/>
    <w:rsid w:val="00615A60"/>
    <w:rsid w:val="006204AE"/>
    <w:rsid w:val="00621694"/>
    <w:rsid w:val="00626BD5"/>
    <w:rsid w:val="00626E98"/>
    <w:rsid w:val="00627DA2"/>
    <w:rsid w:val="00630717"/>
    <w:rsid w:val="006307C8"/>
    <w:rsid w:val="00634E56"/>
    <w:rsid w:val="00636A8D"/>
    <w:rsid w:val="006373DA"/>
    <w:rsid w:val="00640E59"/>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A0231"/>
    <w:rsid w:val="006A1CBA"/>
    <w:rsid w:val="006A3131"/>
    <w:rsid w:val="006A3DAC"/>
    <w:rsid w:val="006A3DE7"/>
    <w:rsid w:val="006A49A3"/>
    <w:rsid w:val="006B0885"/>
    <w:rsid w:val="006B4DBD"/>
    <w:rsid w:val="006B51F8"/>
    <w:rsid w:val="006B53A8"/>
    <w:rsid w:val="006B5EF7"/>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E9D"/>
    <w:rsid w:val="00720951"/>
    <w:rsid w:val="00725C93"/>
    <w:rsid w:val="0073254A"/>
    <w:rsid w:val="0073354C"/>
    <w:rsid w:val="00736B44"/>
    <w:rsid w:val="00741BCD"/>
    <w:rsid w:val="0074448F"/>
    <w:rsid w:val="00747C59"/>
    <w:rsid w:val="00750790"/>
    <w:rsid w:val="00751283"/>
    <w:rsid w:val="00751B5B"/>
    <w:rsid w:val="0075466C"/>
    <w:rsid w:val="00754810"/>
    <w:rsid w:val="007606BC"/>
    <w:rsid w:val="00760EE4"/>
    <w:rsid w:val="00762454"/>
    <w:rsid w:val="00765A18"/>
    <w:rsid w:val="00767A6E"/>
    <w:rsid w:val="00771B59"/>
    <w:rsid w:val="007722F9"/>
    <w:rsid w:val="00772CCA"/>
    <w:rsid w:val="00774339"/>
    <w:rsid w:val="0077630B"/>
    <w:rsid w:val="007829D0"/>
    <w:rsid w:val="0078504A"/>
    <w:rsid w:val="00787F5D"/>
    <w:rsid w:val="00793B10"/>
    <w:rsid w:val="007978F7"/>
    <w:rsid w:val="007A1D05"/>
    <w:rsid w:val="007A1F27"/>
    <w:rsid w:val="007A3FCA"/>
    <w:rsid w:val="007A4E31"/>
    <w:rsid w:val="007B0036"/>
    <w:rsid w:val="007B357C"/>
    <w:rsid w:val="007C3562"/>
    <w:rsid w:val="007C439E"/>
    <w:rsid w:val="007C4C15"/>
    <w:rsid w:val="007C6D77"/>
    <w:rsid w:val="007C73DF"/>
    <w:rsid w:val="007D06E6"/>
    <w:rsid w:val="007D0F78"/>
    <w:rsid w:val="007D27F2"/>
    <w:rsid w:val="007D3F5B"/>
    <w:rsid w:val="007D506E"/>
    <w:rsid w:val="007D6303"/>
    <w:rsid w:val="007D6C8D"/>
    <w:rsid w:val="007D77C0"/>
    <w:rsid w:val="007E1978"/>
    <w:rsid w:val="007E619C"/>
    <w:rsid w:val="007F1711"/>
    <w:rsid w:val="007F2B64"/>
    <w:rsid w:val="007F6E27"/>
    <w:rsid w:val="007F7D0E"/>
    <w:rsid w:val="008000C6"/>
    <w:rsid w:val="00801D76"/>
    <w:rsid w:val="00802D05"/>
    <w:rsid w:val="0080344C"/>
    <w:rsid w:val="0081477F"/>
    <w:rsid w:val="00815EC4"/>
    <w:rsid w:val="008177C9"/>
    <w:rsid w:val="0081796B"/>
    <w:rsid w:val="00824C92"/>
    <w:rsid w:val="008300FE"/>
    <w:rsid w:val="00831E06"/>
    <w:rsid w:val="00837CD1"/>
    <w:rsid w:val="00842042"/>
    <w:rsid w:val="00845108"/>
    <w:rsid w:val="00853C59"/>
    <w:rsid w:val="00853D7D"/>
    <w:rsid w:val="008561C1"/>
    <w:rsid w:val="00857755"/>
    <w:rsid w:val="00862276"/>
    <w:rsid w:val="00862487"/>
    <w:rsid w:val="008634D1"/>
    <w:rsid w:val="00864105"/>
    <w:rsid w:val="00864B7A"/>
    <w:rsid w:val="00866CFF"/>
    <w:rsid w:val="008711DF"/>
    <w:rsid w:val="00877449"/>
    <w:rsid w:val="008774FE"/>
    <w:rsid w:val="00886F6B"/>
    <w:rsid w:val="008902A0"/>
    <w:rsid w:val="008910E5"/>
    <w:rsid w:val="00892FA3"/>
    <w:rsid w:val="00893E2E"/>
    <w:rsid w:val="00894947"/>
    <w:rsid w:val="00894E0B"/>
    <w:rsid w:val="00897554"/>
    <w:rsid w:val="008979A0"/>
    <w:rsid w:val="008A57B0"/>
    <w:rsid w:val="008A7CEF"/>
    <w:rsid w:val="008B2F92"/>
    <w:rsid w:val="008B33B1"/>
    <w:rsid w:val="008B6566"/>
    <w:rsid w:val="008B77F4"/>
    <w:rsid w:val="008C287B"/>
    <w:rsid w:val="008C4F2A"/>
    <w:rsid w:val="008C598A"/>
    <w:rsid w:val="008D2542"/>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0A0E"/>
    <w:rsid w:val="00923489"/>
    <w:rsid w:val="00932E9E"/>
    <w:rsid w:val="00933086"/>
    <w:rsid w:val="00936F55"/>
    <w:rsid w:val="00941D7F"/>
    <w:rsid w:val="0094772F"/>
    <w:rsid w:val="00950360"/>
    <w:rsid w:val="00951D53"/>
    <w:rsid w:val="009579CD"/>
    <w:rsid w:val="00957CE4"/>
    <w:rsid w:val="00960012"/>
    <w:rsid w:val="0096189C"/>
    <w:rsid w:val="009629A8"/>
    <w:rsid w:val="0096300B"/>
    <w:rsid w:val="00965C8E"/>
    <w:rsid w:val="00974390"/>
    <w:rsid w:val="00976E6D"/>
    <w:rsid w:val="0098481C"/>
    <w:rsid w:val="0098634D"/>
    <w:rsid w:val="00990976"/>
    <w:rsid w:val="009934F6"/>
    <w:rsid w:val="00996F4A"/>
    <w:rsid w:val="00997723"/>
    <w:rsid w:val="009B006E"/>
    <w:rsid w:val="009B2C12"/>
    <w:rsid w:val="009B5601"/>
    <w:rsid w:val="009C239A"/>
    <w:rsid w:val="009C4F06"/>
    <w:rsid w:val="009D18F8"/>
    <w:rsid w:val="009D5AA8"/>
    <w:rsid w:val="009D64A1"/>
    <w:rsid w:val="009D6B8B"/>
    <w:rsid w:val="009E051F"/>
    <w:rsid w:val="009E172B"/>
    <w:rsid w:val="009F4036"/>
    <w:rsid w:val="009F6044"/>
    <w:rsid w:val="009F7FD4"/>
    <w:rsid w:val="00A04E0D"/>
    <w:rsid w:val="00A0722C"/>
    <w:rsid w:val="00A109AB"/>
    <w:rsid w:val="00A10FFF"/>
    <w:rsid w:val="00A113C2"/>
    <w:rsid w:val="00A12EDC"/>
    <w:rsid w:val="00A1305F"/>
    <w:rsid w:val="00A228D3"/>
    <w:rsid w:val="00A25A3F"/>
    <w:rsid w:val="00A313C2"/>
    <w:rsid w:val="00A32384"/>
    <w:rsid w:val="00A33809"/>
    <w:rsid w:val="00A33AF8"/>
    <w:rsid w:val="00A33FE8"/>
    <w:rsid w:val="00A35C6F"/>
    <w:rsid w:val="00A36CCE"/>
    <w:rsid w:val="00A372D1"/>
    <w:rsid w:val="00A37DB2"/>
    <w:rsid w:val="00A40BD1"/>
    <w:rsid w:val="00A45117"/>
    <w:rsid w:val="00A6041A"/>
    <w:rsid w:val="00A636C0"/>
    <w:rsid w:val="00A72794"/>
    <w:rsid w:val="00A7586B"/>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76D6"/>
    <w:rsid w:val="00AC79A3"/>
    <w:rsid w:val="00AD2025"/>
    <w:rsid w:val="00AD2CE4"/>
    <w:rsid w:val="00AD4EB2"/>
    <w:rsid w:val="00AD4EC6"/>
    <w:rsid w:val="00AE0171"/>
    <w:rsid w:val="00AE66CD"/>
    <w:rsid w:val="00AE7683"/>
    <w:rsid w:val="00AF17E8"/>
    <w:rsid w:val="00B03F2A"/>
    <w:rsid w:val="00B068A1"/>
    <w:rsid w:val="00B0734A"/>
    <w:rsid w:val="00B07A2F"/>
    <w:rsid w:val="00B1271B"/>
    <w:rsid w:val="00B17212"/>
    <w:rsid w:val="00B205EB"/>
    <w:rsid w:val="00B22433"/>
    <w:rsid w:val="00B23E54"/>
    <w:rsid w:val="00B2482F"/>
    <w:rsid w:val="00B26F12"/>
    <w:rsid w:val="00B3242B"/>
    <w:rsid w:val="00B33F31"/>
    <w:rsid w:val="00B347AF"/>
    <w:rsid w:val="00B36520"/>
    <w:rsid w:val="00B40F3C"/>
    <w:rsid w:val="00B4459D"/>
    <w:rsid w:val="00B451A4"/>
    <w:rsid w:val="00B475A1"/>
    <w:rsid w:val="00B52CAC"/>
    <w:rsid w:val="00B53B39"/>
    <w:rsid w:val="00B53E59"/>
    <w:rsid w:val="00B54C9D"/>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3F19"/>
    <w:rsid w:val="00BA4FAE"/>
    <w:rsid w:val="00BA64AD"/>
    <w:rsid w:val="00BA7C82"/>
    <w:rsid w:val="00BA7CF0"/>
    <w:rsid w:val="00BB6317"/>
    <w:rsid w:val="00BC235F"/>
    <w:rsid w:val="00BC279C"/>
    <w:rsid w:val="00BC4495"/>
    <w:rsid w:val="00BC6197"/>
    <w:rsid w:val="00BD0DDB"/>
    <w:rsid w:val="00BD2A15"/>
    <w:rsid w:val="00BE09FD"/>
    <w:rsid w:val="00BE4B4E"/>
    <w:rsid w:val="00BE6F6C"/>
    <w:rsid w:val="00BF0B0D"/>
    <w:rsid w:val="00BF1666"/>
    <w:rsid w:val="00BF238A"/>
    <w:rsid w:val="00BF2474"/>
    <w:rsid w:val="00C003E1"/>
    <w:rsid w:val="00C26A76"/>
    <w:rsid w:val="00C27954"/>
    <w:rsid w:val="00C30539"/>
    <w:rsid w:val="00C3176E"/>
    <w:rsid w:val="00C3474D"/>
    <w:rsid w:val="00C40A7A"/>
    <w:rsid w:val="00C440BC"/>
    <w:rsid w:val="00C44CEF"/>
    <w:rsid w:val="00C45CC6"/>
    <w:rsid w:val="00C46514"/>
    <w:rsid w:val="00C46863"/>
    <w:rsid w:val="00C509EB"/>
    <w:rsid w:val="00C52692"/>
    <w:rsid w:val="00C55985"/>
    <w:rsid w:val="00C60C6A"/>
    <w:rsid w:val="00C67296"/>
    <w:rsid w:val="00C700F1"/>
    <w:rsid w:val="00C75CC2"/>
    <w:rsid w:val="00C81150"/>
    <w:rsid w:val="00C857F9"/>
    <w:rsid w:val="00C9186D"/>
    <w:rsid w:val="00C9225A"/>
    <w:rsid w:val="00C931C5"/>
    <w:rsid w:val="00C96ACD"/>
    <w:rsid w:val="00CA36AE"/>
    <w:rsid w:val="00CA6376"/>
    <w:rsid w:val="00CB1400"/>
    <w:rsid w:val="00CB407B"/>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6902"/>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1407"/>
    <w:rsid w:val="00D3184D"/>
    <w:rsid w:val="00D3502A"/>
    <w:rsid w:val="00D473B3"/>
    <w:rsid w:val="00D50748"/>
    <w:rsid w:val="00D52BC7"/>
    <w:rsid w:val="00D52EBB"/>
    <w:rsid w:val="00D55A35"/>
    <w:rsid w:val="00D5663A"/>
    <w:rsid w:val="00D56AC4"/>
    <w:rsid w:val="00D56BE5"/>
    <w:rsid w:val="00D60195"/>
    <w:rsid w:val="00D6067B"/>
    <w:rsid w:val="00D61E51"/>
    <w:rsid w:val="00D636A0"/>
    <w:rsid w:val="00D636E6"/>
    <w:rsid w:val="00D64CF3"/>
    <w:rsid w:val="00D650AD"/>
    <w:rsid w:val="00D71A36"/>
    <w:rsid w:val="00D7273D"/>
    <w:rsid w:val="00D728CA"/>
    <w:rsid w:val="00D76CA5"/>
    <w:rsid w:val="00D7744D"/>
    <w:rsid w:val="00D80980"/>
    <w:rsid w:val="00D85570"/>
    <w:rsid w:val="00D86E50"/>
    <w:rsid w:val="00D87F4B"/>
    <w:rsid w:val="00D92750"/>
    <w:rsid w:val="00D9771A"/>
    <w:rsid w:val="00DA178A"/>
    <w:rsid w:val="00DA1C62"/>
    <w:rsid w:val="00DA1DC1"/>
    <w:rsid w:val="00DA25D7"/>
    <w:rsid w:val="00DA7B78"/>
    <w:rsid w:val="00DB07AE"/>
    <w:rsid w:val="00DB09BD"/>
    <w:rsid w:val="00DB2CCC"/>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28E"/>
    <w:rsid w:val="00DF3A12"/>
    <w:rsid w:val="00E039FD"/>
    <w:rsid w:val="00E11848"/>
    <w:rsid w:val="00E124C6"/>
    <w:rsid w:val="00E127D2"/>
    <w:rsid w:val="00E17966"/>
    <w:rsid w:val="00E20BD8"/>
    <w:rsid w:val="00E23991"/>
    <w:rsid w:val="00E239D6"/>
    <w:rsid w:val="00E26668"/>
    <w:rsid w:val="00E26A6C"/>
    <w:rsid w:val="00E301B7"/>
    <w:rsid w:val="00E3502B"/>
    <w:rsid w:val="00E40DFC"/>
    <w:rsid w:val="00E41CDD"/>
    <w:rsid w:val="00E428E0"/>
    <w:rsid w:val="00E4714A"/>
    <w:rsid w:val="00E51641"/>
    <w:rsid w:val="00E52727"/>
    <w:rsid w:val="00E60EEA"/>
    <w:rsid w:val="00E650B1"/>
    <w:rsid w:val="00E65E15"/>
    <w:rsid w:val="00E662BA"/>
    <w:rsid w:val="00E82A4D"/>
    <w:rsid w:val="00E843C6"/>
    <w:rsid w:val="00E86226"/>
    <w:rsid w:val="00E865D4"/>
    <w:rsid w:val="00E9254D"/>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E084E"/>
    <w:rsid w:val="00EE359A"/>
    <w:rsid w:val="00EE3813"/>
    <w:rsid w:val="00EE4F99"/>
    <w:rsid w:val="00EF395A"/>
    <w:rsid w:val="00EF4646"/>
    <w:rsid w:val="00EF58B3"/>
    <w:rsid w:val="00F01A8D"/>
    <w:rsid w:val="00F03CF6"/>
    <w:rsid w:val="00F05C9B"/>
    <w:rsid w:val="00F07EBB"/>
    <w:rsid w:val="00F15EDB"/>
    <w:rsid w:val="00F15FC0"/>
    <w:rsid w:val="00F20FAF"/>
    <w:rsid w:val="00F21631"/>
    <w:rsid w:val="00F228D0"/>
    <w:rsid w:val="00F2393E"/>
    <w:rsid w:val="00F23A47"/>
    <w:rsid w:val="00F246DF"/>
    <w:rsid w:val="00F33229"/>
    <w:rsid w:val="00F3588F"/>
    <w:rsid w:val="00F35AF5"/>
    <w:rsid w:val="00F42AEA"/>
    <w:rsid w:val="00F44D28"/>
    <w:rsid w:val="00F4557C"/>
    <w:rsid w:val="00F46EBA"/>
    <w:rsid w:val="00F47951"/>
    <w:rsid w:val="00F50A57"/>
    <w:rsid w:val="00F54E9A"/>
    <w:rsid w:val="00F67CDD"/>
    <w:rsid w:val="00F706DC"/>
    <w:rsid w:val="00F827BE"/>
    <w:rsid w:val="00F84B9C"/>
    <w:rsid w:val="00F86E37"/>
    <w:rsid w:val="00F875F2"/>
    <w:rsid w:val="00F905D6"/>
    <w:rsid w:val="00F9198E"/>
    <w:rsid w:val="00F91FDE"/>
    <w:rsid w:val="00F92BD2"/>
    <w:rsid w:val="00F95790"/>
    <w:rsid w:val="00F97804"/>
    <w:rsid w:val="00FA14D4"/>
    <w:rsid w:val="00FA281F"/>
    <w:rsid w:val="00FA29C0"/>
    <w:rsid w:val="00FA3971"/>
    <w:rsid w:val="00FA49F7"/>
    <w:rsid w:val="00FB01DC"/>
    <w:rsid w:val="00FB19B5"/>
    <w:rsid w:val="00FB26B6"/>
    <w:rsid w:val="00FB77AB"/>
    <w:rsid w:val="00FC59AC"/>
    <w:rsid w:val="00FC5BA7"/>
    <w:rsid w:val="00FD1CE3"/>
    <w:rsid w:val="00FD4DFC"/>
    <w:rsid w:val="00FD573A"/>
    <w:rsid w:val="00FD610B"/>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529"/>
    <o:shapelayout v:ext="edit">
      <o:idmap v:ext="edit" data="1"/>
    </o:shapelayout>
  </w:shapeDefaults>
  <w:decimalSymbol w:val="."/>
  <w:listSeparator w:val=","/>
  <w14:docId w14:val="54BED245"/>
  <w15:docId w15:val="{67EF3F8C-9326-41A9-8CD0-4D8FF0CB8A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A3F19"/>
    <w:pPr>
      <w:jc w:val="both"/>
    </w:pPr>
    <w:rPr>
      <w:rFonts w:ascii="Verdana" w:hAnsi="Verdana"/>
      <w:sz w:val="17"/>
    </w:rPr>
  </w:style>
  <w:style w:type="paragraph" w:styleId="Heading1">
    <w:name w:val="heading 1"/>
    <w:basedOn w:val="Normal"/>
    <w:next w:val="Normal"/>
    <w:qFormat/>
    <w:rsid w:val="00BA3F19"/>
    <w:pPr>
      <w:keepNext/>
      <w:numPr>
        <w:numId w:val="18"/>
      </w:numPr>
      <w:outlineLvl w:val="0"/>
    </w:pPr>
    <w:rPr>
      <w:rFonts w:cs="Arial"/>
      <w:b/>
      <w:bCs/>
      <w:caps/>
      <w:kern w:val="32"/>
      <w:sz w:val="18"/>
      <w:szCs w:val="32"/>
      <w:u w:val="single"/>
    </w:rPr>
  </w:style>
  <w:style w:type="paragraph" w:styleId="Heading2">
    <w:name w:val="heading 2"/>
    <w:basedOn w:val="Normal"/>
    <w:next w:val="Normal"/>
    <w:qFormat/>
    <w:rsid w:val="00BA3F19"/>
    <w:pPr>
      <w:keepNext/>
      <w:numPr>
        <w:ilvl w:val="1"/>
        <w:numId w:val="18"/>
      </w:numPr>
      <w:outlineLvl w:val="1"/>
    </w:pPr>
    <w:rPr>
      <w:rFonts w:cs="Arial"/>
      <w:b/>
      <w:bCs/>
      <w:iCs/>
      <w:szCs w:val="28"/>
    </w:rPr>
  </w:style>
  <w:style w:type="paragraph" w:styleId="Heading3">
    <w:name w:val="heading 3"/>
    <w:basedOn w:val="Normal"/>
    <w:next w:val="Normal"/>
    <w:qFormat/>
    <w:rsid w:val="00BA3F19"/>
    <w:pPr>
      <w:keepNext/>
      <w:numPr>
        <w:ilvl w:val="2"/>
        <w:numId w:val="18"/>
      </w:numPr>
      <w:outlineLvl w:val="2"/>
    </w:pPr>
    <w:rPr>
      <w:rFonts w:cs="Arial"/>
      <w:bCs/>
      <w:szCs w:val="26"/>
      <w:u w:val="single"/>
    </w:rPr>
  </w:style>
  <w:style w:type="paragraph" w:styleId="Heading4">
    <w:name w:val="heading 4"/>
    <w:basedOn w:val="Normal"/>
    <w:next w:val="Normal"/>
    <w:qFormat/>
    <w:rsid w:val="00BA3F19"/>
    <w:pPr>
      <w:keepNext/>
      <w:numPr>
        <w:ilvl w:val="3"/>
        <w:numId w:val="18"/>
      </w:numPr>
      <w:outlineLvl w:val="3"/>
    </w:pPr>
    <w:rPr>
      <w:bCs/>
      <w:i/>
      <w:szCs w:val="28"/>
    </w:rPr>
  </w:style>
  <w:style w:type="paragraph" w:styleId="Heading5">
    <w:name w:val="heading 5"/>
    <w:basedOn w:val="Normal"/>
    <w:next w:val="Normal"/>
    <w:qFormat/>
    <w:rsid w:val="00BA3F19"/>
    <w:pPr>
      <w:numPr>
        <w:ilvl w:val="4"/>
        <w:numId w:val="18"/>
      </w:numPr>
      <w:spacing w:before="240" w:after="60"/>
      <w:outlineLvl w:val="4"/>
    </w:pPr>
    <w:rPr>
      <w:b/>
      <w:bCs/>
      <w:i/>
      <w:iCs/>
      <w:szCs w:val="26"/>
    </w:rPr>
  </w:style>
  <w:style w:type="paragraph" w:styleId="Heading6">
    <w:name w:val="heading 6"/>
    <w:basedOn w:val="Normal"/>
    <w:next w:val="Normal"/>
    <w:qFormat/>
    <w:rsid w:val="00BA3F19"/>
    <w:pPr>
      <w:numPr>
        <w:ilvl w:val="5"/>
        <w:numId w:val="18"/>
      </w:numPr>
      <w:spacing w:before="240" w:after="60"/>
      <w:outlineLvl w:val="5"/>
    </w:pPr>
    <w:rPr>
      <w:b/>
      <w:bCs/>
      <w:szCs w:val="22"/>
    </w:rPr>
  </w:style>
  <w:style w:type="paragraph" w:styleId="Heading7">
    <w:name w:val="heading 7"/>
    <w:basedOn w:val="Normal"/>
    <w:next w:val="Normal"/>
    <w:qFormat/>
    <w:rsid w:val="00BA3F19"/>
    <w:pPr>
      <w:numPr>
        <w:ilvl w:val="6"/>
        <w:numId w:val="18"/>
      </w:numPr>
      <w:spacing w:before="240" w:after="60"/>
      <w:outlineLvl w:val="6"/>
    </w:pPr>
    <w:rPr>
      <w:szCs w:val="24"/>
    </w:rPr>
  </w:style>
  <w:style w:type="paragraph" w:styleId="Heading8">
    <w:name w:val="heading 8"/>
    <w:basedOn w:val="Normal"/>
    <w:next w:val="Normal"/>
    <w:qFormat/>
    <w:rsid w:val="00BA3F19"/>
    <w:pPr>
      <w:numPr>
        <w:ilvl w:val="7"/>
        <w:numId w:val="18"/>
      </w:numPr>
      <w:spacing w:before="240" w:after="60"/>
      <w:outlineLvl w:val="7"/>
    </w:pPr>
    <w:rPr>
      <w:i/>
      <w:iCs/>
      <w:szCs w:val="24"/>
    </w:rPr>
  </w:style>
  <w:style w:type="paragraph" w:styleId="Heading9">
    <w:name w:val="heading 9"/>
    <w:basedOn w:val="Normal"/>
    <w:next w:val="Normal"/>
    <w:qFormat/>
    <w:rsid w:val="00BA3F19"/>
    <w:pPr>
      <w:numPr>
        <w:ilvl w:val="8"/>
        <w:numId w:val="18"/>
      </w:numPr>
      <w:spacing w:before="240" w:after="60"/>
      <w:outlineLvl w:val="8"/>
    </w:pPr>
    <w:rPr>
      <w:rFonts w:cs="Arial"/>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C81150"/>
    <w:pPr>
      <w:tabs>
        <w:tab w:val="center" w:pos="4536"/>
        <w:tab w:val="right" w:pos="9072"/>
      </w:tabs>
    </w:pPr>
    <w:rPr>
      <w:b/>
    </w:rPr>
  </w:style>
  <w:style w:type="paragraph" w:styleId="Footer">
    <w:name w:val="footer"/>
    <w:basedOn w:val="Normal"/>
    <w:link w:val="FooterChar"/>
    <w:uiPriority w:val="99"/>
    <w:rsid w:val="00C81150"/>
    <w:pPr>
      <w:tabs>
        <w:tab w:val="center" w:pos="4703"/>
        <w:tab w:val="right" w:pos="9406"/>
      </w:tabs>
    </w:pPr>
  </w:style>
  <w:style w:type="character" w:styleId="PageNumber">
    <w:name w:val="page number"/>
    <w:basedOn w:val="DefaultParagraphFont"/>
    <w:rsid w:val="00C81150"/>
  </w:style>
  <w:style w:type="table" w:styleId="TableGrid">
    <w:name w:val="Table Grid"/>
    <w:basedOn w:val="TableNormal"/>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rsid w:val="00CB407B"/>
    <w:rPr>
      <w:snapToGrid w:val="0"/>
      <w:sz w:val="24"/>
      <w:lang w:val="cs-CZ"/>
    </w:rPr>
  </w:style>
  <w:style w:type="paragraph" w:styleId="BalloonText">
    <w:name w:val="Balloon Text"/>
    <w:basedOn w:val="Normal"/>
    <w:semiHidden/>
    <w:rsid w:val="00D31407"/>
    <w:rPr>
      <w:rFonts w:ascii="Tahoma" w:hAnsi="Tahoma" w:cs="Tahoma"/>
      <w:sz w:val="16"/>
      <w:szCs w:val="16"/>
    </w:rPr>
  </w:style>
  <w:style w:type="character" w:styleId="CommentReference">
    <w:name w:val="annotation reference"/>
    <w:semiHidden/>
    <w:rsid w:val="00D56BE5"/>
    <w:rPr>
      <w:sz w:val="16"/>
      <w:szCs w:val="16"/>
    </w:rPr>
  </w:style>
  <w:style w:type="paragraph" w:styleId="CommentText">
    <w:name w:val="annotation text"/>
    <w:basedOn w:val="Normal"/>
    <w:semiHidden/>
    <w:rsid w:val="00D56BE5"/>
    <w:rPr>
      <w:sz w:val="20"/>
    </w:rPr>
  </w:style>
  <w:style w:type="paragraph" w:styleId="CommentSubject">
    <w:name w:val="annotation subject"/>
    <w:basedOn w:val="CommentText"/>
    <w:next w:val="CommentText"/>
    <w:semiHidden/>
    <w:rsid w:val="00D56BE5"/>
    <w:rPr>
      <w:b/>
      <w:bCs/>
    </w:rPr>
  </w:style>
  <w:style w:type="paragraph" w:customStyle="1" w:styleId="tableheader">
    <w:name w:val="table header"/>
    <w:basedOn w:val="Normal"/>
    <w:rsid w:val="00760EE4"/>
    <w:pPr>
      <w:jc w:val="center"/>
    </w:pPr>
    <w:rPr>
      <w:rFonts w:ascii="Times New Roman Bold" w:hAnsi="Times New Roman Bold"/>
      <w:b/>
      <w:i/>
      <w:snapToGrid w:val="0"/>
      <w:sz w:val="20"/>
    </w:rPr>
  </w:style>
  <w:style w:type="paragraph" w:styleId="Revision">
    <w:name w:val="Revision"/>
    <w:hidden/>
    <w:uiPriority w:val="99"/>
    <w:semiHidden/>
    <w:rsid w:val="00894E0B"/>
    <w:rPr>
      <w:rFonts w:ascii="Verdana" w:hAnsi="Verdana"/>
      <w:sz w:val="17"/>
      <w:lang w:eastAsia="en-US"/>
    </w:rPr>
  </w:style>
  <w:style w:type="paragraph" w:styleId="ListParagraph">
    <w:name w:val="List Paragraph"/>
    <w:basedOn w:val="Normal"/>
    <w:uiPriority w:val="34"/>
    <w:qFormat/>
    <w:rsid w:val="002551CB"/>
    <w:pPr>
      <w:ind w:left="708"/>
    </w:pPr>
  </w:style>
  <w:style w:type="character" w:customStyle="1" w:styleId="HeaderChar">
    <w:name w:val="Header Char"/>
    <w:basedOn w:val="DefaultParagraphFont"/>
    <w:link w:val="Header"/>
    <w:rsid w:val="00BA64AD"/>
    <w:rPr>
      <w:rFonts w:ascii="Verdana" w:hAnsi="Verdana"/>
      <w:b/>
      <w:sz w:val="17"/>
    </w:rPr>
  </w:style>
  <w:style w:type="character" w:customStyle="1" w:styleId="FooterChar">
    <w:name w:val="Footer Char"/>
    <w:basedOn w:val="DefaultParagraphFont"/>
    <w:link w:val="Footer"/>
    <w:uiPriority w:val="99"/>
    <w:rsid w:val="007D0F78"/>
    <w:rPr>
      <w:rFonts w:ascii="Verdana" w:hAnsi="Verdana"/>
      <w:sz w:val="17"/>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3940891">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39598387">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68505217">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575550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59392010">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2447737">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483930">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6445662">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582264">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7610737">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1609801">
      <w:bodyDiv w:val="1"/>
      <w:marLeft w:val="0"/>
      <w:marRight w:val="0"/>
      <w:marTop w:val="0"/>
      <w:marBottom w:val="0"/>
      <w:divBdr>
        <w:top w:val="none" w:sz="0" w:space="0" w:color="auto"/>
        <w:left w:val="none" w:sz="0" w:space="0" w:color="auto"/>
        <w:bottom w:val="none" w:sz="0" w:space="0" w:color="auto"/>
        <w:right w:val="none" w:sz="0" w:space="0" w:color="auto"/>
      </w:divBdr>
    </w:div>
    <w:div w:id="351615668">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0250786">
      <w:bodyDiv w:val="1"/>
      <w:marLeft w:val="0"/>
      <w:marRight w:val="0"/>
      <w:marTop w:val="0"/>
      <w:marBottom w:val="0"/>
      <w:divBdr>
        <w:top w:val="none" w:sz="0" w:space="0" w:color="auto"/>
        <w:left w:val="none" w:sz="0" w:space="0" w:color="auto"/>
        <w:bottom w:val="none" w:sz="0" w:space="0" w:color="auto"/>
        <w:right w:val="none" w:sz="0" w:space="0" w:color="auto"/>
      </w:divBdr>
    </w:div>
    <w:div w:id="402223241">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49785080">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499482">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197653">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3492154">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0584046">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1089251">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48171028">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57348059">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7460134">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0133360">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08988888">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0641821">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0592202">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17645873">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737542">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2402701">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85943864">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29196547">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39291625">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5279949">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0401211">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5087319">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0782602">
      <w:bodyDiv w:val="1"/>
      <w:marLeft w:val="0"/>
      <w:marRight w:val="0"/>
      <w:marTop w:val="0"/>
      <w:marBottom w:val="0"/>
      <w:divBdr>
        <w:top w:val="none" w:sz="0" w:space="0" w:color="auto"/>
        <w:left w:val="none" w:sz="0" w:space="0" w:color="auto"/>
        <w:bottom w:val="none" w:sz="0" w:space="0" w:color="auto"/>
        <w:right w:val="none" w:sz="0" w:space="0" w:color="auto"/>
      </w:divBdr>
    </w:div>
    <w:div w:id="1042249780">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0328476">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1657538">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3405625">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2500382">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0505581">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7100813">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1495117">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0732670">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3812958">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352461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7882430">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109050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350556">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1741889">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38337936">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7874766">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6953985">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4935174">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39664676">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58818523">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318889">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4232480">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17529829">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1630760">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1719813">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4813536">
      <w:bodyDiv w:val="1"/>
      <w:marLeft w:val="0"/>
      <w:marRight w:val="0"/>
      <w:marTop w:val="0"/>
      <w:marBottom w:val="0"/>
      <w:divBdr>
        <w:top w:val="none" w:sz="0" w:space="0" w:color="auto"/>
        <w:left w:val="none" w:sz="0" w:space="0" w:color="auto"/>
        <w:bottom w:val="none" w:sz="0" w:space="0" w:color="auto"/>
        <w:right w:val="none" w:sz="0" w:space="0" w:color="auto"/>
      </w:divBdr>
    </w:div>
    <w:div w:id="2004816604">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23779432">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5500174">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2608050">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 w:id="21444964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25EAB82-C404-4D8F-ADD4-DBBE82835298}">
  <ds:schemaRefs>
    <ds:schemaRef ds:uri="http://schemas.openxmlformats.org/officeDocument/2006/bibliography"/>
  </ds:schemaRefs>
</ds:datastoreItem>
</file>

<file path=customXml/itemProps2.xml><?xml version="1.0" encoding="utf-8"?>
<ds:datastoreItem xmlns:ds="http://schemas.openxmlformats.org/officeDocument/2006/customXml" ds:itemID="{E48418B8-9688-48DE-8A17-B668A79986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140</TotalTime>
  <Pages>3</Pages>
  <Words>1120</Words>
  <Characters>6469</Characters>
  <Application>Microsoft Office Word</Application>
  <DocSecurity>0</DocSecurity>
  <Lines>53</Lines>
  <Paragraphs>15</Paragraphs>
  <ScaleCrop>false</ScaleCrop>
  <HeadingPairs>
    <vt:vector size="2" baseType="variant">
      <vt:variant>
        <vt:lpstr>Title</vt:lpstr>
      </vt:variant>
      <vt:variant>
        <vt:i4>1</vt:i4>
      </vt:variant>
    </vt:vector>
  </HeadingPairs>
  <TitlesOfParts>
    <vt:vector size="1" baseType="lpstr">
      <vt:lpstr>Návod na použitie:</vt:lpstr>
    </vt:vector>
  </TitlesOfParts>
  <Company>Deloitte</Company>
  <LinksUpToDate>false</LinksUpToDate>
  <CharactersWithSpaces>7574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Galova, Erika (SK - Bratislava)</cp:lastModifiedBy>
  <cp:revision>11</cp:revision>
  <cp:lastPrinted>2017-03-25T10:15:00Z</cp:lastPrinted>
  <dcterms:created xsi:type="dcterms:W3CDTF">2018-03-07T13:05:00Z</dcterms:created>
  <dcterms:modified xsi:type="dcterms:W3CDTF">2018-03-17T11:07:00Z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