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BD5D4A" w:rsidRDefault="00C81150" w:rsidP="00C81150">
      <w:pPr>
        <w:rPr>
          <w:u w:val="single"/>
        </w:rPr>
      </w:pPr>
      <w:r w:rsidRPr="00BD5D4A">
        <w:rPr>
          <w:u w:val="single"/>
        </w:rPr>
        <w:t>Poznámka:</w:t>
      </w:r>
    </w:p>
    <w:p w:rsidR="00C81150" w:rsidRPr="00BD5D4A" w:rsidRDefault="00C81150" w:rsidP="00C81150">
      <w:pPr>
        <w:rPr>
          <w:snapToGrid w:val="0"/>
          <w:sz w:val="14"/>
          <w:szCs w:val="14"/>
          <w:lang w:eastAsia="sk-SK"/>
        </w:rPr>
      </w:pPr>
    </w:p>
    <w:p w:rsidR="00C81150" w:rsidRPr="00BD5D4A" w:rsidRDefault="00615A60" w:rsidP="00C81150">
      <w:pPr>
        <w:rPr>
          <w:snapToGrid w:val="0"/>
          <w:lang w:eastAsia="sk-SK"/>
        </w:rPr>
      </w:pPr>
      <w:r w:rsidRPr="00BD5D4A">
        <w:rPr>
          <w:snapToGrid w:val="0"/>
          <w:lang w:eastAsia="sk-SK"/>
        </w:rPr>
        <w:t xml:space="preserve">V poznámkach sa uvádzajú informácie ustanovené </w:t>
      </w:r>
      <w:r w:rsidR="00F875F2" w:rsidRPr="00BD5D4A">
        <w:rPr>
          <w:snapToGrid w:val="0"/>
          <w:lang w:eastAsia="sk-SK"/>
        </w:rPr>
        <w:t>opatrením o</w:t>
      </w:r>
      <w:r w:rsidR="004B7838" w:rsidRPr="00BD5D4A">
        <w:rPr>
          <w:snapToGrid w:val="0"/>
          <w:lang w:eastAsia="sk-SK"/>
        </w:rPr>
        <w:t> </w:t>
      </w:r>
      <w:r w:rsidR="00F875F2" w:rsidRPr="00BD5D4A">
        <w:rPr>
          <w:snapToGrid w:val="0"/>
          <w:lang w:eastAsia="sk-SK"/>
        </w:rPr>
        <w:t>obsahu</w:t>
      </w:r>
      <w:r w:rsidR="004B7838" w:rsidRPr="00BD5D4A">
        <w:rPr>
          <w:snapToGrid w:val="0"/>
          <w:lang w:eastAsia="sk-SK"/>
        </w:rPr>
        <w:t xml:space="preserve"> poznámok k</w:t>
      </w:r>
      <w:r w:rsidR="00F875F2" w:rsidRPr="00BD5D4A">
        <w:rPr>
          <w:snapToGrid w:val="0"/>
          <w:lang w:eastAsia="sk-SK"/>
        </w:rPr>
        <w:t xml:space="preserve"> individuáln</w:t>
      </w:r>
      <w:r w:rsidR="004B7838" w:rsidRPr="00BD5D4A">
        <w:rPr>
          <w:snapToGrid w:val="0"/>
          <w:lang w:eastAsia="sk-SK"/>
        </w:rPr>
        <w:t>ej</w:t>
      </w:r>
      <w:r w:rsidR="00F875F2" w:rsidRPr="00BD5D4A">
        <w:rPr>
          <w:snapToGrid w:val="0"/>
          <w:lang w:eastAsia="sk-SK"/>
        </w:rPr>
        <w:t xml:space="preserve"> účtovn</w:t>
      </w:r>
      <w:r w:rsidR="004B7838" w:rsidRPr="00BD5D4A">
        <w:rPr>
          <w:snapToGrid w:val="0"/>
          <w:lang w:eastAsia="sk-SK"/>
        </w:rPr>
        <w:t>ej závierke</w:t>
      </w:r>
      <w:r w:rsidR="00F875F2" w:rsidRPr="00BD5D4A">
        <w:rPr>
          <w:snapToGrid w:val="0"/>
          <w:lang w:eastAsia="sk-SK"/>
        </w:rPr>
        <w:t>, pre ktoré má účtovná jednotka obsahovú náplň</w:t>
      </w:r>
      <w:r w:rsidRPr="00BD5D4A">
        <w:rPr>
          <w:snapToGrid w:val="0"/>
          <w:lang w:eastAsia="sk-SK"/>
        </w:rPr>
        <w:t>.</w:t>
      </w:r>
      <w:r w:rsidR="00F875F2" w:rsidRPr="00BD5D4A">
        <w:rPr>
          <w:snapToGrid w:val="0"/>
          <w:lang w:eastAsia="sk-SK"/>
        </w:rPr>
        <w:t xml:space="preserve"> </w:t>
      </w:r>
      <w:r w:rsidR="00C81150" w:rsidRPr="00BD5D4A">
        <w:rPr>
          <w:snapToGrid w:val="0"/>
          <w:lang w:eastAsia="sk-SK"/>
        </w:rPr>
        <w:t>Všetky údaje a informácie uvedené v týchto poznámkach vychádzajú z účtovníctva a nadväzujú na</w:t>
      </w:r>
      <w:r w:rsidR="004B7838" w:rsidRPr="00BD5D4A">
        <w:rPr>
          <w:snapToGrid w:val="0"/>
          <w:lang w:eastAsia="sk-SK"/>
        </w:rPr>
        <w:t xml:space="preserve"> individ</w:t>
      </w:r>
      <w:r w:rsidR="00837CD1" w:rsidRPr="00BD5D4A">
        <w:rPr>
          <w:snapToGrid w:val="0"/>
          <w:lang w:eastAsia="sk-SK"/>
        </w:rPr>
        <w:t>u</w:t>
      </w:r>
      <w:r w:rsidR="004B7838" w:rsidRPr="00BD5D4A">
        <w:rPr>
          <w:snapToGrid w:val="0"/>
          <w:lang w:eastAsia="sk-SK"/>
        </w:rPr>
        <w:t>álne</w:t>
      </w:r>
      <w:r w:rsidR="00C81150" w:rsidRPr="00BD5D4A">
        <w:rPr>
          <w:snapToGrid w:val="0"/>
          <w:lang w:eastAsia="sk-SK"/>
        </w:rPr>
        <w:t> účtovné výkazy. Hodnotové údaje sú uvedené v</w:t>
      </w:r>
      <w:r w:rsidR="00F875F2" w:rsidRPr="00BD5D4A">
        <w:rPr>
          <w:snapToGrid w:val="0"/>
          <w:lang w:eastAsia="sk-SK"/>
        </w:rPr>
        <w:t xml:space="preserve"> celých </w:t>
      </w:r>
      <w:r w:rsidR="00BE09FD" w:rsidRPr="00BD5D4A">
        <w:rPr>
          <w:snapToGrid w:val="0"/>
          <w:lang w:eastAsia="sk-SK"/>
        </w:rPr>
        <w:t>eur</w:t>
      </w:r>
      <w:r w:rsidR="00950360" w:rsidRPr="00BD5D4A">
        <w:rPr>
          <w:snapToGrid w:val="0"/>
          <w:lang w:eastAsia="sk-SK"/>
        </w:rPr>
        <w:t>ách</w:t>
      </w:r>
      <w:r w:rsidR="00C81150" w:rsidRPr="00BD5D4A">
        <w:rPr>
          <w:snapToGrid w:val="0"/>
          <w:lang w:eastAsia="sk-SK"/>
        </w:rPr>
        <w:t xml:space="preserve"> (pokiaľ nie je uvedené inak). </w:t>
      </w:r>
    </w:p>
    <w:p w:rsidR="00C81150" w:rsidRPr="00BD5D4A" w:rsidRDefault="00C81150" w:rsidP="00C81150">
      <w:pPr>
        <w:rPr>
          <w:snapToGrid w:val="0"/>
          <w:sz w:val="14"/>
          <w:szCs w:val="14"/>
          <w:lang w:eastAsia="sk-SK"/>
        </w:rPr>
      </w:pPr>
    </w:p>
    <w:p w:rsidR="00C81150" w:rsidRPr="00BD5D4A" w:rsidRDefault="00C81150" w:rsidP="00C81150">
      <w:pPr>
        <w:rPr>
          <w:sz w:val="14"/>
          <w:szCs w:val="14"/>
        </w:rPr>
      </w:pPr>
    </w:p>
    <w:p w:rsidR="00C81150" w:rsidRPr="00BD5D4A" w:rsidRDefault="00C81150" w:rsidP="00C81150">
      <w:pPr>
        <w:pStyle w:val="Heading1"/>
      </w:pPr>
      <w:r w:rsidRPr="00BD5D4A">
        <w:t>VŠEOBECNÉ INFORMÁCIE</w:t>
      </w:r>
    </w:p>
    <w:p w:rsidR="00C81150" w:rsidRPr="00BD5D4A" w:rsidRDefault="00C81150" w:rsidP="00C81150">
      <w:pPr>
        <w:rPr>
          <w:b/>
          <w:snapToGrid w:val="0"/>
          <w:sz w:val="14"/>
          <w:szCs w:val="14"/>
          <w:u w:val="single"/>
          <w:lang w:eastAsia="sk-SK"/>
        </w:rPr>
      </w:pPr>
    </w:p>
    <w:p w:rsidR="00C81150" w:rsidRPr="00BD5D4A" w:rsidRDefault="00C81150" w:rsidP="00C81150">
      <w:pPr>
        <w:pStyle w:val="Heading2"/>
      </w:pPr>
      <w:r w:rsidRPr="00BD5D4A">
        <w:t>Základné údaje o spoločnosti</w:t>
      </w:r>
    </w:p>
    <w:p w:rsidR="00C81150" w:rsidRPr="00BD5D4A"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06"/>
        <w:gridCol w:w="5165"/>
      </w:tblGrid>
      <w:tr w:rsidR="0005609F" w:rsidRPr="00BD5D4A" w:rsidTr="006A54B9">
        <w:tc>
          <w:tcPr>
            <w:tcW w:w="2153" w:type="pct"/>
          </w:tcPr>
          <w:p w:rsidR="0005609F" w:rsidRPr="00BD5D4A" w:rsidRDefault="0005609F" w:rsidP="0005609F">
            <w:pPr>
              <w:rPr>
                <w:b/>
                <w:bCs/>
                <w:snapToGrid w:val="0"/>
                <w:sz w:val="15"/>
                <w:lang w:eastAsia="sk-SK"/>
              </w:rPr>
            </w:pPr>
            <w:r w:rsidRPr="00BD5D4A">
              <w:rPr>
                <w:b/>
                <w:bCs/>
                <w:snapToGrid w:val="0"/>
                <w:sz w:val="15"/>
                <w:lang w:eastAsia="sk-SK"/>
              </w:rPr>
              <w:t>Obchodné meno a sídlo</w:t>
            </w:r>
          </w:p>
        </w:tc>
        <w:tc>
          <w:tcPr>
            <w:tcW w:w="2847" w:type="pct"/>
          </w:tcPr>
          <w:p w:rsidR="0005609F" w:rsidRPr="00BD5D4A" w:rsidRDefault="0005609F" w:rsidP="0005609F">
            <w:pPr>
              <w:rPr>
                <w:snapToGrid w:val="0"/>
                <w:sz w:val="15"/>
                <w:lang w:eastAsia="sk-SK"/>
              </w:rPr>
            </w:pPr>
            <w:r w:rsidRPr="00BD5D4A">
              <w:rPr>
                <w:snapToGrid w:val="0"/>
                <w:sz w:val="15"/>
                <w:lang w:eastAsia="sk-SK"/>
              </w:rPr>
              <w:t>Deloitte Slovakia s.r.o.</w:t>
            </w:r>
          </w:p>
          <w:p w:rsidR="0005609F" w:rsidRPr="00BD5D4A" w:rsidRDefault="0005609F" w:rsidP="0005609F">
            <w:pPr>
              <w:rPr>
                <w:snapToGrid w:val="0"/>
                <w:sz w:val="15"/>
                <w:lang w:eastAsia="sk-SK"/>
              </w:rPr>
            </w:pPr>
            <w:r w:rsidRPr="00BD5D4A">
              <w:rPr>
                <w:snapToGrid w:val="0"/>
                <w:sz w:val="15"/>
                <w:szCs w:val="15"/>
                <w:lang w:eastAsia="sk-SK"/>
              </w:rPr>
              <w:t>Digital Park II, Einsteinova 23, 851 01  Bratislava</w:t>
            </w:r>
          </w:p>
        </w:tc>
      </w:tr>
      <w:tr w:rsidR="0005609F" w:rsidRPr="00BD5D4A" w:rsidTr="006A54B9">
        <w:tc>
          <w:tcPr>
            <w:tcW w:w="2153" w:type="pct"/>
          </w:tcPr>
          <w:p w:rsidR="0005609F" w:rsidRPr="00BD5D4A" w:rsidRDefault="0005609F" w:rsidP="0005609F">
            <w:pPr>
              <w:rPr>
                <w:b/>
                <w:bCs/>
                <w:snapToGrid w:val="0"/>
                <w:sz w:val="15"/>
                <w:lang w:eastAsia="sk-SK"/>
              </w:rPr>
            </w:pPr>
            <w:r w:rsidRPr="00BD5D4A">
              <w:rPr>
                <w:b/>
                <w:bCs/>
                <w:snapToGrid w:val="0"/>
                <w:sz w:val="15"/>
                <w:lang w:eastAsia="sk-SK"/>
              </w:rPr>
              <w:t>Dátum založenia</w:t>
            </w:r>
          </w:p>
        </w:tc>
        <w:tc>
          <w:tcPr>
            <w:tcW w:w="2847" w:type="pct"/>
          </w:tcPr>
          <w:p w:rsidR="0005609F" w:rsidRPr="00BD5D4A" w:rsidRDefault="0005609F" w:rsidP="0005609F">
            <w:pPr>
              <w:rPr>
                <w:snapToGrid w:val="0"/>
                <w:sz w:val="15"/>
                <w:lang w:eastAsia="sk-SK"/>
              </w:rPr>
            </w:pPr>
            <w:r w:rsidRPr="00BD5D4A">
              <w:rPr>
                <w:snapToGrid w:val="0"/>
                <w:sz w:val="15"/>
                <w:lang w:eastAsia="sk-SK"/>
              </w:rPr>
              <w:t>30. septembra 1996</w:t>
            </w:r>
          </w:p>
        </w:tc>
      </w:tr>
      <w:tr w:rsidR="0005609F" w:rsidRPr="00BD5D4A" w:rsidTr="006A54B9">
        <w:tc>
          <w:tcPr>
            <w:tcW w:w="2153" w:type="pct"/>
          </w:tcPr>
          <w:p w:rsidR="0005609F" w:rsidRPr="00BD5D4A" w:rsidRDefault="0005609F" w:rsidP="0005609F">
            <w:pPr>
              <w:rPr>
                <w:b/>
                <w:bCs/>
                <w:snapToGrid w:val="0"/>
                <w:sz w:val="15"/>
                <w:lang w:eastAsia="sk-SK"/>
              </w:rPr>
            </w:pPr>
            <w:r w:rsidRPr="00BD5D4A">
              <w:rPr>
                <w:b/>
                <w:bCs/>
                <w:snapToGrid w:val="0"/>
                <w:sz w:val="15"/>
                <w:lang w:eastAsia="sk-SK"/>
              </w:rPr>
              <w:t>Dátum vzniku (podľa obchodného registra)</w:t>
            </w:r>
          </w:p>
        </w:tc>
        <w:tc>
          <w:tcPr>
            <w:tcW w:w="2847" w:type="pct"/>
          </w:tcPr>
          <w:p w:rsidR="0005609F" w:rsidRPr="00BD5D4A" w:rsidRDefault="0005609F" w:rsidP="0005609F">
            <w:pPr>
              <w:rPr>
                <w:snapToGrid w:val="0"/>
                <w:sz w:val="15"/>
                <w:lang w:eastAsia="sk-SK"/>
              </w:rPr>
            </w:pPr>
            <w:r w:rsidRPr="00BD5D4A">
              <w:rPr>
                <w:snapToGrid w:val="0"/>
                <w:sz w:val="15"/>
                <w:lang w:eastAsia="sk-SK"/>
              </w:rPr>
              <w:t>10. októbra 1996</w:t>
            </w:r>
          </w:p>
        </w:tc>
      </w:tr>
      <w:tr w:rsidR="0005609F" w:rsidRPr="00BD5D4A" w:rsidTr="006A54B9">
        <w:tc>
          <w:tcPr>
            <w:tcW w:w="2153" w:type="pct"/>
          </w:tcPr>
          <w:p w:rsidR="0005609F" w:rsidRPr="00BD5D4A" w:rsidRDefault="0005609F" w:rsidP="0005609F">
            <w:pPr>
              <w:rPr>
                <w:b/>
                <w:bCs/>
                <w:snapToGrid w:val="0"/>
                <w:sz w:val="15"/>
                <w:lang w:eastAsia="sk-SK"/>
              </w:rPr>
            </w:pPr>
            <w:r w:rsidRPr="00BD5D4A">
              <w:rPr>
                <w:b/>
                <w:bCs/>
                <w:snapToGrid w:val="0"/>
                <w:sz w:val="15"/>
                <w:lang w:eastAsia="sk-SK"/>
              </w:rPr>
              <w:t>Hospodárska činnosť</w:t>
            </w:r>
          </w:p>
        </w:tc>
        <w:tc>
          <w:tcPr>
            <w:tcW w:w="2847" w:type="pct"/>
          </w:tcPr>
          <w:p w:rsidR="0005609F" w:rsidRPr="00BD5D4A" w:rsidRDefault="0005609F" w:rsidP="0005609F">
            <w:pPr>
              <w:numPr>
                <w:ilvl w:val="0"/>
                <w:numId w:val="53"/>
              </w:numPr>
              <w:ind w:left="305" w:hanging="305"/>
              <w:jc w:val="left"/>
              <w:rPr>
                <w:snapToGrid w:val="0"/>
                <w:sz w:val="15"/>
                <w:lang w:eastAsia="sk-SK"/>
              </w:rPr>
            </w:pPr>
            <w:r w:rsidRPr="00BD5D4A">
              <w:rPr>
                <w:snapToGrid w:val="0"/>
                <w:sz w:val="15"/>
                <w:lang w:eastAsia="sk-SK"/>
              </w:rPr>
              <w:t>Činnosť organizačných, ekonomických a účtovných poradcov,</w:t>
            </w:r>
          </w:p>
          <w:p w:rsidR="0005609F" w:rsidRPr="00BD5D4A" w:rsidRDefault="0005609F" w:rsidP="0005609F">
            <w:pPr>
              <w:numPr>
                <w:ilvl w:val="0"/>
                <w:numId w:val="53"/>
              </w:numPr>
              <w:ind w:left="305" w:hanging="305"/>
              <w:jc w:val="left"/>
              <w:rPr>
                <w:snapToGrid w:val="0"/>
                <w:sz w:val="15"/>
                <w:lang w:eastAsia="sk-SK"/>
              </w:rPr>
            </w:pPr>
            <w:r w:rsidRPr="00BD5D4A">
              <w:rPr>
                <w:snapToGrid w:val="0"/>
                <w:sz w:val="15"/>
                <w:lang w:eastAsia="sk-SK"/>
              </w:rPr>
              <w:t>konzultačná a poradenská činnosť v oblasti manažmentu,</w:t>
            </w:r>
          </w:p>
          <w:p w:rsidR="0005609F" w:rsidRDefault="0005609F" w:rsidP="0005609F">
            <w:pPr>
              <w:numPr>
                <w:ilvl w:val="0"/>
                <w:numId w:val="53"/>
              </w:numPr>
              <w:ind w:left="305" w:hanging="305"/>
              <w:jc w:val="left"/>
              <w:rPr>
                <w:snapToGrid w:val="0"/>
                <w:sz w:val="15"/>
                <w:lang w:eastAsia="sk-SK"/>
              </w:rPr>
            </w:pPr>
            <w:r w:rsidRPr="00BD5D4A">
              <w:rPr>
                <w:snapToGrid w:val="0"/>
                <w:sz w:val="15"/>
                <w:lang w:eastAsia="sk-SK"/>
              </w:rPr>
              <w:t>podnikateľské poradenstvo v rozsahu voľnej živnosti,</w:t>
            </w:r>
          </w:p>
          <w:p w:rsidR="002D1053" w:rsidRPr="00BD5D4A" w:rsidRDefault="002D1053" w:rsidP="0005609F">
            <w:pPr>
              <w:numPr>
                <w:ilvl w:val="0"/>
                <w:numId w:val="53"/>
              </w:numPr>
              <w:ind w:left="305" w:hanging="305"/>
              <w:jc w:val="left"/>
              <w:rPr>
                <w:snapToGrid w:val="0"/>
                <w:sz w:val="15"/>
                <w:lang w:eastAsia="sk-SK"/>
              </w:rPr>
            </w:pPr>
            <w:r w:rsidRPr="002D1053">
              <w:rPr>
                <w:snapToGrid w:val="0"/>
                <w:sz w:val="15"/>
                <w:lang w:eastAsia="sk-SK"/>
              </w:rPr>
              <w:t>sprostredkovateľská činnosť v oblasti obchodu a služieb v rozsahu voľnej živnosti</w:t>
            </w:r>
          </w:p>
          <w:p w:rsidR="0005609F" w:rsidRPr="00BD5D4A" w:rsidRDefault="0005609F" w:rsidP="0005609F">
            <w:pPr>
              <w:numPr>
                <w:ilvl w:val="0"/>
                <w:numId w:val="53"/>
              </w:numPr>
              <w:ind w:left="305" w:hanging="305"/>
              <w:jc w:val="left"/>
              <w:rPr>
                <w:snapToGrid w:val="0"/>
                <w:sz w:val="15"/>
                <w:lang w:eastAsia="sk-SK"/>
              </w:rPr>
            </w:pPr>
            <w:r w:rsidRPr="00BD5D4A">
              <w:rPr>
                <w:snapToGrid w:val="0"/>
                <w:sz w:val="15"/>
                <w:lang w:eastAsia="sk-SK"/>
              </w:rPr>
              <w:t>poradenská činnosť v oblasti obchodu a služieb v rozsahu voľnej živnosti,</w:t>
            </w:r>
          </w:p>
          <w:p w:rsidR="0005609F" w:rsidRPr="00BD5D4A" w:rsidRDefault="0005609F" w:rsidP="0005609F">
            <w:pPr>
              <w:numPr>
                <w:ilvl w:val="0"/>
                <w:numId w:val="53"/>
              </w:numPr>
              <w:ind w:left="305" w:hanging="305"/>
              <w:jc w:val="left"/>
              <w:rPr>
                <w:snapToGrid w:val="0"/>
                <w:sz w:val="15"/>
                <w:lang w:eastAsia="sk-SK"/>
              </w:rPr>
            </w:pPr>
            <w:r w:rsidRPr="00BD5D4A">
              <w:rPr>
                <w:snapToGrid w:val="0"/>
                <w:sz w:val="15"/>
                <w:lang w:eastAsia="sk-SK"/>
              </w:rPr>
              <w:t>organizovanie seminárov a školení v rozsahu voľnej živnosti,</w:t>
            </w:r>
          </w:p>
          <w:p w:rsidR="0005609F" w:rsidRPr="00BD5D4A" w:rsidRDefault="0005609F" w:rsidP="0005609F">
            <w:pPr>
              <w:numPr>
                <w:ilvl w:val="0"/>
                <w:numId w:val="53"/>
              </w:numPr>
              <w:ind w:left="305" w:hanging="305"/>
              <w:jc w:val="left"/>
              <w:rPr>
                <w:snapToGrid w:val="0"/>
                <w:sz w:val="15"/>
                <w:lang w:eastAsia="sk-SK"/>
              </w:rPr>
            </w:pPr>
            <w:r w:rsidRPr="00BD5D4A">
              <w:rPr>
                <w:snapToGrid w:val="0"/>
                <w:sz w:val="15"/>
                <w:lang w:eastAsia="sk-SK"/>
              </w:rPr>
              <w:t>školiaca činnosť v rozsahu voľnej živnosti.</w:t>
            </w:r>
          </w:p>
        </w:tc>
      </w:tr>
    </w:tbl>
    <w:p w:rsidR="0005609F" w:rsidRPr="00BD5D4A" w:rsidRDefault="0005609F" w:rsidP="00C81150">
      <w:pPr>
        <w:rPr>
          <w:snapToGrid w:val="0"/>
          <w:sz w:val="14"/>
          <w:szCs w:val="14"/>
          <w:lang w:eastAsia="sk-SK"/>
        </w:rPr>
      </w:pPr>
    </w:p>
    <w:p w:rsidR="00C81150" w:rsidRPr="00BD5D4A" w:rsidRDefault="00C81150" w:rsidP="00C81150">
      <w:pPr>
        <w:rPr>
          <w:snapToGrid w:val="0"/>
          <w:sz w:val="14"/>
          <w:szCs w:val="14"/>
          <w:lang w:eastAsia="sk-SK"/>
        </w:rPr>
      </w:pPr>
    </w:p>
    <w:p w:rsidR="00C81150" w:rsidRPr="00BD5D4A" w:rsidRDefault="00C81150" w:rsidP="00C81150">
      <w:pPr>
        <w:pStyle w:val="Heading2"/>
      </w:pPr>
      <w:r w:rsidRPr="00BD5D4A">
        <w:t>Zamestnanci</w:t>
      </w:r>
    </w:p>
    <w:p w:rsidR="005B36DD" w:rsidRPr="00BD5D4A" w:rsidRDefault="005B36DD" w:rsidP="00C81150">
      <w:pPr>
        <w:rPr>
          <w:snapToGrid w:val="0"/>
          <w:sz w:val="14"/>
          <w:szCs w:val="14"/>
          <w:lang w:eastAsia="sk-SK"/>
        </w:rPr>
      </w:pPr>
      <w:bookmarkStart w:id="0" w:name="T_number_of_employees"/>
      <w:r w:rsidRPr="00BD5D4A">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BD5D4A" w:rsidTr="006A54B9">
        <w:tc>
          <w:tcPr>
            <w:tcW w:w="3553" w:type="pct"/>
            <w:tcBorders>
              <w:top w:val="single" w:sz="8" w:space="0" w:color="auto"/>
              <w:left w:val="nil"/>
              <w:bottom w:val="nil"/>
              <w:right w:val="nil"/>
            </w:tcBorders>
            <w:shd w:val="clear" w:color="auto" w:fill="auto"/>
            <w:vAlign w:val="center"/>
            <w:hideMark/>
          </w:tcPr>
          <w:p w:rsidR="005B36DD" w:rsidRPr="00BD5D4A" w:rsidRDefault="005B36DD" w:rsidP="005B36DD">
            <w:pPr>
              <w:jc w:val="left"/>
              <w:rPr>
                <w:rFonts w:cs="Arial"/>
                <w:b/>
                <w:bCs/>
                <w:i/>
                <w:iCs/>
                <w:sz w:val="15"/>
                <w:szCs w:val="15"/>
                <w:lang w:eastAsia="sk-SK"/>
              </w:rPr>
            </w:pPr>
            <w:bookmarkStart w:id="1" w:name="RANGE!B7:D10"/>
            <w:r w:rsidRPr="00BD5D4A">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BD5D4A" w:rsidRDefault="005B36DD" w:rsidP="00A127B3">
            <w:pPr>
              <w:jc w:val="center"/>
              <w:rPr>
                <w:rFonts w:cs="Arial"/>
                <w:b/>
                <w:bCs/>
                <w:i/>
                <w:iCs/>
                <w:sz w:val="15"/>
                <w:szCs w:val="15"/>
                <w:lang w:eastAsia="sk-SK"/>
              </w:rPr>
            </w:pPr>
            <w:r w:rsidRPr="00BD5D4A">
              <w:rPr>
                <w:rFonts w:cs="Arial"/>
                <w:b/>
                <w:bCs/>
                <w:i/>
                <w:iCs/>
                <w:sz w:val="15"/>
                <w:szCs w:val="15"/>
                <w:lang w:eastAsia="sk-SK"/>
              </w:rPr>
              <w:t>201</w:t>
            </w:r>
            <w:r w:rsidR="00A127B3">
              <w:rPr>
                <w:rFonts w:cs="Arial"/>
                <w:b/>
                <w:bCs/>
                <w:i/>
                <w:iCs/>
                <w:sz w:val="15"/>
                <w:szCs w:val="15"/>
                <w:lang w:eastAsia="sk-SK"/>
              </w:rPr>
              <w:t>7</w:t>
            </w:r>
          </w:p>
        </w:tc>
        <w:tc>
          <w:tcPr>
            <w:tcW w:w="724" w:type="pct"/>
            <w:tcBorders>
              <w:top w:val="single" w:sz="8" w:space="0" w:color="auto"/>
              <w:left w:val="nil"/>
              <w:bottom w:val="nil"/>
              <w:right w:val="nil"/>
            </w:tcBorders>
            <w:shd w:val="clear" w:color="auto" w:fill="auto"/>
            <w:vAlign w:val="center"/>
            <w:hideMark/>
          </w:tcPr>
          <w:p w:rsidR="005B36DD" w:rsidRPr="00BD5D4A" w:rsidRDefault="005B36DD" w:rsidP="00A127B3">
            <w:pPr>
              <w:jc w:val="center"/>
              <w:rPr>
                <w:rFonts w:cs="Arial"/>
                <w:b/>
                <w:bCs/>
                <w:i/>
                <w:iCs/>
                <w:sz w:val="15"/>
                <w:szCs w:val="15"/>
                <w:lang w:eastAsia="sk-SK"/>
              </w:rPr>
            </w:pPr>
            <w:r w:rsidRPr="00BD5D4A">
              <w:rPr>
                <w:rFonts w:cs="Arial"/>
                <w:b/>
                <w:bCs/>
                <w:i/>
                <w:iCs/>
                <w:sz w:val="15"/>
                <w:szCs w:val="15"/>
                <w:lang w:eastAsia="sk-SK"/>
              </w:rPr>
              <w:t>20</w:t>
            </w:r>
            <w:r w:rsidR="00241E2A" w:rsidRPr="00BD5D4A">
              <w:rPr>
                <w:rFonts w:cs="Arial"/>
                <w:b/>
                <w:bCs/>
                <w:i/>
                <w:iCs/>
                <w:sz w:val="15"/>
                <w:szCs w:val="15"/>
                <w:lang w:eastAsia="sk-SK"/>
              </w:rPr>
              <w:t>1</w:t>
            </w:r>
            <w:r w:rsidR="00A127B3">
              <w:rPr>
                <w:rFonts w:cs="Arial"/>
                <w:b/>
                <w:bCs/>
                <w:i/>
                <w:iCs/>
                <w:sz w:val="15"/>
                <w:szCs w:val="15"/>
                <w:lang w:eastAsia="sk-SK"/>
              </w:rPr>
              <w:t>6</w:t>
            </w:r>
          </w:p>
        </w:tc>
      </w:tr>
      <w:tr w:rsidR="005B36DD" w:rsidRPr="00BD5D4A" w:rsidTr="006A54B9">
        <w:tc>
          <w:tcPr>
            <w:tcW w:w="3553" w:type="pct"/>
            <w:tcBorders>
              <w:top w:val="single" w:sz="4" w:space="0" w:color="auto"/>
              <w:left w:val="nil"/>
              <w:bottom w:val="nil"/>
              <w:right w:val="nil"/>
            </w:tcBorders>
            <w:shd w:val="clear" w:color="auto" w:fill="auto"/>
            <w:vAlign w:val="center"/>
            <w:hideMark/>
          </w:tcPr>
          <w:p w:rsidR="005B36DD" w:rsidRPr="00BD5D4A" w:rsidRDefault="005B36DD" w:rsidP="005B36DD">
            <w:pPr>
              <w:jc w:val="left"/>
              <w:rPr>
                <w:rFonts w:cs="Arial"/>
                <w:sz w:val="15"/>
                <w:szCs w:val="15"/>
                <w:lang w:eastAsia="sk-SK"/>
              </w:rPr>
            </w:pPr>
            <w:r w:rsidRPr="00BD5D4A">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5B36DD" w:rsidRPr="00BD5D4A" w:rsidRDefault="005B36DD" w:rsidP="005B36DD">
            <w:pPr>
              <w:jc w:val="right"/>
              <w:rPr>
                <w:rFonts w:cs="Arial"/>
                <w:sz w:val="15"/>
                <w:szCs w:val="15"/>
                <w:lang w:eastAsia="sk-SK"/>
              </w:rPr>
            </w:pPr>
            <w:r w:rsidRPr="00BD5D4A">
              <w:rPr>
                <w:rFonts w:cs="Arial"/>
                <w:sz w:val="15"/>
                <w:szCs w:val="15"/>
                <w:lang w:eastAsia="sk-SK"/>
              </w:rPr>
              <w:t xml:space="preserve">- </w:t>
            </w:r>
          </w:p>
        </w:tc>
        <w:tc>
          <w:tcPr>
            <w:tcW w:w="724" w:type="pct"/>
            <w:tcBorders>
              <w:top w:val="single" w:sz="4" w:space="0" w:color="auto"/>
              <w:left w:val="nil"/>
              <w:bottom w:val="nil"/>
              <w:right w:val="nil"/>
            </w:tcBorders>
            <w:shd w:val="clear" w:color="auto" w:fill="auto"/>
            <w:vAlign w:val="bottom"/>
            <w:hideMark/>
          </w:tcPr>
          <w:p w:rsidR="005B36DD" w:rsidRPr="00BD5D4A" w:rsidRDefault="005B36DD" w:rsidP="005B36DD">
            <w:pPr>
              <w:jc w:val="right"/>
              <w:rPr>
                <w:rFonts w:cs="Arial"/>
                <w:sz w:val="15"/>
                <w:szCs w:val="15"/>
                <w:lang w:eastAsia="sk-SK"/>
              </w:rPr>
            </w:pPr>
            <w:r w:rsidRPr="00BD5D4A">
              <w:rPr>
                <w:rFonts w:cs="Arial"/>
                <w:sz w:val="15"/>
                <w:szCs w:val="15"/>
                <w:lang w:eastAsia="sk-SK"/>
              </w:rPr>
              <w:t xml:space="preserve">- </w:t>
            </w:r>
          </w:p>
        </w:tc>
      </w:tr>
      <w:tr w:rsidR="005B36DD" w:rsidRPr="00BD5D4A" w:rsidTr="006A54B9">
        <w:tc>
          <w:tcPr>
            <w:tcW w:w="3553" w:type="pct"/>
            <w:tcBorders>
              <w:top w:val="nil"/>
              <w:left w:val="nil"/>
              <w:bottom w:val="nil"/>
              <w:right w:val="nil"/>
            </w:tcBorders>
            <w:shd w:val="clear" w:color="auto" w:fill="auto"/>
            <w:vAlign w:val="center"/>
            <w:hideMark/>
          </w:tcPr>
          <w:p w:rsidR="005B36DD" w:rsidRPr="00BD5D4A" w:rsidRDefault="005B36DD" w:rsidP="005B36DD">
            <w:pPr>
              <w:jc w:val="left"/>
              <w:rPr>
                <w:rFonts w:cs="Arial"/>
                <w:sz w:val="15"/>
                <w:szCs w:val="15"/>
                <w:lang w:eastAsia="sk-SK"/>
              </w:rPr>
            </w:pPr>
            <w:r w:rsidRPr="00BD5D4A">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5B36DD" w:rsidRPr="00BD5D4A" w:rsidRDefault="005B36DD" w:rsidP="005B36DD">
            <w:pPr>
              <w:jc w:val="right"/>
              <w:rPr>
                <w:rFonts w:cs="Arial"/>
                <w:sz w:val="15"/>
                <w:szCs w:val="15"/>
                <w:lang w:eastAsia="sk-SK"/>
              </w:rPr>
            </w:pPr>
            <w:r w:rsidRPr="00BD5D4A">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5B36DD" w:rsidRPr="00BD5D4A" w:rsidRDefault="005B36DD" w:rsidP="005B36DD">
            <w:pPr>
              <w:jc w:val="right"/>
              <w:rPr>
                <w:rFonts w:cs="Arial"/>
                <w:sz w:val="15"/>
                <w:szCs w:val="15"/>
                <w:lang w:eastAsia="sk-SK"/>
              </w:rPr>
            </w:pPr>
            <w:r w:rsidRPr="00BD5D4A">
              <w:rPr>
                <w:rFonts w:cs="Arial"/>
                <w:sz w:val="15"/>
                <w:szCs w:val="15"/>
                <w:lang w:eastAsia="sk-SK"/>
              </w:rPr>
              <w:t xml:space="preserve">- </w:t>
            </w:r>
          </w:p>
        </w:tc>
      </w:tr>
      <w:tr w:rsidR="005B36DD" w:rsidRPr="00BD5D4A" w:rsidTr="006A54B9">
        <w:tc>
          <w:tcPr>
            <w:tcW w:w="3553" w:type="pct"/>
            <w:tcBorders>
              <w:top w:val="nil"/>
              <w:left w:val="nil"/>
              <w:bottom w:val="single" w:sz="8" w:space="0" w:color="auto"/>
              <w:right w:val="nil"/>
            </w:tcBorders>
            <w:shd w:val="clear" w:color="auto" w:fill="auto"/>
            <w:vAlign w:val="center"/>
            <w:hideMark/>
          </w:tcPr>
          <w:p w:rsidR="005B36DD" w:rsidRPr="00BD5D4A" w:rsidRDefault="005B36DD" w:rsidP="006A54B9">
            <w:pPr>
              <w:ind w:left="72"/>
              <w:jc w:val="left"/>
              <w:rPr>
                <w:rFonts w:cs="Arial"/>
                <w:i/>
                <w:iCs/>
                <w:sz w:val="15"/>
                <w:szCs w:val="15"/>
                <w:lang w:eastAsia="sk-SK"/>
              </w:rPr>
            </w:pPr>
            <w:r w:rsidRPr="00BD5D4A">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5B36DD" w:rsidRPr="00BD5D4A" w:rsidRDefault="005B36DD" w:rsidP="005B36DD">
            <w:pPr>
              <w:jc w:val="right"/>
              <w:rPr>
                <w:rFonts w:cs="Arial"/>
                <w:i/>
                <w:iCs/>
                <w:sz w:val="15"/>
                <w:szCs w:val="15"/>
                <w:lang w:eastAsia="sk-SK"/>
              </w:rPr>
            </w:pPr>
            <w:r w:rsidRPr="00BD5D4A">
              <w:rPr>
                <w:rFonts w:cs="Arial"/>
                <w:i/>
                <w:iCs/>
                <w:sz w:val="15"/>
                <w:szCs w:val="15"/>
                <w:lang w:eastAsia="sk-SK"/>
              </w:rPr>
              <w:t xml:space="preserve">- </w:t>
            </w:r>
          </w:p>
        </w:tc>
        <w:tc>
          <w:tcPr>
            <w:tcW w:w="724" w:type="pct"/>
            <w:tcBorders>
              <w:top w:val="nil"/>
              <w:left w:val="nil"/>
              <w:bottom w:val="single" w:sz="8" w:space="0" w:color="auto"/>
              <w:right w:val="nil"/>
            </w:tcBorders>
            <w:shd w:val="clear" w:color="auto" w:fill="auto"/>
            <w:vAlign w:val="bottom"/>
            <w:hideMark/>
          </w:tcPr>
          <w:p w:rsidR="005B36DD" w:rsidRPr="00BD5D4A" w:rsidRDefault="005B36DD" w:rsidP="005B36DD">
            <w:pPr>
              <w:jc w:val="right"/>
              <w:rPr>
                <w:rFonts w:cs="Arial"/>
                <w:i/>
                <w:iCs/>
                <w:sz w:val="15"/>
                <w:szCs w:val="15"/>
                <w:lang w:eastAsia="sk-SK"/>
              </w:rPr>
            </w:pPr>
            <w:r w:rsidRPr="00BD5D4A">
              <w:rPr>
                <w:rFonts w:cs="Arial"/>
                <w:i/>
                <w:iCs/>
                <w:sz w:val="15"/>
                <w:szCs w:val="15"/>
                <w:lang w:eastAsia="sk-SK"/>
              </w:rPr>
              <w:t xml:space="preserve">- </w:t>
            </w:r>
          </w:p>
        </w:tc>
      </w:tr>
    </w:tbl>
    <w:p w:rsidR="00C81150" w:rsidRPr="00BD5D4A" w:rsidRDefault="00C81150" w:rsidP="00C81150">
      <w:pPr>
        <w:rPr>
          <w:snapToGrid w:val="0"/>
          <w:sz w:val="14"/>
          <w:szCs w:val="14"/>
          <w:lang w:eastAsia="sk-SK"/>
        </w:rPr>
      </w:pPr>
    </w:p>
    <w:bookmarkEnd w:id="0"/>
    <w:p w:rsidR="0005609F" w:rsidRPr="00BD5D4A" w:rsidRDefault="0005609F" w:rsidP="0005609F">
      <w:pPr>
        <w:rPr>
          <w:lang w:eastAsia="sk-SK"/>
        </w:rPr>
      </w:pPr>
      <w:r w:rsidRPr="00BD5D4A">
        <w:rPr>
          <w:lang w:eastAsia="sk-SK"/>
        </w:rPr>
        <w:t xml:space="preserve">Spoločnosť </w:t>
      </w:r>
      <w:r w:rsidRPr="00BD5D4A">
        <w:rPr>
          <w:rFonts w:cs="Arial"/>
          <w:snapToGrid w:val="0"/>
          <w:lang w:eastAsia="sk-SK"/>
        </w:rPr>
        <w:t xml:space="preserve">Deloitte Slovakia s.r.o. </w:t>
      </w:r>
      <w:r w:rsidRPr="00BD5D4A">
        <w:rPr>
          <w:lang w:eastAsia="sk-SK"/>
        </w:rPr>
        <w:t>v roku 201</w:t>
      </w:r>
      <w:r w:rsidR="00A127B3">
        <w:rPr>
          <w:lang w:eastAsia="sk-SK"/>
        </w:rPr>
        <w:t>7</w:t>
      </w:r>
      <w:r w:rsidRPr="00BD5D4A">
        <w:rPr>
          <w:lang w:eastAsia="sk-SK"/>
        </w:rPr>
        <w:t xml:space="preserve"> a 201</w:t>
      </w:r>
      <w:r w:rsidR="00A127B3">
        <w:rPr>
          <w:lang w:eastAsia="sk-SK"/>
        </w:rPr>
        <w:t>6</w:t>
      </w:r>
      <w:r w:rsidRPr="00BD5D4A">
        <w:rPr>
          <w:lang w:eastAsia="sk-SK"/>
        </w:rPr>
        <w:t xml:space="preserve"> nezamestnávala žiadneho zamestnanca.</w:t>
      </w:r>
    </w:p>
    <w:p w:rsidR="00C81150" w:rsidRPr="00BD5D4A" w:rsidRDefault="00C81150" w:rsidP="00C81150">
      <w:pPr>
        <w:rPr>
          <w:snapToGrid w:val="0"/>
          <w:sz w:val="14"/>
          <w:szCs w:val="14"/>
          <w:lang w:eastAsia="sk-SK"/>
        </w:rPr>
      </w:pPr>
    </w:p>
    <w:p w:rsidR="00C81150" w:rsidRPr="00BD5D4A" w:rsidRDefault="00C81150" w:rsidP="00C81150">
      <w:pPr>
        <w:rPr>
          <w:snapToGrid w:val="0"/>
          <w:sz w:val="14"/>
          <w:szCs w:val="14"/>
          <w:lang w:eastAsia="sk-SK"/>
        </w:rPr>
      </w:pPr>
    </w:p>
    <w:p w:rsidR="00C81150" w:rsidRPr="00BD5D4A" w:rsidRDefault="00C81150" w:rsidP="00C81150">
      <w:pPr>
        <w:pStyle w:val="Heading2"/>
      </w:pPr>
      <w:r w:rsidRPr="00BD5D4A">
        <w:t>Právny dôvod zostavenia účtovnej závierky</w:t>
      </w:r>
    </w:p>
    <w:p w:rsidR="00162043" w:rsidRPr="00BD5D4A" w:rsidRDefault="00162043" w:rsidP="00C81150">
      <w:pPr>
        <w:rPr>
          <w:snapToGrid w:val="0"/>
          <w:sz w:val="14"/>
          <w:szCs w:val="14"/>
          <w:lang w:eastAsia="sk-SK"/>
        </w:rPr>
      </w:pPr>
    </w:p>
    <w:p w:rsidR="00C81150" w:rsidRPr="00BD5D4A" w:rsidRDefault="00C81150" w:rsidP="00C81150">
      <w:pPr>
        <w:rPr>
          <w:snapToGrid w:val="0"/>
          <w:lang w:eastAsia="sk-SK"/>
        </w:rPr>
      </w:pPr>
      <w:r w:rsidRPr="00BD5D4A">
        <w:rPr>
          <w:snapToGrid w:val="0"/>
          <w:lang w:eastAsia="sk-SK"/>
        </w:rPr>
        <w:t xml:space="preserve">Táto účtovná závierka je riadna individuálna účtovná závierka </w:t>
      </w:r>
      <w:r w:rsidR="00C27954" w:rsidRPr="00BD5D4A">
        <w:rPr>
          <w:snapToGrid w:val="0"/>
          <w:lang w:eastAsia="sk-SK"/>
        </w:rPr>
        <w:t xml:space="preserve">spoločnosti </w:t>
      </w:r>
      <w:r w:rsidR="0005609F" w:rsidRPr="00BD5D4A">
        <w:rPr>
          <w:rFonts w:cs="Arial"/>
          <w:snapToGrid w:val="0"/>
          <w:lang w:eastAsia="sk-SK"/>
        </w:rPr>
        <w:t xml:space="preserve">Deloitte Slovakia s.r.o. </w:t>
      </w:r>
      <w:r w:rsidR="0005609F" w:rsidRPr="00BD5D4A">
        <w:rPr>
          <w:snapToGrid w:val="0"/>
          <w:szCs w:val="17"/>
          <w:lang w:eastAsia="sk-SK"/>
        </w:rPr>
        <w:t>(ďalej len „spoločnosť“)</w:t>
      </w:r>
      <w:r w:rsidRPr="00BD5D4A">
        <w:rPr>
          <w:snapToGrid w:val="0"/>
          <w:lang w:eastAsia="sk-SK"/>
        </w:rPr>
        <w:t>. Bola zostavená za účtovné obdobie od 1. januára do 31. decembra 20</w:t>
      </w:r>
      <w:r w:rsidR="008C598A" w:rsidRPr="00BD5D4A">
        <w:rPr>
          <w:snapToGrid w:val="0"/>
          <w:lang w:eastAsia="sk-SK"/>
        </w:rPr>
        <w:t>1</w:t>
      </w:r>
      <w:r w:rsidR="00A127B3">
        <w:rPr>
          <w:snapToGrid w:val="0"/>
          <w:lang w:eastAsia="sk-SK"/>
        </w:rPr>
        <w:t>7</w:t>
      </w:r>
      <w:r w:rsidRPr="00BD5D4A">
        <w:rPr>
          <w:snapToGrid w:val="0"/>
          <w:lang w:eastAsia="sk-SK"/>
        </w:rPr>
        <w:t xml:space="preserve"> podľa slovenských právnych predpisov, a to zákona o</w:t>
      </w:r>
      <w:r w:rsidRPr="00BD5D4A">
        <w:t> </w:t>
      </w:r>
      <w:r w:rsidRPr="00BD5D4A">
        <w:rPr>
          <w:snapToGrid w:val="0"/>
          <w:lang w:eastAsia="sk-SK"/>
        </w:rPr>
        <w:t xml:space="preserve">účtovníctve a postupov účtovania pre podnikateľov. </w:t>
      </w:r>
    </w:p>
    <w:p w:rsidR="00C81150" w:rsidRPr="00BD5D4A" w:rsidRDefault="00C81150" w:rsidP="00C81150">
      <w:pPr>
        <w:rPr>
          <w:snapToGrid w:val="0"/>
          <w:sz w:val="14"/>
          <w:szCs w:val="14"/>
          <w:lang w:eastAsia="sk-SK"/>
        </w:rPr>
      </w:pPr>
      <w:bookmarkStart w:id="2" w:name="_GoBack"/>
      <w:bookmarkEnd w:id="2"/>
    </w:p>
    <w:p w:rsidR="00416D85" w:rsidRPr="00BD5D4A" w:rsidRDefault="00416D85" w:rsidP="00416D85">
      <w:r w:rsidRPr="00BD5D4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BD5D4A" w:rsidRDefault="00416D85" w:rsidP="00C81150">
      <w:pPr>
        <w:rPr>
          <w:snapToGrid w:val="0"/>
          <w:sz w:val="14"/>
          <w:szCs w:val="14"/>
          <w:lang w:eastAsia="sk-SK"/>
        </w:rPr>
      </w:pPr>
    </w:p>
    <w:p w:rsidR="00C81150" w:rsidRPr="00BD5D4A" w:rsidRDefault="00C81150" w:rsidP="00C81150">
      <w:pPr>
        <w:rPr>
          <w:snapToGrid w:val="0"/>
          <w:sz w:val="14"/>
          <w:szCs w:val="14"/>
          <w:lang w:eastAsia="sk-SK"/>
        </w:rPr>
      </w:pPr>
    </w:p>
    <w:p w:rsidR="00C81150" w:rsidRPr="00BD5D4A" w:rsidRDefault="00C81150" w:rsidP="00C81150">
      <w:pPr>
        <w:pStyle w:val="Heading2"/>
      </w:pPr>
      <w:r w:rsidRPr="00BD5D4A">
        <w:t>Schválen</w:t>
      </w:r>
      <w:r w:rsidR="00AC79A3" w:rsidRPr="00BD5D4A">
        <w:t>ie účtovnej závierky za rok 20</w:t>
      </w:r>
      <w:r w:rsidR="007C4C15" w:rsidRPr="00BD5D4A">
        <w:t>1</w:t>
      </w:r>
      <w:r w:rsidR="00A127B3">
        <w:t>6</w:t>
      </w:r>
    </w:p>
    <w:p w:rsidR="00AC79A3" w:rsidRPr="00BD5D4A" w:rsidRDefault="00AC79A3" w:rsidP="00AC79A3">
      <w:pPr>
        <w:rPr>
          <w:sz w:val="14"/>
          <w:szCs w:val="14"/>
          <w:lang w:eastAsia="sk-SK"/>
        </w:rPr>
      </w:pPr>
    </w:p>
    <w:p w:rsidR="00C81150" w:rsidRPr="00BD5D4A" w:rsidRDefault="00C81150" w:rsidP="00C81150">
      <w:pPr>
        <w:rPr>
          <w:snapToGrid w:val="0"/>
          <w:lang w:eastAsia="sk-SK"/>
        </w:rPr>
      </w:pPr>
      <w:r w:rsidRPr="00BD5D4A">
        <w:rPr>
          <w:snapToGrid w:val="0"/>
          <w:lang w:eastAsia="sk-SK"/>
        </w:rPr>
        <w:t xml:space="preserve">Účtovnú závierku spoločnosti </w:t>
      </w:r>
      <w:r w:rsidR="0005609F" w:rsidRPr="00BD5D4A">
        <w:rPr>
          <w:rFonts w:cs="Arial"/>
          <w:snapToGrid w:val="0"/>
          <w:lang w:eastAsia="sk-SK"/>
        </w:rPr>
        <w:t>Deloitte Slovakia s.r.o.</w:t>
      </w:r>
      <w:r w:rsidRPr="00BD5D4A">
        <w:rPr>
          <w:snapToGrid w:val="0"/>
          <w:lang w:eastAsia="sk-SK"/>
        </w:rPr>
        <w:t>, za rok 20</w:t>
      </w:r>
      <w:r w:rsidR="007C4C15" w:rsidRPr="00BD5D4A">
        <w:rPr>
          <w:snapToGrid w:val="0"/>
          <w:lang w:eastAsia="sk-SK"/>
        </w:rPr>
        <w:t>1</w:t>
      </w:r>
      <w:r w:rsidR="00A127B3">
        <w:rPr>
          <w:snapToGrid w:val="0"/>
          <w:lang w:eastAsia="sk-SK"/>
        </w:rPr>
        <w:t>6</w:t>
      </w:r>
      <w:r w:rsidRPr="00BD5D4A">
        <w:rPr>
          <w:snapToGrid w:val="0"/>
          <w:lang w:eastAsia="sk-SK"/>
        </w:rPr>
        <w:t xml:space="preserve"> schválilo riadne valné zhromaždenie, kto</w:t>
      </w:r>
      <w:r w:rsidR="00AC79A3" w:rsidRPr="00BD5D4A">
        <w:rPr>
          <w:snapToGrid w:val="0"/>
          <w:lang w:eastAsia="sk-SK"/>
        </w:rPr>
        <w:t xml:space="preserve">ré sa </w:t>
      </w:r>
      <w:r w:rsidR="00AC79A3" w:rsidRPr="00CF198D">
        <w:rPr>
          <w:snapToGrid w:val="0"/>
          <w:lang w:eastAsia="sk-SK"/>
        </w:rPr>
        <w:t xml:space="preserve">konalo dňa </w:t>
      </w:r>
      <w:r w:rsidR="00CF198D" w:rsidRPr="00CF198D">
        <w:rPr>
          <w:snapToGrid w:val="0"/>
          <w:lang w:eastAsia="sk-SK"/>
        </w:rPr>
        <w:t>3</w:t>
      </w:r>
      <w:r w:rsidR="006B6AE4" w:rsidRPr="00CF198D">
        <w:rPr>
          <w:snapToGrid w:val="0"/>
          <w:lang w:eastAsia="sk-SK"/>
        </w:rPr>
        <w:t>.</w:t>
      </w:r>
      <w:r w:rsidR="006A54B9" w:rsidRPr="00CF198D">
        <w:rPr>
          <w:snapToGrid w:val="0"/>
          <w:lang w:eastAsia="sk-SK"/>
        </w:rPr>
        <w:t xml:space="preserve"> jú</w:t>
      </w:r>
      <w:r w:rsidR="00CF198D" w:rsidRPr="00CF198D">
        <w:rPr>
          <w:snapToGrid w:val="0"/>
          <w:lang w:eastAsia="sk-SK"/>
        </w:rPr>
        <w:t>la</w:t>
      </w:r>
      <w:r w:rsidR="006A54B9" w:rsidRPr="00CF198D">
        <w:rPr>
          <w:snapToGrid w:val="0"/>
          <w:lang w:eastAsia="sk-SK"/>
        </w:rPr>
        <w:t xml:space="preserve"> </w:t>
      </w:r>
      <w:r w:rsidR="00B3032E" w:rsidRPr="00CF198D">
        <w:rPr>
          <w:snapToGrid w:val="0"/>
          <w:lang w:eastAsia="sk-SK"/>
        </w:rPr>
        <w:t>201</w:t>
      </w:r>
      <w:r w:rsidR="00CF198D" w:rsidRPr="00CF198D">
        <w:rPr>
          <w:snapToGrid w:val="0"/>
          <w:lang w:eastAsia="sk-SK"/>
        </w:rPr>
        <w:t>7</w:t>
      </w:r>
      <w:r w:rsidRPr="00CF198D">
        <w:rPr>
          <w:snapToGrid w:val="0"/>
          <w:lang w:eastAsia="sk-SK"/>
        </w:rPr>
        <w:t>.</w:t>
      </w:r>
      <w:r w:rsidRPr="00BD5D4A">
        <w:rPr>
          <w:snapToGrid w:val="0"/>
          <w:lang w:eastAsia="sk-SK"/>
        </w:rPr>
        <w:t xml:space="preserve"> </w:t>
      </w:r>
    </w:p>
    <w:p w:rsidR="00C81150" w:rsidRPr="00BD5D4A" w:rsidRDefault="00C81150" w:rsidP="00C81150">
      <w:pPr>
        <w:rPr>
          <w:snapToGrid w:val="0"/>
          <w:sz w:val="14"/>
          <w:szCs w:val="14"/>
          <w:lang w:eastAsia="sk-SK"/>
        </w:rPr>
      </w:pPr>
    </w:p>
    <w:p w:rsidR="001A5310" w:rsidRPr="00BD5D4A" w:rsidRDefault="001A5310">
      <w:pPr>
        <w:jc w:val="left"/>
        <w:rPr>
          <w:rFonts w:cs="Arial"/>
          <w:b/>
          <w:bCs/>
          <w:caps/>
          <w:kern w:val="32"/>
          <w:sz w:val="18"/>
          <w:szCs w:val="32"/>
          <w:u w:val="single"/>
        </w:rPr>
      </w:pPr>
      <w:bookmarkStart w:id="3" w:name="_Ref150575427"/>
    </w:p>
    <w:p w:rsidR="00845108" w:rsidRPr="00BD5D4A" w:rsidRDefault="00845108" w:rsidP="00C81150">
      <w:pPr>
        <w:pStyle w:val="Heading1"/>
      </w:pPr>
      <w:r w:rsidRPr="00BD5D4A">
        <w:t>POUŽITÉ ÚČTOVNÉ ZÁSADY A ÚČTOVNÉ METÓDY</w:t>
      </w:r>
    </w:p>
    <w:bookmarkEnd w:id="3"/>
    <w:p w:rsidR="00C81150" w:rsidRPr="00BD5D4A" w:rsidRDefault="00C81150" w:rsidP="00C81150"/>
    <w:p w:rsidR="00C81150" w:rsidRPr="00BD5D4A" w:rsidRDefault="00C81150" w:rsidP="00CB407B">
      <w:pPr>
        <w:numPr>
          <w:ilvl w:val="0"/>
          <w:numId w:val="6"/>
        </w:numPr>
      </w:pPr>
      <w:r w:rsidRPr="00BD5D4A">
        <w:t>Účtovná závierka za rok 20</w:t>
      </w:r>
      <w:r w:rsidR="008C598A" w:rsidRPr="00BD5D4A">
        <w:t>1</w:t>
      </w:r>
      <w:r w:rsidR="005F6456">
        <w:t>7</w:t>
      </w:r>
      <w:r w:rsidRPr="00BD5D4A">
        <w:t xml:space="preserve"> bola spracovaná za predpokladu nepretržitého pokračovania činnosti. </w:t>
      </w:r>
    </w:p>
    <w:p w:rsidR="00C81150" w:rsidRPr="00BD5D4A" w:rsidRDefault="00C81150" w:rsidP="00C81150">
      <w:pPr>
        <w:tabs>
          <w:tab w:val="num" w:pos="540"/>
        </w:tabs>
        <w:ind w:left="540" w:hanging="540"/>
      </w:pPr>
    </w:p>
    <w:p w:rsidR="00C81150" w:rsidRPr="00BD5D4A" w:rsidRDefault="00C81150" w:rsidP="00CB407B">
      <w:pPr>
        <w:numPr>
          <w:ilvl w:val="0"/>
          <w:numId w:val="6"/>
        </w:numPr>
      </w:pPr>
      <w:r w:rsidRPr="00BD5D4A">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BD5D4A" w:rsidRDefault="00C81150" w:rsidP="00C81150">
      <w:pPr>
        <w:tabs>
          <w:tab w:val="num" w:pos="540"/>
        </w:tabs>
        <w:ind w:left="540" w:hanging="540"/>
      </w:pPr>
    </w:p>
    <w:p w:rsidR="00C81150" w:rsidRPr="00BD5D4A" w:rsidRDefault="00C81150" w:rsidP="00CB407B">
      <w:pPr>
        <w:numPr>
          <w:ilvl w:val="0"/>
          <w:numId w:val="6"/>
        </w:numPr>
      </w:pPr>
      <w:r w:rsidRPr="00BD5D4A">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BD5D4A" w:rsidRDefault="00C81150" w:rsidP="00C81150">
      <w:pPr>
        <w:tabs>
          <w:tab w:val="num" w:pos="540"/>
        </w:tabs>
        <w:ind w:left="540" w:hanging="540"/>
      </w:pPr>
    </w:p>
    <w:p w:rsidR="00C81150" w:rsidRPr="00BD5D4A" w:rsidRDefault="00C81150" w:rsidP="00CB407B">
      <w:pPr>
        <w:numPr>
          <w:ilvl w:val="0"/>
          <w:numId w:val="6"/>
        </w:numPr>
      </w:pPr>
      <w:r w:rsidRPr="00BD5D4A">
        <w:t>Moment zaúčtovania výnosov – výnosy sa účtujú pri splnení dodacích podmienok, nakoľko v tomto okamihu prechádzajú na odberateľa významné riziká a vlastnícke práva.</w:t>
      </w:r>
    </w:p>
    <w:p w:rsidR="00C81150" w:rsidRPr="00BD5D4A" w:rsidRDefault="00C81150" w:rsidP="00C81150">
      <w:pPr>
        <w:tabs>
          <w:tab w:val="num" w:pos="540"/>
        </w:tabs>
        <w:ind w:left="540" w:hanging="540"/>
      </w:pPr>
    </w:p>
    <w:p w:rsidR="006A54B9" w:rsidRPr="00BD5D4A" w:rsidRDefault="006A54B9">
      <w:pPr>
        <w:jc w:val="left"/>
      </w:pPr>
      <w:r w:rsidRPr="00BD5D4A">
        <w:br w:type="page"/>
      </w:r>
    </w:p>
    <w:p w:rsidR="00C81150" w:rsidRPr="00BD5D4A" w:rsidRDefault="00C81150" w:rsidP="00CB407B">
      <w:pPr>
        <w:numPr>
          <w:ilvl w:val="0"/>
          <w:numId w:val="6"/>
        </w:numPr>
      </w:pPr>
      <w:r w:rsidRPr="00BD5D4A">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BD5D4A" w:rsidRDefault="00C81150" w:rsidP="00C81150">
      <w:pPr>
        <w:tabs>
          <w:tab w:val="num" w:pos="540"/>
        </w:tabs>
        <w:ind w:left="540" w:hanging="540"/>
      </w:pPr>
    </w:p>
    <w:p w:rsidR="00C81150" w:rsidRPr="00BD5D4A" w:rsidRDefault="00C81150" w:rsidP="00CB407B">
      <w:pPr>
        <w:numPr>
          <w:ilvl w:val="0"/>
          <w:numId w:val="6"/>
        </w:numPr>
      </w:pPr>
      <w:r w:rsidRPr="00BD5D4A">
        <w:t>Použitie odhadov – zostavenie účtovnej závierky si vyžaduje, aby vedenie spoločnosti vypracovalo odhady a predpoklady, ktoré majú vplyv na vykazované sumy aktív a pasív, uvedenie možných budúcich aktív a pasív k</w:t>
      </w:r>
      <w:r w:rsidR="003B3C94" w:rsidRPr="00BD5D4A">
        <w:t> </w:t>
      </w:r>
      <w:r w:rsidRPr="00BD5D4A">
        <w:t>dátumu</w:t>
      </w:r>
      <w:r w:rsidR="003B3C94" w:rsidRPr="00BD5D4A">
        <w:t>, ku ktorému sa zostavuje</w:t>
      </w:r>
      <w:r w:rsidRPr="00BD5D4A">
        <w:t xml:space="preserve"> účtovn</w:t>
      </w:r>
      <w:r w:rsidR="003B3C94" w:rsidRPr="00BD5D4A">
        <w:t>á</w:t>
      </w:r>
      <w:r w:rsidRPr="00BD5D4A">
        <w:t xml:space="preserve"> závierk</w:t>
      </w:r>
      <w:r w:rsidR="003B3C94" w:rsidRPr="00BD5D4A">
        <w:t>a</w:t>
      </w:r>
      <w:r w:rsidRPr="00BD5D4A">
        <w:t>, ako aj na vykazovanú výšku výnosov a nákladov počas roka. Skutočné výsledky sa môžu od takýchto odhadov líšiť.</w:t>
      </w:r>
    </w:p>
    <w:p w:rsidR="00C81150" w:rsidRPr="00BD5D4A" w:rsidRDefault="00C81150" w:rsidP="00C81150">
      <w:pPr>
        <w:tabs>
          <w:tab w:val="num" w:pos="540"/>
        </w:tabs>
        <w:ind w:left="540" w:hanging="540"/>
      </w:pPr>
    </w:p>
    <w:p w:rsidR="00C81150" w:rsidRPr="00BD5D4A" w:rsidRDefault="00C81150" w:rsidP="00CB407B">
      <w:pPr>
        <w:numPr>
          <w:ilvl w:val="0"/>
          <w:numId w:val="6"/>
        </w:numPr>
      </w:pPr>
      <w:r w:rsidRPr="00BD5D4A">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BD5D4A" w:rsidRDefault="002551CB" w:rsidP="006A54B9">
      <w:pPr>
        <w:tabs>
          <w:tab w:val="num" w:pos="540"/>
        </w:tabs>
        <w:ind w:left="540" w:hanging="540"/>
      </w:pPr>
    </w:p>
    <w:p w:rsidR="00B3032E" w:rsidRPr="00BD5D4A" w:rsidRDefault="00B3032E" w:rsidP="006A54B9">
      <w:pPr>
        <w:tabs>
          <w:tab w:val="num" w:pos="540"/>
        </w:tabs>
        <w:ind w:left="540" w:hanging="540"/>
      </w:pPr>
      <w:bookmarkStart w:id="4" w:name="_Ref150575436"/>
    </w:p>
    <w:p w:rsidR="00C81150" w:rsidRPr="00BD5D4A" w:rsidRDefault="00C81150" w:rsidP="00C81150">
      <w:pPr>
        <w:pStyle w:val="Heading2"/>
        <w:numPr>
          <w:ilvl w:val="1"/>
          <w:numId w:val="4"/>
        </w:numPr>
      </w:pPr>
      <w:r w:rsidRPr="00BD5D4A">
        <w:t>Spôsob ocenenia jednotlivých zložiek majetku a záväzkov – prvé ocenenie</w:t>
      </w:r>
      <w:bookmarkEnd w:id="4"/>
    </w:p>
    <w:p w:rsidR="00C81150" w:rsidRPr="00BD5D4A" w:rsidRDefault="00C81150" w:rsidP="006A54B9">
      <w:pPr>
        <w:tabs>
          <w:tab w:val="num" w:pos="540"/>
        </w:tabs>
        <w:ind w:left="540" w:hanging="540"/>
      </w:pPr>
    </w:p>
    <w:p w:rsidR="00C81150" w:rsidRPr="00BD5D4A" w:rsidRDefault="00C81150" w:rsidP="00C81150">
      <w:r w:rsidRPr="00BD5D4A">
        <w:t>Pri obstaraní majetku sa uplatňuje princíp obstarávacích cien (t. j. historických cien). Ocenenie jednotlivých položiek majetku a záväzkov je takéto:</w:t>
      </w:r>
    </w:p>
    <w:p w:rsidR="00234DD8" w:rsidRPr="00BD5D4A" w:rsidRDefault="00234DD8" w:rsidP="004570ED">
      <w:pPr>
        <w:ind w:left="539"/>
      </w:pPr>
    </w:p>
    <w:p w:rsidR="00C81150" w:rsidRPr="00BD5D4A" w:rsidRDefault="00C81150" w:rsidP="00C81150">
      <w:pPr>
        <w:numPr>
          <w:ilvl w:val="0"/>
          <w:numId w:val="5"/>
        </w:numPr>
      </w:pPr>
      <w:r w:rsidRPr="00BD5D4A">
        <w:t>Pohľadávky:</w:t>
      </w:r>
    </w:p>
    <w:p w:rsidR="00C81150" w:rsidRPr="00BD5D4A" w:rsidRDefault="00C81150" w:rsidP="00CB407B">
      <w:pPr>
        <w:numPr>
          <w:ilvl w:val="0"/>
          <w:numId w:val="9"/>
        </w:numPr>
        <w:rPr>
          <w:snapToGrid w:val="0"/>
          <w:lang w:eastAsia="sk-SK"/>
        </w:rPr>
      </w:pPr>
      <w:r w:rsidRPr="00BD5D4A">
        <w:rPr>
          <w:snapToGrid w:val="0"/>
          <w:lang w:eastAsia="sk-SK"/>
        </w:rPr>
        <w:t>pri ich vzniku alebo bezodplatnom nadobudnutí – menovitou hodnotou,</w:t>
      </w:r>
    </w:p>
    <w:p w:rsidR="00C81150" w:rsidRPr="00BD5D4A" w:rsidRDefault="00C81150" w:rsidP="00CB407B">
      <w:pPr>
        <w:numPr>
          <w:ilvl w:val="0"/>
          <w:numId w:val="9"/>
        </w:numPr>
        <w:rPr>
          <w:snapToGrid w:val="0"/>
          <w:lang w:eastAsia="sk-SK"/>
        </w:rPr>
      </w:pPr>
      <w:r w:rsidRPr="00BD5D4A">
        <w:rPr>
          <w:snapToGrid w:val="0"/>
          <w:lang w:eastAsia="sk-SK"/>
        </w:rPr>
        <w:t>pri odplatnom nadobudnutí (postúpení) alebo nadobudnutí vkladom do základného imania – obstarávacou cenou.</w:t>
      </w:r>
    </w:p>
    <w:p w:rsidR="00C81150" w:rsidRPr="00BD5D4A" w:rsidRDefault="00C81150" w:rsidP="00CB407B">
      <w:pPr>
        <w:ind w:left="539"/>
      </w:pPr>
    </w:p>
    <w:p w:rsidR="00C81150" w:rsidRPr="00BD5D4A" w:rsidRDefault="00C81150" w:rsidP="00CB407B">
      <w:pPr>
        <w:ind w:left="539"/>
      </w:pPr>
      <w:r w:rsidRPr="00BD5D4A">
        <w:t xml:space="preserve">Pri </w:t>
      </w:r>
      <w:r w:rsidR="0000253C" w:rsidRPr="00BD5D4A">
        <w:t>neúročených</w:t>
      </w:r>
      <w:r w:rsidR="001D2B78" w:rsidRPr="00BD5D4A">
        <w:t xml:space="preserve"> </w:t>
      </w:r>
      <w:r w:rsidRPr="00BD5D4A">
        <w:t>dlhodobých pohľadávkach</w:t>
      </w:r>
      <w:r w:rsidR="00511BA5" w:rsidRPr="00BD5D4A">
        <w:t xml:space="preserve"> a dlhodobých pôžičkách</w:t>
      </w:r>
      <w:r w:rsidRPr="00BD5D4A">
        <w:t xml:space="preserve"> sa uvádza opravná položka v </w:t>
      </w:r>
      <w:r w:rsidR="00511BA5" w:rsidRPr="00BD5D4A">
        <w:t xml:space="preserve">stĺpci </w:t>
      </w:r>
      <w:r w:rsidRPr="00BD5D4A">
        <w:t xml:space="preserve">korekcia, čím sa </w:t>
      </w:r>
      <w:r w:rsidR="00511BA5" w:rsidRPr="00BD5D4A">
        <w:t>upravuje hodnota tejto pohľadávky a pôžičky na jej súčasnú hodnotu, napríklad metódou efektívnej úrokovej miery</w:t>
      </w:r>
      <w:r w:rsidRPr="00BD5D4A">
        <w:t xml:space="preserve">. </w:t>
      </w:r>
    </w:p>
    <w:p w:rsidR="00C81150" w:rsidRPr="00BD5D4A" w:rsidRDefault="00C81150" w:rsidP="00CB407B">
      <w:pPr>
        <w:ind w:left="539"/>
      </w:pPr>
    </w:p>
    <w:p w:rsidR="00C81150" w:rsidRPr="00BD5D4A" w:rsidRDefault="00C81150" w:rsidP="00C81150">
      <w:pPr>
        <w:numPr>
          <w:ilvl w:val="0"/>
          <w:numId w:val="5"/>
        </w:numPr>
      </w:pPr>
      <w:r w:rsidRPr="00BD5D4A">
        <w:t>Časové rozlíšenie na strane aktív súvahy – očakávanou menovitou hodnotou.</w:t>
      </w:r>
    </w:p>
    <w:p w:rsidR="00845108" w:rsidRPr="00BD5D4A" w:rsidRDefault="00845108" w:rsidP="009E172B"/>
    <w:p w:rsidR="00C81150" w:rsidRPr="00BD5D4A" w:rsidRDefault="00C81150" w:rsidP="00C81150">
      <w:pPr>
        <w:numPr>
          <w:ilvl w:val="0"/>
          <w:numId w:val="5"/>
        </w:numPr>
      </w:pPr>
      <w:r w:rsidRPr="00BD5D4A">
        <w:t>Záväzky:</w:t>
      </w:r>
    </w:p>
    <w:p w:rsidR="00C81150" w:rsidRPr="00BD5D4A" w:rsidRDefault="00C81150" w:rsidP="00CB407B">
      <w:pPr>
        <w:numPr>
          <w:ilvl w:val="0"/>
          <w:numId w:val="10"/>
        </w:numPr>
        <w:rPr>
          <w:snapToGrid w:val="0"/>
          <w:lang w:eastAsia="sk-SK"/>
        </w:rPr>
      </w:pPr>
      <w:r w:rsidRPr="00BD5D4A">
        <w:rPr>
          <w:snapToGrid w:val="0"/>
          <w:lang w:eastAsia="sk-SK"/>
        </w:rPr>
        <w:t>pri ich vzniku – menovitou hodnotou,</w:t>
      </w:r>
    </w:p>
    <w:p w:rsidR="00C81150" w:rsidRPr="00BD5D4A" w:rsidRDefault="00C81150" w:rsidP="00CB407B">
      <w:pPr>
        <w:numPr>
          <w:ilvl w:val="0"/>
          <w:numId w:val="10"/>
        </w:numPr>
        <w:rPr>
          <w:snapToGrid w:val="0"/>
          <w:lang w:eastAsia="sk-SK"/>
        </w:rPr>
      </w:pPr>
      <w:r w:rsidRPr="00BD5D4A">
        <w:rPr>
          <w:snapToGrid w:val="0"/>
          <w:lang w:eastAsia="sk-SK"/>
        </w:rPr>
        <w:t>pri prevzatí – obstarávacou cenou.</w:t>
      </w:r>
    </w:p>
    <w:p w:rsidR="00417846" w:rsidRPr="00BD5D4A" w:rsidRDefault="00417846" w:rsidP="00417846">
      <w:pPr>
        <w:rPr>
          <w:snapToGrid w:val="0"/>
          <w:lang w:eastAsia="sk-SK"/>
        </w:rPr>
      </w:pPr>
    </w:p>
    <w:p w:rsidR="00C81150" w:rsidRPr="00BD5D4A" w:rsidRDefault="00C81150" w:rsidP="00C81150">
      <w:pPr>
        <w:numPr>
          <w:ilvl w:val="0"/>
          <w:numId w:val="5"/>
        </w:numPr>
      </w:pPr>
      <w:r w:rsidRPr="00BD5D4A">
        <w:t>Rezervy – v očakávanej výške záväzku alebo poistnomatematickými metódami.</w:t>
      </w:r>
    </w:p>
    <w:p w:rsidR="00C81150" w:rsidRPr="00BD5D4A" w:rsidRDefault="00C81150" w:rsidP="00C81150"/>
    <w:p w:rsidR="00C81150" w:rsidRPr="00BD5D4A" w:rsidRDefault="00C81150" w:rsidP="00C81150">
      <w:pPr>
        <w:numPr>
          <w:ilvl w:val="0"/>
          <w:numId w:val="5"/>
        </w:numPr>
      </w:pPr>
      <w:r w:rsidRPr="00BD5D4A">
        <w:t>Časové rozlíšenie na strane pasív súvahy – očakávanou menovitou hodnotou.</w:t>
      </w:r>
    </w:p>
    <w:p w:rsidR="00C81150" w:rsidRPr="00BD5D4A" w:rsidRDefault="00C81150" w:rsidP="00C81150"/>
    <w:p w:rsidR="00C81150" w:rsidRPr="00BD5D4A" w:rsidRDefault="00C81150" w:rsidP="00C81150">
      <w:pPr>
        <w:numPr>
          <w:ilvl w:val="0"/>
          <w:numId w:val="5"/>
        </w:numPr>
      </w:pPr>
      <w:r w:rsidRPr="00BD5D4A">
        <w:t>Daň z príjmov splatná – podľa slovenského zákona o dani z príjmov sa splatné dane z príjmov určujú z účtovného zisku</w:t>
      </w:r>
      <w:r w:rsidR="001D2B78" w:rsidRPr="00BD5D4A">
        <w:t xml:space="preserve"> pred zdanením</w:t>
      </w:r>
      <w:r w:rsidRPr="00BD5D4A">
        <w:t xml:space="preserve"> pri sadzbe </w:t>
      </w:r>
      <w:r w:rsidR="00B3032E" w:rsidRPr="00BD5D4A">
        <w:t>22</w:t>
      </w:r>
      <w:r w:rsidR="00864105" w:rsidRPr="00BD5D4A">
        <w:t xml:space="preserve"> </w:t>
      </w:r>
      <w:r w:rsidRPr="00BD5D4A">
        <w:t>% po úpravách o niektoré položky na daňové účely.</w:t>
      </w:r>
    </w:p>
    <w:p w:rsidR="00C81150" w:rsidRPr="00BD5D4A" w:rsidRDefault="00C81150" w:rsidP="00C81150"/>
    <w:p w:rsidR="00C81150" w:rsidRPr="00BD5D4A" w:rsidRDefault="00C81150" w:rsidP="00C81150">
      <w:pPr>
        <w:numPr>
          <w:ilvl w:val="0"/>
          <w:numId w:val="5"/>
        </w:numPr>
      </w:pPr>
      <w:r w:rsidRPr="00BD5D4A">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BD5D4A">
        <w:t>2</w:t>
      </w:r>
      <w:r w:rsidR="00BD5D4A">
        <w:t>1</w:t>
      </w:r>
      <w:r w:rsidRPr="00BD5D4A">
        <w:t xml:space="preserve"> %.</w:t>
      </w:r>
    </w:p>
    <w:p w:rsidR="00C81150" w:rsidRPr="00BD5D4A" w:rsidRDefault="00C81150" w:rsidP="00C81150"/>
    <w:p w:rsidR="0000253C" w:rsidRPr="00BD5D4A" w:rsidRDefault="0000253C" w:rsidP="00DB2CCC"/>
    <w:p w:rsidR="00C81150" w:rsidRPr="00BD5D4A" w:rsidRDefault="00C81150" w:rsidP="00C81150">
      <w:pPr>
        <w:pStyle w:val="Heading2"/>
      </w:pPr>
      <w:bookmarkStart w:id="5" w:name="_Ref150575465"/>
      <w:r w:rsidRPr="00BD5D4A">
        <w:t>Spôsob ocenenia jednotlivých zložiek majetku a záväzkov – nasledujúce ocenenie</w:t>
      </w:r>
      <w:bookmarkEnd w:id="5"/>
    </w:p>
    <w:p w:rsidR="00C81150" w:rsidRPr="00BD5D4A" w:rsidRDefault="00C81150" w:rsidP="00C81150"/>
    <w:p w:rsidR="00C81150" w:rsidRPr="00BD5D4A" w:rsidRDefault="00C81150" w:rsidP="00C81150">
      <w:pPr>
        <w:numPr>
          <w:ilvl w:val="0"/>
          <w:numId w:val="16"/>
        </w:numPr>
      </w:pPr>
      <w:bookmarkStart w:id="6" w:name="_Ref150575467"/>
      <w:r w:rsidRPr="00BD5D4A">
        <w:t>Predpokladané riziká, straty a zníženia hodnoty, ktoré sa týkajú majetku a záväzkov, sa vyjadrujú prostredníc</w:t>
      </w:r>
      <w:r w:rsidR="00820271" w:rsidRPr="00BD5D4A">
        <w:t>tvom rezerv, opravných položiek</w:t>
      </w:r>
      <w:r w:rsidRPr="00BD5D4A">
        <w:t>.</w:t>
      </w:r>
      <w:bookmarkEnd w:id="6"/>
      <w:r w:rsidRPr="00BD5D4A">
        <w:t xml:space="preserve"> </w:t>
      </w:r>
    </w:p>
    <w:p w:rsidR="00C81150" w:rsidRPr="00BD5D4A" w:rsidRDefault="00C81150" w:rsidP="00C81150"/>
    <w:p w:rsidR="00820271" w:rsidRPr="00BD5D4A" w:rsidRDefault="00820271" w:rsidP="00B3032E">
      <w:pPr>
        <w:numPr>
          <w:ilvl w:val="0"/>
          <w:numId w:val="54"/>
        </w:numPr>
        <w:tabs>
          <w:tab w:val="clear" w:pos="993"/>
        </w:tabs>
        <w:ind w:left="851" w:hanging="284"/>
        <w:rPr>
          <w:rFonts w:cs="Arial"/>
          <w:snapToGrid w:val="0"/>
          <w:lang w:eastAsia="sk-SK"/>
        </w:rPr>
      </w:pPr>
      <w:r w:rsidRPr="00BD5D4A">
        <w:rPr>
          <w:rFonts w:cs="Arial"/>
          <w:snapToGrid w:val="0"/>
          <w:u w:val="single"/>
          <w:lang w:eastAsia="sk-SK"/>
        </w:rPr>
        <w:t>Rezervy</w:t>
      </w:r>
      <w:r w:rsidRPr="00BD5D4A">
        <w:rPr>
          <w:rFonts w:cs="Arial"/>
          <w:snapToGrid w:val="0"/>
          <w:lang w:eastAsia="sk-SK"/>
        </w:rPr>
        <w:t xml:space="preserve"> – účtujú sa v očakávanej výške záväzku. Ku dňu, ku ktorému sa zostavuje účtovná závierka, sa posudzuje ich výška a odôvodnenosť. </w:t>
      </w:r>
    </w:p>
    <w:p w:rsidR="00820271" w:rsidRPr="00BD5D4A" w:rsidRDefault="00820271" w:rsidP="00B3032E">
      <w:pPr>
        <w:ind w:left="851" w:hanging="284"/>
        <w:rPr>
          <w:rFonts w:cs="Arial"/>
          <w:snapToGrid w:val="0"/>
          <w:lang w:eastAsia="sk-SK"/>
        </w:rPr>
      </w:pPr>
    </w:p>
    <w:p w:rsidR="00820271" w:rsidRPr="00BD5D4A" w:rsidRDefault="00820271" w:rsidP="00B3032E">
      <w:pPr>
        <w:numPr>
          <w:ilvl w:val="0"/>
          <w:numId w:val="54"/>
        </w:numPr>
        <w:tabs>
          <w:tab w:val="clear" w:pos="993"/>
        </w:tabs>
        <w:ind w:left="851" w:hanging="284"/>
        <w:rPr>
          <w:rFonts w:cs="Arial"/>
          <w:snapToGrid w:val="0"/>
          <w:lang w:eastAsia="sk-SK"/>
        </w:rPr>
      </w:pPr>
      <w:r w:rsidRPr="00BD5D4A">
        <w:rPr>
          <w:rFonts w:cs="Arial"/>
          <w:snapToGrid w:val="0"/>
          <w:u w:val="single"/>
          <w:lang w:eastAsia="sk-SK"/>
        </w:rPr>
        <w:t>Opravné položky</w:t>
      </w:r>
      <w:r w:rsidRPr="00BD5D4A">
        <w:rPr>
          <w:rFonts w:cs="Arial"/>
          <w:snapToGrid w:val="0"/>
          <w:lang w:eastAsia="sk-SK"/>
        </w:rPr>
        <w:t xml:space="preserve"> – k pohľadávkam po lehote splatnosti, na základe individuálneho posúdenia.</w:t>
      </w:r>
    </w:p>
    <w:p w:rsidR="00C81150" w:rsidRPr="00BD5D4A" w:rsidRDefault="00C81150" w:rsidP="00C81150"/>
    <w:p w:rsidR="0000253C" w:rsidRPr="00BD5D4A" w:rsidRDefault="0000253C" w:rsidP="0000253C"/>
    <w:p w:rsidR="006A54B9" w:rsidRPr="00BD5D4A" w:rsidRDefault="006A54B9">
      <w:pPr>
        <w:jc w:val="left"/>
        <w:rPr>
          <w:rFonts w:cs="Arial"/>
          <w:b/>
          <w:bCs/>
          <w:iCs/>
          <w:szCs w:val="28"/>
        </w:rPr>
      </w:pPr>
      <w:r w:rsidRPr="00BD5D4A">
        <w:br w:type="page"/>
      </w:r>
    </w:p>
    <w:p w:rsidR="00C81150" w:rsidRPr="00BD5D4A" w:rsidRDefault="00C81150" w:rsidP="00CB407B">
      <w:pPr>
        <w:pStyle w:val="Heading2"/>
      </w:pPr>
      <w:r w:rsidRPr="00BD5D4A">
        <w:lastRenderedPageBreak/>
        <w:t>Prepočet údajov v cudzích menách na slovenskú menu</w:t>
      </w:r>
    </w:p>
    <w:p w:rsidR="00C81150" w:rsidRPr="00BD5D4A" w:rsidRDefault="00C81150" w:rsidP="00C81150"/>
    <w:p w:rsidR="00C81150" w:rsidRPr="00BD5D4A" w:rsidRDefault="00C81150" w:rsidP="00C81150">
      <w:r w:rsidRPr="00BD5D4A">
        <w:t xml:space="preserve">Majetok a záväzky vyjadrené v cudzej mene sa prepočítavajú na </w:t>
      </w:r>
      <w:r w:rsidR="006A49A3" w:rsidRPr="00BD5D4A">
        <w:t>eurá referenčným výmenným</w:t>
      </w:r>
      <w:r w:rsidRPr="00BD5D4A">
        <w:t xml:space="preserve"> kurzom určeným </w:t>
      </w:r>
      <w:r w:rsidR="00487854" w:rsidRPr="00BD5D4A">
        <w:t>a vyhláseným Európskou centrálnou bankou (ECB) alebo Národnou bankou Slovenska (</w:t>
      </w:r>
      <w:r w:rsidRPr="00BD5D4A">
        <w:t>NBS</w:t>
      </w:r>
      <w:r w:rsidR="00487854" w:rsidRPr="00BD5D4A">
        <w:t>)</w:t>
      </w:r>
      <w:r w:rsidRPr="00BD5D4A">
        <w:t xml:space="preserve"> </w:t>
      </w:r>
      <w:r w:rsidR="00487854" w:rsidRPr="00BD5D4A">
        <w:t xml:space="preserve">v deň predchádzajúci </w:t>
      </w:r>
      <w:r w:rsidRPr="00BD5D4A">
        <w:t xml:space="preserve">dňu uskutočnenia účtovného prípadu a </w:t>
      </w:r>
      <w:r w:rsidR="00487854" w:rsidRPr="00BD5D4A">
        <w:t>v deň</w:t>
      </w:r>
      <w:r w:rsidR="003B3C94" w:rsidRPr="00BD5D4A">
        <w:t>, ku ktorému sa zostavuje účtovná závierka</w:t>
      </w:r>
      <w:r w:rsidRPr="00BD5D4A">
        <w:t xml:space="preserve">. </w:t>
      </w:r>
      <w:r w:rsidR="000F2546" w:rsidRPr="00BD5D4A">
        <w:t xml:space="preserve">Prijaté a poskytnuté preddavky v cudzej mene sa </w:t>
      </w:r>
      <w:r w:rsidR="006F1C45" w:rsidRPr="00BD5D4A">
        <w:t>ku dňu, ku ktorému sa zostavuje účtovná závierka</w:t>
      </w:r>
      <w:r w:rsidR="007D6303" w:rsidRPr="00BD5D4A">
        <w:t>,</w:t>
      </w:r>
      <w:r w:rsidR="006F1C45" w:rsidRPr="00BD5D4A">
        <w:t xml:space="preserve"> neprepočítavajú. </w:t>
      </w:r>
      <w:r w:rsidRPr="00BD5D4A">
        <w:t xml:space="preserve">Pri kúpe a predaji cudzej meny za menu </w:t>
      </w:r>
      <w:r w:rsidR="00487854" w:rsidRPr="00BD5D4A">
        <w:t xml:space="preserve">euro a pri prevode peňažných prostriedkov z účtu zriadeného v cudzej mene na účet zriadený v eurách a z účtu zriadeného v eurách na účet zriadený v cudzej mene </w:t>
      </w:r>
      <w:r w:rsidRPr="00BD5D4A">
        <w:t>sa použil kurz, za ktorý boli tieto hodnoty nakúpené alebo predané.</w:t>
      </w:r>
      <w:r w:rsidR="006F1C45" w:rsidRPr="00BD5D4A">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D5D4A">
        <w:t xml:space="preserve">referenčný výmenný </w:t>
      </w:r>
      <w:r w:rsidR="00D3184D" w:rsidRPr="00BD5D4A">
        <w:t xml:space="preserve">kurz </w:t>
      </w:r>
      <w:r w:rsidR="00487854" w:rsidRPr="00BD5D4A">
        <w:t>určený a vyhlásený ECB alebo</w:t>
      </w:r>
      <w:r w:rsidR="006F1C45" w:rsidRPr="00BD5D4A">
        <w:t xml:space="preserve"> NBS v deň </w:t>
      </w:r>
      <w:r w:rsidR="00487854" w:rsidRPr="00BD5D4A">
        <w:t xml:space="preserve">predchádzajúci dňu </w:t>
      </w:r>
      <w:r w:rsidR="006F1C45" w:rsidRPr="00BD5D4A">
        <w:t>vysporiadania obchodu.</w:t>
      </w:r>
    </w:p>
    <w:p w:rsidR="006E12AB" w:rsidRPr="00BD5D4A" w:rsidRDefault="006E12AB">
      <w:pPr>
        <w:jc w:val="left"/>
        <w:rPr>
          <w:rFonts w:cs="Arial"/>
          <w:b/>
          <w:bCs/>
          <w:iCs/>
          <w:szCs w:val="28"/>
        </w:rPr>
      </w:pPr>
    </w:p>
    <w:p w:rsidR="00B3032E" w:rsidRPr="00BD5D4A" w:rsidRDefault="00B3032E">
      <w:pPr>
        <w:jc w:val="left"/>
        <w:rPr>
          <w:rFonts w:cs="Arial"/>
          <w:b/>
          <w:bCs/>
          <w:caps/>
          <w:kern w:val="32"/>
          <w:sz w:val="18"/>
          <w:szCs w:val="32"/>
          <w:u w:val="single"/>
        </w:rPr>
      </w:pPr>
    </w:p>
    <w:p w:rsidR="00172B11" w:rsidRPr="00BD5D4A" w:rsidRDefault="00770BE0" w:rsidP="001438F2">
      <w:pPr>
        <w:pStyle w:val="Heading1"/>
      </w:pPr>
      <w:r w:rsidRPr="00BD5D4A">
        <w:t>Inform</w:t>
      </w:r>
      <w:r w:rsidR="00AE2528" w:rsidRPr="00BD5D4A">
        <w:t>á</w:t>
      </w:r>
      <w:r w:rsidRPr="00BD5D4A">
        <w:t>cie, ktor</w:t>
      </w:r>
      <w:r w:rsidR="00AE2528" w:rsidRPr="00BD5D4A">
        <w:t>é</w:t>
      </w:r>
      <w:r w:rsidRPr="00BD5D4A">
        <w:t xml:space="preserve"> vysvet</w:t>
      </w:r>
      <w:r w:rsidR="00AE2528" w:rsidRPr="00BD5D4A">
        <w:t>ľ</w:t>
      </w:r>
      <w:r w:rsidRPr="00BD5D4A">
        <w:t>uj</w:t>
      </w:r>
      <w:r w:rsidR="00AE2528" w:rsidRPr="00BD5D4A">
        <w:t>ú a dopĺňajú</w:t>
      </w:r>
      <w:r w:rsidRPr="00BD5D4A">
        <w:t xml:space="preserve"> s</w:t>
      </w:r>
      <w:r w:rsidR="00AE2528" w:rsidRPr="00BD5D4A">
        <w:t>ú</w:t>
      </w:r>
      <w:r w:rsidRPr="00BD5D4A">
        <w:t>vahu a v</w:t>
      </w:r>
      <w:r w:rsidR="00AE2528" w:rsidRPr="00BD5D4A">
        <w:t>ý</w:t>
      </w:r>
      <w:r w:rsidRPr="00BD5D4A">
        <w:t>kaz ziskov a str</w:t>
      </w:r>
      <w:r w:rsidR="00AE2528" w:rsidRPr="00BD5D4A">
        <w:t>á</w:t>
      </w:r>
      <w:r w:rsidRPr="00BD5D4A">
        <w:t>t</w:t>
      </w:r>
    </w:p>
    <w:p w:rsidR="00B3032E" w:rsidRPr="00BD5D4A" w:rsidRDefault="00B3032E">
      <w:pPr>
        <w:jc w:val="left"/>
        <w:rPr>
          <w:rFonts w:cs="Arial"/>
          <w:b/>
          <w:bCs/>
          <w:iCs/>
          <w:szCs w:val="28"/>
        </w:rPr>
      </w:pPr>
    </w:p>
    <w:p w:rsidR="0074448F" w:rsidRPr="00BD5D4A" w:rsidRDefault="0074448F" w:rsidP="008711DF">
      <w:pPr>
        <w:pStyle w:val="Heading2"/>
      </w:pPr>
      <w:r w:rsidRPr="00BD5D4A">
        <w:t xml:space="preserve">Záväzky </w:t>
      </w:r>
    </w:p>
    <w:p w:rsidR="0074448F" w:rsidRPr="00BD5D4A" w:rsidRDefault="0074448F" w:rsidP="0074448F">
      <w:pPr>
        <w:rPr>
          <w:snapToGrid w:val="0"/>
          <w:lang w:eastAsia="sk-SK"/>
        </w:rPr>
      </w:pPr>
    </w:p>
    <w:p w:rsidR="008B77F4" w:rsidRPr="00BD5D4A" w:rsidRDefault="00770BE0" w:rsidP="008B77F4">
      <w:pPr>
        <w:pStyle w:val="Heading3"/>
      </w:pPr>
      <w:r w:rsidRPr="00BD5D4A">
        <w:t>Záväzky podľa zostatkovej doby splatnosti</w:t>
      </w:r>
    </w:p>
    <w:p w:rsidR="00B3032E" w:rsidRPr="00BD5D4A" w:rsidRDefault="00B3032E" w:rsidP="008711DF">
      <w:bookmarkStart w:id="7" w:name="T_payables_maturity"/>
      <w:r w:rsidRPr="00BD5D4A">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B3032E" w:rsidRPr="00BD5D4A" w:rsidTr="006A54B9">
        <w:tc>
          <w:tcPr>
            <w:tcW w:w="3423" w:type="pct"/>
            <w:tcBorders>
              <w:top w:val="single" w:sz="8" w:space="0" w:color="auto"/>
              <w:left w:val="nil"/>
              <w:bottom w:val="nil"/>
              <w:right w:val="nil"/>
            </w:tcBorders>
            <w:shd w:val="clear" w:color="auto" w:fill="auto"/>
            <w:vAlign w:val="center"/>
            <w:hideMark/>
          </w:tcPr>
          <w:p w:rsidR="00B3032E" w:rsidRPr="00BD5D4A" w:rsidRDefault="00B3032E" w:rsidP="00B3032E">
            <w:pPr>
              <w:jc w:val="left"/>
              <w:rPr>
                <w:rFonts w:cs="Arial"/>
                <w:b/>
                <w:bCs/>
                <w:i/>
                <w:iCs/>
                <w:sz w:val="15"/>
                <w:szCs w:val="15"/>
                <w:lang w:eastAsia="sk-SK"/>
              </w:rPr>
            </w:pPr>
            <w:r w:rsidRPr="00BD5D4A">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B3032E" w:rsidRPr="00BD5D4A" w:rsidRDefault="00B3032E" w:rsidP="00A127B3">
            <w:pPr>
              <w:jc w:val="center"/>
              <w:rPr>
                <w:rFonts w:cs="Arial"/>
                <w:b/>
                <w:bCs/>
                <w:i/>
                <w:iCs/>
                <w:sz w:val="15"/>
                <w:szCs w:val="15"/>
                <w:lang w:eastAsia="sk-SK"/>
              </w:rPr>
            </w:pPr>
            <w:r w:rsidRPr="00BD5D4A">
              <w:rPr>
                <w:rFonts w:cs="Arial"/>
                <w:b/>
                <w:bCs/>
                <w:i/>
                <w:iCs/>
                <w:sz w:val="15"/>
                <w:szCs w:val="15"/>
                <w:lang w:eastAsia="sk-SK"/>
              </w:rPr>
              <w:t>31.12.201</w:t>
            </w:r>
            <w:r w:rsidR="00A127B3">
              <w:rPr>
                <w:rFonts w:cs="Arial"/>
                <w:b/>
                <w:bCs/>
                <w:i/>
                <w:iCs/>
                <w:sz w:val="15"/>
                <w:szCs w:val="15"/>
                <w:lang w:eastAsia="sk-SK"/>
              </w:rPr>
              <w:t>7</w:t>
            </w:r>
          </w:p>
        </w:tc>
        <w:tc>
          <w:tcPr>
            <w:tcW w:w="783" w:type="pct"/>
            <w:tcBorders>
              <w:top w:val="single" w:sz="8" w:space="0" w:color="auto"/>
              <w:left w:val="nil"/>
              <w:bottom w:val="nil"/>
              <w:right w:val="nil"/>
            </w:tcBorders>
            <w:shd w:val="clear" w:color="auto" w:fill="auto"/>
            <w:vAlign w:val="center"/>
            <w:hideMark/>
          </w:tcPr>
          <w:p w:rsidR="00B3032E" w:rsidRPr="00BD5D4A" w:rsidRDefault="00B3032E" w:rsidP="00A127B3">
            <w:pPr>
              <w:jc w:val="center"/>
              <w:rPr>
                <w:rFonts w:cs="Arial"/>
                <w:b/>
                <w:bCs/>
                <w:i/>
                <w:iCs/>
                <w:sz w:val="15"/>
                <w:szCs w:val="15"/>
                <w:lang w:eastAsia="sk-SK"/>
              </w:rPr>
            </w:pPr>
            <w:r w:rsidRPr="00BD5D4A">
              <w:rPr>
                <w:rFonts w:cs="Arial"/>
                <w:b/>
                <w:bCs/>
                <w:i/>
                <w:iCs/>
                <w:sz w:val="15"/>
                <w:szCs w:val="15"/>
                <w:lang w:eastAsia="sk-SK"/>
              </w:rPr>
              <w:t>31.12.201</w:t>
            </w:r>
            <w:r w:rsidR="00A127B3">
              <w:rPr>
                <w:rFonts w:cs="Arial"/>
                <w:b/>
                <w:bCs/>
                <w:i/>
                <w:iCs/>
                <w:sz w:val="15"/>
                <w:szCs w:val="15"/>
                <w:lang w:eastAsia="sk-SK"/>
              </w:rPr>
              <w:t>6</w:t>
            </w:r>
          </w:p>
        </w:tc>
      </w:tr>
      <w:tr w:rsidR="00B3032E" w:rsidRPr="00BD5D4A" w:rsidTr="006A54B9">
        <w:tc>
          <w:tcPr>
            <w:tcW w:w="3423" w:type="pct"/>
            <w:tcBorders>
              <w:top w:val="single" w:sz="4" w:space="0" w:color="auto"/>
              <w:left w:val="nil"/>
              <w:bottom w:val="nil"/>
              <w:right w:val="nil"/>
            </w:tcBorders>
            <w:shd w:val="clear" w:color="auto" w:fill="auto"/>
            <w:vAlign w:val="center"/>
            <w:hideMark/>
          </w:tcPr>
          <w:p w:rsidR="00B3032E" w:rsidRPr="00BD5D4A" w:rsidRDefault="00B3032E" w:rsidP="00B3032E">
            <w:pPr>
              <w:rPr>
                <w:rFonts w:cs="Arial"/>
                <w:b/>
                <w:bCs/>
                <w:i/>
                <w:iCs/>
                <w:sz w:val="15"/>
                <w:szCs w:val="15"/>
                <w:lang w:eastAsia="sk-SK"/>
              </w:rPr>
            </w:pPr>
            <w:r w:rsidRPr="00BD5D4A">
              <w:rPr>
                <w:rFonts w:cs="Arial"/>
                <w:b/>
                <w:bCs/>
                <w:i/>
                <w:iCs/>
                <w:sz w:val="15"/>
                <w:szCs w:val="15"/>
                <w:lang w:eastAsia="sk-SK"/>
              </w:rPr>
              <w:t>Dlhodobé záväzky:</w:t>
            </w:r>
          </w:p>
        </w:tc>
        <w:tc>
          <w:tcPr>
            <w:tcW w:w="794" w:type="pct"/>
            <w:tcBorders>
              <w:top w:val="single" w:sz="4" w:space="0" w:color="auto"/>
              <w:left w:val="nil"/>
              <w:right w:val="nil"/>
            </w:tcBorders>
            <w:shd w:val="clear" w:color="auto" w:fill="auto"/>
            <w:vAlign w:val="bottom"/>
            <w:hideMark/>
          </w:tcPr>
          <w:p w:rsidR="00B3032E" w:rsidRPr="00BD5D4A" w:rsidRDefault="00B3032E" w:rsidP="006A54B9">
            <w:pPr>
              <w:jc w:val="right"/>
              <w:rPr>
                <w:rFonts w:cs="Arial"/>
                <w:sz w:val="15"/>
                <w:szCs w:val="15"/>
                <w:lang w:eastAsia="sk-SK"/>
              </w:rPr>
            </w:pPr>
          </w:p>
        </w:tc>
        <w:tc>
          <w:tcPr>
            <w:tcW w:w="783" w:type="pct"/>
            <w:tcBorders>
              <w:top w:val="single" w:sz="4" w:space="0" w:color="auto"/>
              <w:left w:val="nil"/>
              <w:right w:val="nil"/>
            </w:tcBorders>
            <w:shd w:val="clear" w:color="auto" w:fill="auto"/>
            <w:vAlign w:val="bottom"/>
            <w:hideMark/>
          </w:tcPr>
          <w:p w:rsidR="00B3032E" w:rsidRPr="00BD5D4A" w:rsidRDefault="00B3032E" w:rsidP="006A54B9">
            <w:pPr>
              <w:jc w:val="right"/>
              <w:rPr>
                <w:rFonts w:cs="Arial"/>
                <w:sz w:val="15"/>
                <w:szCs w:val="15"/>
                <w:lang w:eastAsia="sk-SK"/>
              </w:rPr>
            </w:pPr>
          </w:p>
        </w:tc>
      </w:tr>
      <w:tr w:rsidR="00B3032E" w:rsidRPr="00BD5D4A" w:rsidTr="006A54B9">
        <w:tc>
          <w:tcPr>
            <w:tcW w:w="3423" w:type="pct"/>
            <w:tcBorders>
              <w:top w:val="nil"/>
              <w:left w:val="nil"/>
              <w:bottom w:val="nil"/>
              <w:right w:val="nil"/>
            </w:tcBorders>
            <w:shd w:val="clear" w:color="auto" w:fill="auto"/>
            <w:vAlign w:val="center"/>
            <w:hideMark/>
          </w:tcPr>
          <w:p w:rsidR="00B3032E" w:rsidRPr="00BD5D4A" w:rsidRDefault="00B3032E" w:rsidP="00B3032E">
            <w:pPr>
              <w:jc w:val="left"/>
              <w:rPr>
                <w:rFonts w:cs="Arial"/>
                <w:sz w:val="15"/>
                <w:szCs w:val="15"/>
                <w:lang w:eastAsia="sk-SK"/>
              </w:rPr>
            </w:pPr>
            <w:r w:rsidRPr="00BD5D4A">
              <w:rPr>
                <w:rFonts w:cs="Arial"/>
                <w:sz w:val="15"/>
                <w:szCs w:val="15"/>
                <w:lang w:eastAsia="sk-SK"/>
              </w:rPr>
              <w:t>Záväzky so zostatkovou dobou splatnosti jeden rok až päť rokov</w:t>
            </w:r>
          </w:p>
        </w:tc>
        <w:tc>
          <w:tcPr>
            <w:tcW w:w="794" w:type="pct"/>
            <w:tcBorders>
              <w:top w:val="nil"/>
              <w:left w:val="nil"/>
              <w:right w:val="nil"/>
            </w:tcBorders>
            <w:shd w:val="clear" w:color="auto" w:fill="auto"/>
            <w:vAlign w:val="bottom"/>
            <w:hideMark/>
          </w:tcPr>
          <w:p w:rsidR="00B3032E" w:rsidRPr="00BD5D4A" w:rsidRDefault="00770BE0" w:rsidP="006A54B9">
            <w:pPr>
              <w:jc w:val="right"/>
              <w:rPr>
                <w:rFonts w:cs="Arial"/>
                <w:sz w:val="15"/>
                <w:szCs w:val="15"/>
                <w:lang w:eastAsia="sk-SK"/>
              </w:rPr>
            </w:pPr>
            <w:r w:rsidRPr="00BD5D4A">
              <w:rPr>
                <w:rFonts w:cs="Arial"/>
                <w:sz w:val="15"/>
                <w:szCs w:val="15"/>
                <w:lang w:eastAsia="sk-SK"/>
              </w:rPr>
              <w:t>5 910</w:t>
            </w:r>
          </w:p>
        </w:tc>
        <w:tc>
          <w:tcPr>
            <w:tcW w:w="783" w:type="pct"/>
            <w:tcBorders>
              <w:top w:val="nil"/>
              <w:left w:val="nil"/>
              <w:right w:val="nil"/>
            </w:tcBorders>
            <w:shd w:val="clear" w:color="auto" w:fill="auto"/>
            <w:vAlign w:val="bottom"/>
            <w:hideMark/>
          </w:tcPr>
          <w:p w:rsidR="00B3032E" w:rsidRPr="00BD5D4A" w:rsidRDefault="00770BE0" w:rsidP="006A54B9">
            <w:pPr>
              <w:jc w:val="right"/>
              <w:rPr>
                <w:rFonts w:cs="Arial"/>
                <w:sz w:val="15"/>
                <w:szCs w:val="15"/>
                <w:lang w:eastAsia="sk-SK"/>
              </w:rPr>
            </w:pPr>
            <w:r w:rsidRPr="00BD5D4A">
              <w:rPr>
                <w:rFonts w:cs="Arial"/>
                <w:sz w:val="15"/>
                <w:szCs w:val="15"/>
                <w:lang w:eastAsia="sk-SK"/>
              </w:rPr>
              <w:t>5 910</w:t>
            </w:r>
          </w:p>
        </w:tc>
      </w:tr>
      <w:tr w:rsidR="00B034D2" w:rsidRPr="00BD5D4A" w:rsidTr="006A54B9">
        <w:tc>
          <w:tcPr>
            <w:tcW w:w="3423" w:type="pct"/>
            <w:tcBorders>
              <w:top w:val="nil"/>
              <w:left w:val="nil"/>
              <w:bottom w:val="nil"/>
              <w:right w:val="nil"/>
            </w:tcBorders>
            <w:shd w:val="clear" w:color="auto" w:fill="auto"/>
            <w:vAlign w:val="center"/>
          </w:tcPr>
          <w:p w:rsidR="00B034D2" w:rsidRPr="00BD5D4A" w:rsidRDefault="006A54B9" w:rsidP="00AE2528">
            <w:pPr>
              <w:jc w:val="left"/>
              <w:rPr>
                <w:rFonts w:cs="Arial"/>
                <w:sz w:val="15"/>
                <w:szCs w:val="15"/>
                <w:lang w:eastAsia="sk-SK"/>
              </w:rPr>
            </w:pPr>
            <w:r w:rsidRPr="00BD5D4A">
              <w:rPr>
                <w:rFonts w:cs="Arial"/>
                <w:sz w:val="15"/>
                <w:szCs w:val="15"/>
                <w:lang w:eastAsia="sk-SK"/>
              </w:rPr>
              <w:t xml:space="preserve">Záväzky </w:t>
            </w:r>
            <w:r w:rsidR="00B034D2" w:rsidRPr="00BD5D4A">
              <w:rPr>
                <w:rFonts w:cs="Arial"/>
                <w:sz w:val="15"/>
                <w:szCs w:val="15"/>
                <w:lang w:eastAsia="sk-SK"/>
              </w:rPr>
              <w:t>so zostatkovou dobou splatnosti nad päť rokov</w:t>
            </w:r>
          </w:p>
        </w:tc>
        <w:tc>
          <w:tcPr>
            <w:tcW w:w="794" w:type="pct"/>
            <w:tcBorders>
              <w:left w:val="nil"/>
              <w:bottom w:val="single" w:sz="4" w:space="0" w:color="auto"/>
              <w:right w:val="nil"/>
            </w:tcBorders>
            <w:shd w:val="clear" w:color="auto" w:fill="auto"/>
            <w:vAlign w:val="bottom"/>
          </w:tcPr>
          <w:p w:rsidR="00B034D2" w:rsidRPr="00BD5D4A" w:rsidRDefault="00B034D2" w:rsidP="006A54B9">
            <w:pPr>
              <w:jc w:val="right"/>
              <w:rPr>
                <w:rFonts w:cs="Arial"/>
                <w:sz w:val="15"/>
                <w:szCs w:val="15"/>
                <w:lang w:eastAsia="sk-SK"/>
              </w:rPr>
            </w:pPr>
            <w:r w:rsidRPr="00BD5D4A">
              <w:rPr>
                <w:rFonts w:cs="Arial"/>
                <w:sz w:val="15"/>
                <w:szCs w:val="15"/>
                <w:lang w:eastAsia="sk-SK"/>
              </w:rPr>
              <w:t>-</w:t>
            </w:r>
          </w:p>
        </w:tc>
        <w:tc>
          <w:tcPr>
            <w:tcW w:w="783" w:type="pct"/>
            <w:tcBorders>
              <w:left w:val="nil"/>
              <w:bottom w:val="single" w:sz="4" w:space="0" w:color="auto"/>
              <w:right w:val="nil"/>
            </w:tcBorders>
            <w:shd w:val="clear" w:color="auto" w:fill="auto"/>
            <w:vAlign w:val="bottom"/>
          </w:tcPr>
          <w:p w:rsidR="00B034D2" w:rsidRPr="00BD5D4A" w:rsidRDefault="00B034D2" w:rsidP="006A54B9">
            <w:pPr>
              <w:jc w:val="right"/>
              <w:rPr>
                <w:rFonts w:cs="Arial"/>
                <w:sz w:val="15"/>
                <w:szCs w:val="15"/>
                <w:lang w:eastAsia="sk-SK"/>
              </w:rPr>
            </w:pPr>
            <w:r w:rsidRPr="00BD5D4A">
              <w:rPr>
                <w:rFonts w:cs="Arial"/>
                <w:sz w:val="15"/>
                <w:szCs w:val="15"/>
                <w:lang w:eastAsia="sk-SK"/>
              </w:rPr>
              <w:t>-</w:t>
            </w:r>
          </w:p>
        </w:tc>
      </w:tr>
      <w:tr w:rsidR="00B3032E" w:rsidRPr="00BD5D4A" w:rsidTr="006A54B9">
        <w:tc>
          <w:tcPr>
            <w:tcW w:w="3423" w:type="pct"/>
            <w:tcBorders>
              <w:top w:val="nil"/>
              <w:left w:val="nil"/>
              <w:bottom w:val="single" w:sz="8" w:space="0" w:color="auto"/>
              <w:right w:val="nil"/>
            </w:tcBorders>
            <w:shd w:val="clear" w:color="auto" w:fill="auto"/>
            <w:vAlign w:val="center"/>
            <w:hideMark/>
          </w:tcPr>
          <w:p w:rsidR="00B3032E" w:rsidRPr="00BD5D4A" w:rsidRDefault="00B3032E" w:rsidP="00B3032E">
            <w:pPr>
              <w:rPr>
                <w:rFonts w:cs="Arial"/>
                <w:b/>
                <w:bCs/>
                <w:sz w:val="15"/>
                <w:szCs w:val="15"/>
                <w:lang w:eastAsia="sk-SK"/>
              </w:rPr>
            </w:pPr>
            <w:r w:rsidRPr="00BD5D4A">
              <w:rPr>
                <w:rFonts w:cs="Arial"/>
                <w:b/>
                <w:bCs/>
                <w:sz w:val="15"/>
                <w:szCs w:val="15"/>
                <w:lang w:eastAsia="sk-SK"/>
              </w:rPr>
              <w:t>Spolu dlhodobé záväzky</w:t>
            </w:r>
          </w:p>
        </w:tc>
        <w:tc>
          <w:tcPr>
            <w:tcW w:w="794" w:type="pct"/>
            <w:tcBorders>
              <w:top w:val="nil"/>
              <w:left w:val="nil"/>
              <w:bottom w:val="single" w:sz="8" w:space="0" w:color="auto"/>
              <w:right w:val="nil"/>
            </w:tcBorders>
            <w:shd w:val="clear" w:color="auto" w:fill="auto"/>
            <w:vAlign w:val="center"/>
            <w:hideMark/>
          </w:tcPr>
          <w:p w:rsidR="00B3032E" w:rsidRPr="00BD5D4A" w:rsidRDefault="00B3032E" w:rsidP="006A54B9">
            <w:pPr>
              <w:jc w:val="right"/>
              <w:rPr>
                <w:rFonts w:cs="Arial"/>
                <w:b/>
                <w:bCs/>
                <w:sz w:val="15"/>
                <w:szCs w:val="15"/>
                <w:lang w:eastAsia="sk-SK"/>
              </w:rPr>
            </w:pPr>
            <w:r w:rsidRPr="00BD5D4A">
              <w:rPr>
                <w:rFonts w:cs="Arial"/>
                <w:b/>
                <w:bCs/>
                <w:sz w:val="15"/>
                <w:szCs w:val="15"/>
                <w:lang w:eastAsia="sk-SK"/>
              </w:rPr>
              <w:t>5 910</w:t>
            </w:r>
          </w:p>
        </w:tc>
        <w:tc>
          <w:tcPr>
            <w:tcW w:w="783" w:type="pct"/>
            <w:tcBorders>
              <w:top w:val="nil"/>
              <w:left w:val="nil"/>
              <w:bottom w:val="single" w:sz="8" w:space="0" w:color="auto"/>
              <w:right w:val="nil"/>
            </w:tcBorders>
            <w:shd w:val="clear" w:color="auto" w:fill="auto"/>
            <w:vAlign w:val="center"/>
            <w:hideMark/>
          </w:tcPr>
          <w:p w:rsidR="00B3032E" w:rsidRPr="00BD5D4A" w:rsidRDefault="00B3032E" w:rsidP="006A54B9">
            <w:pPr>
              <w:jc w:val="right"/>
              <w:rPr>
                <w:rFonts w:cs="Arial"/>
                <w:b/>
                <w:bCs/>
                <w:sz w:val="15"/>
                <w:szCs w:val="15"/>
                <w:lang w:eastAsia="sk-SK"/>
              </w:rPr>
            </w:pPr>
            <w:r w:rsidRPr="00BD5D4A">
              <w:rPr>
                <w:rFonts w:cs="Arial"/>
                <w:b/>
                <w:bCs/>
                <w:sz w:val="15"/>
                <w:szCs w:val="15"/>
                <w:lang w:eastAsia="sk-SK"/>
              </w:rPr>
              <w:t>5 910</w:t>
            </w:r>
          </w:p>
        </w:tc>
      </w:tr>
      <w:bookmarkEnd w:id="7"/>
    </w:tbl>
    <w:p w:rsidR="001A5310" w:rsidRPr="00BD5D4A" w:rsidRDefault="001A5310">
      <w:pPr>
        <w:jc w:val="left"/>
        <w:rPr>
          <w:rFonts w:cs="Arial"/>
          <w:b/>
          <w:bCs/>
          <w:caps/>
          <w:kern w:val="32"/>
          <w:sz w:val="18"/>
          <w:szCs w:val="32"/>
          <w:u w:val="single"/>
        </w:rPr>
      </w:pPr>
    </w:p>
    <w:p w:rsidR="005F1651" w:rsidRPr="00BD5D4A" w:rsidRDefault="005F1651" w:rsidP="009E172B">
      <w:pPr>
        <w:rPr>
          <w:snapToGrid w:val="0"/>
          <w:u w:val="single"/>
          <w:lang w:eastAsia="sk-SK"/>
        </w:rPr>
      </w:pPr>
    </w:p>
    <w:p w:rsidR="001E2635" w:rsidRPr="00BD5D4A" w:rsidRDefault="001E2635" w:rsidP="001E2635">
      <w:pPr>
        <w:pStyle w:val="Heading1"/>
      </w:pPr>
      <w:r w:rsidRPr="00BD5D4A">
        <w:t>INÉ AKTÍVA A INÉ PASÍVA</w:t>
      </w:r>
    </w:p>
    <w:p w:rsidR="001E2635" w:rsidRPr="00BD5D4A" w:rsidRDefault="001E2635" w:rsidP="001E2635"/>
    <w:p w:rsidR="001E2635" w:rsidRPr="00BD5D4A" w:rsidRDefault="001E2635" w:rsidP="001E2635">
      <w:pPr>
        <w:rPr>
          <w:snapToGrid w:val="0"/>
        </w:rPr>
      </w:pPr>
      <w:r w:rsidRPr="00BD5D4A">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BD5D4A">
        <w:rPr>
          <w:snapToGrid w:val="0"/>
        </w:rPr>
        <w:t>1</w:t>
      </w:r>
      <w:r w:rsidR="005F6456">
        <w:rPr>
          <w:snapToGrid w:val="0"/>
        </w:rPr>
        <w:t>7</w:t>
      </w:r>
      <w:r w:rsidRPr="00BD5D4A">
        <w:rPr>
          <w:snapToGrid w:val="0"/>
        </w:rPr>
        <w:t xml:space="preserve"> daňové priznania spoločnosti za roky 20</w:t>
      </w:r>
      <w:r w:rsidR="00B3032E" w:rsidRPr="00BD5D4A">
        <w:rPr>
          <w:snapToGrid w:val="0"/>
        </w:rPr>
        <w:t>1</w:t>
      </w:r>
      <w:r w:rsidR="005F6456">
        <w:rPr>
          <w:snapToGrid w:val="0"/>
        </w:rPr>
        <w:t>3</w:t>
      </w:r>
      <w:r w:rsidR="00AC79A3" w:rsidRPr="00BD5D4A">
        <w:rPr>
          <w:snapToGrid w:val="0"/>
        </w:rPr>
        <w:t xml:space="preserve"> až </w:t>
      </w:r>
      <w:r w:rsidR="002647F4" w:rsidRPr="00BD5D4A">
        <w:rPr>
          <w:snapToGrid w:val="0"/>
        </w:rPr>
        <w:t>201</w:t>
      </w:r>
      <w:r w:rsidR="005F6456">
        <w:rPr>
          <w:snapToGrid w:val="0"/>
        </w:rPr>
        <w:t>7</w:t>
      </w:r>
      <w:r w:rsidRPr="00BD5D4A">
        <w:rPr>
          <w:snapToGrid w:val="0"/>
        </w:rPr>
        <w:t xml:space="preserve"> otvorené a môžu sa stať predmetom kontroly.</w:t>
      </w:r>
    </w:p>
    <w:p w:rsidR="006E12AB" w:rsidRPr="00BD5D4A" w:rsidRDefault="006E12AB">
      <w:pPr>
        <w:jc w:val="left"/>
        <w:rPr>
          <w:rFonts w:cs="Arial"/>
          <w:b/>
          <w:bCs/>
          <w:caps/>
          <w:kern w:val="32"/>
          <w:sz w:val="18"/>
          <w:szCs w:val="32"/>
          <w:u w:val="single"/>
        </w:rPr>
      </w:pPr>
    </w:p>
    <w:p w:rsidR="00B3032E" w:rsidRPr="00BD5D4A" w:rsidRDefault="00B3032E">
      <w:pPr>
        <w:jc w:val="left"/>
        <w:rPr>
          <w:rFonts w:cs="Arial"/>
          <w:b/>
          <w:bCs/>
          <w:caps/>
          <w:kern w:val="32"/>
          <w:sz w:val="18"/>
          <w:szCs w:val="32"/>
          <w:u w:val="single"/>
        </w:rPr>
      </w:pPr>
    </w:p>
    <w:p w:rsidR="001E2635" w:rsidRPr="00BD5D4A" w:rsidRDefault="001E2635" w:rsidP="001E2635">
      <w:pPr>
        <w:pStyle w:val="Heading1"/>
      </w:pPr>
      <w:r w:rsidRPr="00BD5D4A">
        <w:t>SKUTOČNOSTI, KTORÉ NASTALI PO DNI, KU KTORÉMU SA ZOSTAVUJE ÚČTOVNÁ ZÁVIERKA, A DO DŇA ZOSTAVENIA ÚČTOVNEJ ZÁVIERKY</w:t>
      </w:r>
    </w:p>
    <w:p w:rsidR="001E2635" w:rsidRPr="00BD5D4A" w:rsidRDefault="001E2635" w:rsidP="001E2635">
      <w:pPr>
        <w:rPr>
          <w:sz w:val="15"/>
          <w:szCs w:val="15"/>
        </w:rPr>
      </w:pPr>
    </w:p>
    <w:p w:rsidR="001E2635" w:rsidRPr="00BD5D4A" w:rsidRDefault="001E2635" w:rsidP="001E2635">
      <w:pPr>
        <w:rPr>
          <w:snapToGrid w:val="0"/>
          <w:lang w:eastAsia="sk-SK"/>
        </w:rPr>
      </w:pPr>
      <w:r w:rsidRPr="00BD5D4A">
        <w:rPr>
          <w:snapToGrid w:val="0"/>
          <w:lang w:eastAsia="sk-SK"/>
        </w:rPr>
        <w:t>Po 31. decembri 20</w:t>
      </w:r>
      <w:r w:rsidR="00894947" w:rsidRPr="00BD5D4A">
        <w:rPr>
          <w:snapToGrid w:val="0"/>
          <w:lang w:eastAsia="sk-SK"/>
        </w:rPr>
        <w:t>1</w:t>
      </w:r>
      <w:r w:rsidR="005F6456">
        <w:rPr>
          <w:snapToGrid w:val="0"/>
          <w:lang w:eastAsia="sk-SK"/>
        </w:rPr>
        <w:t>7</w:t>
      </w:r>
      <w:r w:rsidRPr="00BD5D4A">
        <w:rPr>
          <w:snapToGrid w:val="0"/>
          <w:lang w:eastAsia="sk-SK"/>
        </w:rPr>
        <w:t xml:space="preserve"> a do dňa zostavenia účtovnej závierky nenastali žiadne také udalosti, ktoré by významným spôsobom ovplyvnili aktíva a pasíva spoločnosti, okrem tých, ktoré sú výsledkom bežnej činnosti.</w:t>
      </w:r>
    </w:p>
    <w:sectPr w:rsidR="001E2635" w:rsidRPr="00BD5D4A" w:rsidSect="008E3271">
      <w:headerReference w:type="default" r:id="rId9"/>
      <w:footerReference w:type="default" r:id="rId10"/>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D36" w:rsidRDefault="00676D36">
      <w:r>
        <w:separator/>
      </w:r>
    </w:p>
  </w:endnote>
  <w:endnote w:type="continuationSeparator" w:id="0">
    <w:p w:rsidR="00676D36" w:rsidRDefault="00676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8139962"/>
      <w:docPartObj>
        <w:docPartGallery w:val="Page Numbers (Bottom of Page)"/>
        <w:docPartUnique/>
      </w:docPartObj>
    </w:sdtPr>
    <w:sdtEndPr>
      <w:rPr>
        <w:noProof/>
      </w:rPr>
    </w:sdtEndPr>
    <w:sdtContent>
      <w:p w:rsidR="006A54B9" w:rsidRDefault="006A54B9" w:rsidP="006A54B9">
        <w:pPr>
          <w:pStyle w:val="Footer"/>
          <w:pBdr>
            <w:top w:val="single" w:sz="4" w:space="1" w:color="auto"/>
          </w:pBdr>
          <w:jc w:val="right"/>
        </w:pPr>
        <w:r>
          <w:fldChar w:fldCharType="begin"/>
        </w:r>
        <w:r>
          <w:instrText xml:space="preserve"> PAGE   \* MERGEFORMAT </w:instrText>
        </w:r>
        <w:r>
          <w:fldChar w:fldCharType="separate"/>
        </w:r>
        <w:r w:rsidR="00CF198D">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D36" w:rsidRDefault="00676D36">
      <w:r>
        <w:separator/>
      </w:r>
    </w:p>
  </w:footnote>
  <w:footnote w:type="continuationSeparator" w:id="0">
    <w:p w:rsidR="00676D36" w:rsidRDefault="00676D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6D36" w:rsidRDefault="00676D36" w:rsidP="00B3032E">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8" w:name="Business_name"/>
    <w:r>
      <w:t xml:space="preserve">Poznámky </w:t>
    </w:r>
    <w:proofErr w:type="spellStart"/>
    <w:r>
      <w:t>Úč</w:t>
    </w:r>
    <w:proofErr w:type="spellEnd"/>
    <w:r>
      <w:t xml:space="preserve"> POD 3-01</w:t>
    </w:r>
    <w:r>
      <w:tab/>
      <w:t xml:space="preserve">IČO: </w:t>
    </w:r>
    <w:r w:rsidRPr="00B3032E">
      <w:t>35700416</w:t>
    </w:r>
    <w:r>
      <w:tab/>
      <w:t xml:space="preserve">DIČ: </w:t>
    </w:r>
    <w:r w:rsidRPr="00B3032E">
      <w:t>2020340861</w:t>
    </w:r>
  </w:p>
  <w:p w:rsidR="00676D36" w:rsidRPr="0067003C" w:rsidRDefault="00676D36" w:rsidP="00C81150">
    <w:pPr>
      <w:pStyle w:val="Header"/>
    </w:pPr>
    <w:r>
      <w:t xml:space="preserve">Deloitte Slovakia </w:t>
    </w:r>
    <w:bookmarkEnd w:id="8"/>
    <w:r>
      <w:t>s.r.o.</w:t>
    </w:r>
  </w:p>
  <w:p w:rsidR="00676D36" w:rsidRDefault="00676D36" w:rsidP="00C81150">
    <w:pPr>
      <w:pStyle w:val="Header"/>
    </w:pPr>
    <w:r>
      <w:t>Poznámky individuálnej účtovnej závierky</w:t>
    </w:r>
  </w:p>
  <w:p w:rsidR="00676D36" w:rsidRDefault="00676D36" w:rsidP="00C81150">
    <w:pPr>
      <w:pStyle w:val="Header"/>
    </w:pPr>
    <w:r>
      <w:t xml:space="preserve">Zostavenej k 31. decembru </w:t>
    </w:r>
    <w:r w:rsidR="00A127B3">
      <w:t>2017</w:t>
    </w:r>
  </w:p>
  <w:p w:rsidR="00676D36" w:rsidRDefault="00676D36" w:rsidP="00C81150">
    <w:pPr>
      <w:pStyle w:val="Header"/>
      <w:pBdr>
        <w:bottom w:val="single" w:sz="4" w:space="1" w:color="auto"/>
      </w:pBdr>
    </w:pPr>
    <w:r>
      <w:t>(údaje v tabuľkách sú uvedené v celých eurách, ak nie je uvedené inak)</w:t>
    </w:r>
  </w:p>
  <w:p w:rsidR="00676D36" w:rsidRDefault="00676D36"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1E4914"/>
    <w:multiLevelType w:val="hybridMultilevel"/>
    <w:tmpl w:val="6DF60114"/>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F107AB4"/>
    <w:multiLevelType w:val="multilevel"/>
    <w:tmpl w:val="B190736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1"/>
  </w:num>
  <w:num w:numId="2">
    <w:abstractNumId w:val="19"/>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9"/>
  </w:num>
  <w:num w:numId="7">
    <w:abstractNumId w:val="24"/>
  </w:num>
  <w:num w:numId="8">
    <w:abstractNumId w:val="12"/>
  </w:num>
  <w:num w:numId="9">
    <w:abstractNumId w:val="11"/>
  </w:num>
  <w:num w:numId="10">
    <w:abstractNumId w:val="29"/>
  </w:num>
  <w:num w:numId="11">
    <w:abstractNumId w:val="23"/>
  </w:num>
  <w:num w:numId="12">
    <w:abstractNumId w:val="39"/>
  </w:num>
  <w:num w:numId="13">
    <w:abstractNumId w:val="1"/>
  </w:num>
  <w:num w:numId="14">
    <w:abstractNumId w:val="21"/>
  </w:num>
  <w:num w:numId="15">
    <w:abstractNumId w:val="40"/>
  </w:num>
  <w:num w:numId="16">
    <w:abstractNumId w:val="10"/>
  </w:num>
  <w:num w:numId="17">
    <w:abstractNumId w:val="7"/>
  </w:num>
  <w:num w:numId="18">
    <w:abstractNumId w:val="25"/>
  </w:num>
  <w:num w:numId="19">
    <w:abstractNumId w:val="34"/>
  </w:num>
  <w:num w:numId="20">
    <w:abstractNumId w:val="6"/>
  </w:num>
  <w:num w:numId="21">
    <w:abstractNumId w:val="31"/>
  </w:num>
  <w:num w:numId="22">
    <w:abstractNumId w:val="17"/>
  </w:num>
  <w:num w:numId="23">
    <w:abstractNumId w:val="33"/>
  </w:num>
  <w:num w:numId="24">
    <w:abstractNumId w:val="37"/>
  </w:num>
  <w:num w:numId="25">
    <w:abstractNumId w:val="28"/>
  </w:num>
  <w:num w:numId="26">
    <w:abstractNumId w:val="5"/>
  </w:num>
  <w:num w:numId="27">
    <w:abstractNumId w:val="16"/>
  </w:num>
  <w:num w:numId="28">
    <w:abstractNumId w:val="18"/>
  </w:num>
  <w:num w:numId="29">
    <w:abstractNumId w:val="13"/>
  </w:num>
  <w:num w:numId="30">
    <w:abstractNumId w:val="2"/>
  </w:num>
  <w:num w:numId="31">
    <w:abstractNumId w:val="32"/>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4"/>
  </w:num>
  <w:num w:numId="46">
    <w:abstractNumId w:val="15"/>
  </w:num>
  <w:num w:numId="47">
    <w:abstractNumId w:val="14"/>
  </w:num>
  <w:num w:numId="48">
    <w:abstractNumId w:val="20"/>
  </w:num>
  <w:num w:numId="49">
    <w:abstractNumId w:val="30"/>
  </w:num>
  <w:num w:numId="50">
    <w:abstractNumId w:val="36"/>
  </w:num>
  <w:num w:numId="51">
    <w:abstractNumId w:val="35"/>
  </w:num>
  <w:num w:numId="52">
    <w:abstractNumId w:val="22"/>
  </w:num>
  <w:num w:numId="53">
    <w:abstractNumId w:val="3"/>
  </w:num>
  <w:num w:numId="54">
    <w:abstractNumId w:val="0"/>
  </w:num>
  <w:num w:numId="55">
    <w:abstractNumId w:val="27"/>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4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1C2E"/>
    <w:rsid w:val="00042DF7"/>
    <w:rsid w:val="00042E14"/>
    <w:rsid w:val="000505CF"/>
    <w:rsid w:val="0005609F"/>
    <w:rsid w:val="00056876"/>
    <w:rsid w:val="00061A44"/>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21FD2"/>
    <w:rsid w:val="0012379C"/>
    <w:rsid w:val="00123B6F"/>
    <w:rsid w:val="001240E4"/>
    <w:rsid w:val="0013020B"/>
    <w:rsid w:val="001343A4"/>
    <w:rsid w:val="001354FB"/>
    <w:rsid w:val="00140952"/>
    <w:rsid w:val="00142157"/>
    <w:rsid w:val="001440A4"/>
    <w:rsid w:val="0015015C"/>
    <w:rsid w:val="00150CFF"/>
    <w:rsid w:val="00162043"/>
    <w:rsid w:val="00162F37"/>
    <w:rsid w:val="001630F4"/>
    <w:rsid w:val="00163FF0"/>
    <w:rsid w:val="00164333"/>
    <w:rsid w:val="0016450F"/>
    <w:rsid w:val="00164563"/>
    <w:rsid w:val="00164E16"/>
    <w:rsid w:val="00164EB5"/>
    <w:rsid w:val="00165FC5"/>
    <w:rsid w:val="00171F23"/>
    <w:rsid w:val="00172B11"/>
    <w:rsid w:val="00177A9A"/>
    <w:rsid w:val="00182445"/>
    <w:rsid w:val="00185803"/>
    <w:rsid w:val="001859DB"/>
    <w:rsid w:val="00193CFA"/>
    <w:rsid w:val="0019430E"/>
    <w:rsid w:val="001A5310"/>
    <w:rsid w:val="001B0DB0"/>
    <w:rsid w:val="001B30A4"/>
    <w:rsid w:val="001B5206"/>
    <w:rsid w:val="001D2B78"/>
    <w:rsid w:val="001D2C69"/>
    <w:rsid w:val="001D3064"/>
    <w:rsid w:val="001D4EAF"/>
    <w:rsid w:val="001D504C"/>
    <w:rsid w:val="001D673D"/>
    <w:rsid w:val="001E01F8"/>
    <w:rsid w:val="001E2405"/>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1E2A"/>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D1053"/>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137F"/>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1D2E"/>
    <w:rsid w:val="00432F9A"/>
    <w:rsid w:val="004431DF"/>
    <w:rsid w:val="00447B2C"/>
    <w:rsid w:val="00453985"/>
    <w:rsid w:val="004554EC"/>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7CC8"/>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5F6456"/>
    <w:rsid w:val="00603BE4"/>
    <w:rsid w:val="006040E7"/>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76D36"/>
    <w:rsid w:val="0068050E"/>
    <w:rsid w:val="00680DBD"/>
    <w:rsid w:val="0068249F"/>
    <w:rsid w:val="006837A8"/>
    <w:rsid w:val="006945D6"/>
    <w:rsid w:val="00694F84"/>
    <w:rsid w:val="00694FB9"/>
    <w:rsid w:val="006A1CBA"/>
    <w:rsid w:val="006A3131"/>
    <w:rsid w:val="006A3DAC"/>
    <w:rsid w:val="006A49A3"/>
    <w:rsid w:val="006A54B9"/>
    <w:rsid w:val="006B0885"/>
    <w:rsid w:val="006B4DBD"/>
    <w:rsid w:val="006B51F8"/>
    <w:rsid w:val="006B53A8"/>
    <w:rsid w:val="006B6AE4"/>
    <w:rsid w:val="006B7180"/>
    <w:rsid w:val="006B76B9"/>
    <w:rsid w:val="006C0F60"/>
    <w:rsid w:val="006C3B98"/>
    <w:rsid w:val="006C5A71"/>
    <w:rsid w:val="006D31EF"/>
    <w:rsid w:val="006D5A62"/>
    <w:rsid w:val="006D785A"/>
    <w:rsid w:val="006D7A59"/>
    <w:rsid w:val="006E06CF"/>
    <w:rsid w:val="006E12AB"/>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354C"/>
    <w:rsid w:val="00736B44"/>
    <w:rsid w:val="00741BCD"/>
    <w:rsid w:val="0074448F"/>
    <w:rsid w:val="00747134"/>
    <w:rsid w:val="00747C59"/>
    <w:rsid w:val="00750790"/>
    <w:rsid w:val="00751283"/>
    <w:rsid w:val="00751B5B"/>
    <w:rsid w:val="0075466C"/>
    <w:rsid w:val="00754810"/>
    <w:rsid w:val="007606BC"/>
    <w:rsid w:val="00760EE4"/>
    <w:rsid w:val="00762454"/>
    <w:rsid w:val="00765A18"/>
    <w:rsid w:val="00767A6E"/>
    <w:rsid w:val="00770BE0"/>
    <w:rsid w:val="00771B59"/>
    <w:rsid w:val="00772CCA"/>
    <w:rsid w:val="00774339"/>
    <w:rsid w:val="0077630B"/>
    <w:rsid w:val="007829D0"/>
    <w:rsid w:val="00782D4C"/>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0271"/>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6BD7"/>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B006E"/>
    <w:rsid w:val="009B2C12"/>
    <w:rsid w:val="009B5601"/>
    <w:rsid w:val="009B56FC"/>
    <w:rsid w:val="009C239A"/>
    <w:rsid w:val="009C4F06"/>
    <w:rsid w:val="009C65A8"/>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7B3"/>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2528"/>
    <w:rsid w:val="00AE66CD"/>
    <w:rsid w:val="00AE7683"/>
    <w:rsid w:val="00AF17E8"/>
    <w:rsid w:val="00B034D2"/>
    <w:rsid w:val="00B03F2A"/>
    <w:rsid w:val="00B068A1"/>
    <w:rsid w:val="00B0734A"/>
    <w:rsid w:val="00B07A2F"/>
    <w:rsid w:val="00B1271B"/>
    <w:rsid w:val="00B17212"/>
    <w:rsid w:val="00B22433"/>
    <w:rsid w:val="00B23E54"/>
    <w:rsid w:val="00B2482F"/>
    <w:rsid w:val="00B26F12"/>
    <w:rsid w:val="00B3032E"/>
    <w:rsid w:val="00B3242B"/>
    <w:rsid w:val="00B33F31"/>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D5D4A"/>
    <w:rsid w:val="00BE09FD"/>
    <w:rsid w:val="00BE6F6C"/>
    <w:rsid w:val="00BF0B0D"/>
    <w:rsid w:val="00BF1666"/>
    <w:rsid w:val="00BF238A"/>
    <w:rsid w:val="00BF2474"/>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198D"/>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2C6C"/>
    <w:rsid w:val="00E17966"/>
    <w:rsid w:val="00E20BD8"/>
    <w:rsid w:val="00E23991"/>
    <w:rsid w:val="00E239D6"/>
    <w:rsid w:val="00E26668"/>
    <w:rsid w:val="00E26A6C"/>
    <w:rsid w:val="00E301B7"/>
    <w:rsid w:val="00E3502B"/>
    <w:rsid w:val="00E40DFC"/>
    <w:rsid w:val="00E41CDD"/>
    <w:rsid w:val="00E428E0"/>
    <w:rsid w:val="00E448B1"/>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B357D"/>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25D16"/>
    <w:rsid w:val="00F33229"/>
    <w:rsid w:val="00F3588F"/>
    <w:rsid w:val="00F35AF5"/>
    <w:rsid w:val="00F42AEA"/>
    <w:rsid w:val="00F44D28"/>
    <w:rsid w:val="00F4557C"/>
    <w:rsid w:val="00F46EBA"/>
    <w:rsid w:val="00F47951"/>
    <w:rsid w:val="00F50A57"/>
    <w:rsid w:val="00F54E9A"/>
    <w:rsid w:val="00F67CDD"/>
    <w:rsid w:val="00F71C89"/>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79BADBB"/>
  <w15:docId w15:val="{32F149E7-3B54-4103-B4CE-8E2226525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3032E"/>
    <w:rPr>
      <w:rFonts w:ascii="Verdana" w:hAnsi="Verdana"/>
      <w:b/>
      <w:sz w:val="17"/>
      <w:lang w:eastAsia="en-US"/>
    </w:rPr>
  </w:style>
  <w:style w:type="character" w:customStyle="1" w:styleId="Heading2Char">
    <w:name w:val="Heading 2 Char"/>
    <w:basedOn w:val="DefaultParagraphFont"/>
    <w:link w:val="Heading2"/>
    <w:rsid w:val="00B3032E"/>
    <w:rPr>
      <w:rFonts w:ascii="Verdana" w:hAnsi="Verdana" w:cs="Arial"/>
      <w:b/>
      <w:bCs/>
      <w:iCs/>
      <w:sz w:val="17"/>
      <w:szCs w:val="28"/>
      <w:lang w:eastAsia="en-US"/>
    </w:rPr>
  </w:style>
  <w:style w:type="character" w:customStyle="1" w:styleId="FooterChar">
    <w:name w:val="Footer Char"/>
    <w:basedOn w:val="DefaultParagraphFont"/>
    <w:link w:val="Footer"/>
    <w:uiPriority w:val="99"/>
    <w:rsid w:val="006A54B9"/>
    <w:rPr>
      <w:rFonts w:ascii="Verdana" w:hAnsi="Verdana"/>
      <w:sz w:val="17"/>
      <w:lang w:eastAsia="en-US"/>
    </w:rPr>
  </w:style>
  <w:style w:type="character" w:customStyle="1" w:styleId="ra">
    <w:name w:val="ra"/>
    <w:basedOn w:val="DefaultParagraphFont"/>
    <w:rsid w:val="002D10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409052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8DF56-B152-4299-A8B5-434FF44CD188}">
  <ds:schemaRefs>
    <ds:schemaRef ds:uri="http://schemas.openxmlformats.org/officeDocument/2006/bibliography"/>
  </ds:schemaRefs>
</ds:datastoreItem>
</file>

<file path=customXml/itemProps2.xml><?xml version="1.0" encoding="utf-8"?>
<ds:datastoreItem xmlns:ds="http://schemas.openxmlformats.org/officeDocument/2006/customXml" ds:itemID="{F8B15766-B925-4B76-B942-A33307C14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Pages>
  <Words>1221</Words>
  <Characters>7098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Galova, Erika (SK - Bratislava)</cp:lastModifiedBy>
  <cp:revision>5</cp:revision>
  <cp:lastPrinted>2016-03-22T14:48:00Z</cp:lastPrinted>
  <dcterms:created xsi:type="dcterms:W3CDTF">2018-03-06T16:10:00Z</dcterms:created>
  <dcterms:modified xsi:type="dcterms:W3CDTF">2018-03-17T12:04:00Z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