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B37B86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15D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Datatech,s.r.o.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15D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36430471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15D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Gaštanová 3077/23, 01007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015D6D" w:rsidRPr="00A55E63" w:rsidRDefault="00015D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15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015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 je zostavená za predpokladu nepretržitého pokračovania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15D6D" w:rsidRPr="00015D6D" w:rsidRDefault="00015D6D" w:rsidP="00015D6D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015D6D">
        <w:rPr>
          <w:rFonts w:ascii="Arial" w:hAnsi="Arial" w:cs="Arial"/>
        </w:rPr>
        <w:t>dpisový plán účtovných odpisov sa zostavil interným predpisom, v ktorom sa vychádzalo z metód používaných pri vyčíslovaní</w:t>
      </w:r>
      <w:r>
        <w:rPr>
          <w:rFonts w:ascii="Arial" w:hAnsi="Arial" w:cs="Arial"/>
        </w:rPr>
        <w:t xml:space="preserve"> </w:t>
      </w:r>
      <w:r w:rsidRPr="00015D6D">
        <w:rPr>
          <w:rFonts w:ascii="Arial" w:hAnsi="Arial" w:cs="Arial"/>
        </w:rPr>
        <w:t>daňových odpisov. Účtovné a daňové odpisy sa rovnajú.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priebehu účtovného obdobia nemenila účtovné zásady a metódy.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</w:t>
      </w:r>
      <w:r>
        <w:rPr>
          <w:rFonts w:ascii="Arial" w:hAnsi="Arial" w:cs="Arial"/>
          <w:spacing w:val="-5"/>
          <w:sz w:val="22"/>
          <w:szCs w:val="22"/>
        </w:rPr>
        <w:t>J v</w:t>
      </w:r>
      <w:r>
        <w:rPr>
          <w:rFonts w:ascii="Arial" w:hAnsi="Arial" w:cs="Arial"/>
          <w:spacing w:val="-5"/>
          <w:sz w:val="22"/>
          <w:szCs w:val="22"/>
        </w:rPr>
        <w:t> neúčtovala o dotáciách.</w:t>
      </w:r>
    </w:p>
    <w:p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015D6D" w:rsidRDefault="00015D6D" w:rsidP="00015D6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</w:rPr>
        <w:t xml:space="preserve">J v priebehu účtovného </w:t>
      </w:r>
      <w:r>
        <w:rPr>
          <w:rFonts w:ascii="Arial" w:hAnsi="Arial" w:cs="Arial"/>
          <w:spacing w:val="-5"/>
        </w:rPr>
        <w:t xml:space="preserve">obdobia neúčtovala o </w:t>
      </w:r>
      <w:r w:rsidRPr="00A55E63">
        <w:rPr>
          <w:rFonts w:ascii="Arial" w:hAnsi="Arial" w:cs="Arial"/>
          <w:u w:val="single"/>
        </w:rPr>
        <w:t>v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2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</w:t>
      </w:r>
      <w:r w:rsidRPr="00A55E63">
        <w:rPr>
          <w:rFonts w:ascii="Arial" w:hAnsi="Arial" w:cs="Arial"/>
          <w:spacing w:val="5"/>
          <w:u w:val="single"/>
        </w:rPr>
        <w:t>n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h</w:t>
      </w:r>
      <w:r w:rsidRPr="00A55E63">
        <w:rPr>
          <w:rFonts w:ascii="Arial" w:hAnsi="Arial" w:cs="Arial"/>
          <w:spacing w:val="52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opr</w:t>
      </w:r>
      <w:r w:rsidRPr="00A55E63">
        <w:rPr>
          <w:rFonts w:ascii="Arial" w:hAnsi="Arial" w:cs="Arial"/>
          <w:spacing w:val="-2"/>
          <w:u w:val="single"/>
        </w:rPr>
        <w:t>á</w:t>
      </w:r>
      <w:r w:rsidRPr="00A55E63">
        <w:rPr>
          <w:rFonts w:ascii="Arial" w:hAnsi="Arial" w:cs="Arial"/>
          <w:u w:val="single"/>
        </w:rPr>
        <w:t>v</w:t>
      </w:r>
      <w:r>
        <w:rPr>
          <w:rFonts w:ascii="Arial" w:hAnsi="Arial" w:cs="Arial"/>
          <w:u w:val="single"/>
        </w:rPr>
        <w:t>ách</w:t>
      </w:r>
      <w:r w:rsidRPr="00A55E63">
        <w:rPr>
          <w:rFonts w:ascii="Arial" w:hAnsi="Arial" w:cs="Arial"/>
          <w:spacing w:val="52"/>
          <w:u w:val="single"/>
        </w:rPr>
        <w:t xml:space="preserve"> 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spacing w:val="4"/>
          <w:u w:val="single"/>
        </w:rPr>
        <w:t>h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u w:val="single"/>
        </w:rPr>
        <w:t>b</w:t>
      </w:r>
      <w:r w:rsidRPr="00A55E63">
        <w:rPr>
          <w:rFonts w:ascii="Arial" w:hAnsi="Arial" w:cs="Arial"/>
          <w:spacing w:val="54"/>
        </w:rPr>
        <w:t xml:space="preserve"> </w:t>
      </w:r>
      <w:r w:rsidRPr="00A55E63">
        <w:rPr>
          <w:rFonts w:ascii="Arial" w:hAnsi="Arial" w:cs="Arial"/>
        </w:rPr>
        <w:t>minu</w:t>
      </w:r>
      <w:r w:rsidRPr="00A55E63">
        <w:rPr>
          <w:rFonts w:ascii="Arial" w:hAnsi="Arial" w:cs="Arial"/>
          <w:spacing w:val="2"/>
        </w:rPr>
        <w:t>l</w:t>
      </w:r>
      <w:r w:rsidRPr="00A55E63">
        <w:rPr>
          <w:rFonts w:ascii="Arial" w:hAnsi="Arial" w:cs="Arial"/>
          <w:spacing w:val="-5"/>
        </w:rPr>
        <w:t>ý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</w:t>
      </w:r>
      <w:r w:rsidRPr="00A55E63">
        <w:rPr>
          <w:rFonts w:ascii="Arial" w:hAnsi="Arial" w:cs="Arial"/>
          <w:spacing w:val="52"/>
        </w:rPr>
        <w:t xml:space="preserve"> </w:t>
      </w:r>
      <w:r w:rsidRPr="00A55E63">
        <w:rPr>
          <w:rFonts w:ascii="Arial" w:hAnsi="Arial" w:cs="Arial"/>
        </w:rPr>
        <w:t>ú</w:t>
      </w:r>
      <w:r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</w:rPr>
        <w:t>tov</w:t>
      </w:r>
      <w:r w:rsidRPr="00A55E63">
        <w:rPr>
          <w:rFonts w:ascii="Arial" w:hAnsi="Arial" w:cs="Arial"/>
          <w:spacing w:val="5"/>
        </w:rPr>
        <w:t>n</w:t>
      </w:r>
      <w:r w:rsidRPr="00A55E63">
        <w:rPr>
          <w:rFonts w:ascii="Arial" w:hAnsi="Arial" w:cs="Arial"/>
          <w:spacing w:val="-5"/>
        </w:rPr>
        <w:t>ý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</w:t>
      </w:r>
      <w:r w:rsidRPr="00A55E63">
        <w:rPr>
          <w:rFonts w:ascii="Arial" w:hAnsi="Arial" w:cs="Arial"/>
          <w:spacing w:val="52"/>
        </w:rPr>
        <w:t xml:space="preserve"> </w:t>
      </w:r>
      <w:r w:rsidRPr="00A55E63">
        <w:rPr>
          <w:rFonts w:ascii="Arial" w:hAnsi="Arial" w:cs="Arial"/>
        </w:rPr>
        <w:t>o</w:t>
      </w:r>
      <w:r w:rsidRPr="00A55E63">
        <w:rPr>
          <w:rFonts w:ascii="Arial" w:hAnsi="Arial" w:cs="Arial"/>
          <w:spacing w:val="2"/>
        </w:rPr>
        <w:t>b</w:t>
      </w:r>
      <w:r w:rsidRPr="00A55E63">
        <w:rPr>
          <w:rFonts w:ascii="Arial" w:hAnsi="Arial" w:cs="Arial"/>
        </w:rPr>
        <w:t>dobí</w:t>
      </w:r>
      <w:r w:rsidRPr="00A55E63">
        <w:rPr>
          <w:rFonts w:ascii="Arial" w:hAnsi="Arial" w:cs="Arial"/>
        </w:rPr>
        <w:t xml:space="preserve"> </w:t>
      </w:r>
    </w:p>
    <w:p w:rsidR="00015D6D" w:rsidRDefault="00015D6D" w:rsidP="00015D6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015D6D" w:rsidRDefault="002C12B4" w:rsidP="00015D6D">
      <w:pPr>
        <w:spacing w:before="1" w:line="280" w:lineRule="exact"/>
        <w:ind w:left="3692" w:firstLine="284"/>
        <w:jc w:val="both"/>
        <w:rPr>
          <w:rFonts w:ascii="Arial" w:hAnsi="Arial" w:cs="Arial"/>
          <w:b/>
          <w:bCs/>
        </w:rPr>
      </w:pPr>
      <w:r w:rsidRPr="00015D6D">
        <w:rPr>
          <w:rFonts w:ascii="Arial" w:hAnsi="Arial" w:cs="Arial"/>
          <w:b/>
        </w:rPr>
        <w:t>Čl</w:t>
      </w:r>
      <w:r w:rsidR="00401155" w:rsidRPr="00015D6D">
        <w:rPr>
          <w:rFonts w:ascii="Arial" w:hAnsi="Arial" w:cs="Arial"/>
          <w:b/>
        </w:rPr>
        <w:t xml:space="preserve">ánok </w:t>
      </w:r>
      <w:r w:rsidRPr="00015D6D">
        <w:rPr>
          <w:rFonts w:ascii="Arial" w:hAnsi="Arial" w:cs="Arial"/>
          <w:b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záväzky s dobou splatnosti dlhšou ako päť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</w:t>
      </w:r>
      <w:r>
        <w:rPr>
          <w:rFonts w:ascii="Arial" w:hAnsi="Arial" w:cs="Arial"/>
          <w:sz w:val="22"/>
          <w:szCs w:val="22"/>
        </w:rPr>
        <w:t xml:space="preserve"> zabezpečené </w:t>
      </w:r>
      <w:r>
        <w:rPr>
          <w:rFonts w:ascii="Arial" w:hAnsi="Arial" w:cs="Arial"/>
          <w:sz w:val="22"/>
          <w:szCs w:val="22"/>
        </w:rPr>
        <w:t>záväzky</w:t>
      </w:r>
      <w:r>
        <w:rPr>
          <w:rFonts w:ascii="Arial" w:hAnsi="Arial" w:cs="Arial"/>
          <w:sz w:val="22"/>
          <w:szCs w:val="22"/>
        </w:rPr>
        <w:t>.</w:t>
      </w:r>
    </w:p>
    <w:p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neúčtovala</w:t>
      </w:r>
      <w:r>
        <w:rPr>
          <w:rFonts w:ascii="Arial" w:hAnsi="Arial" w:cs="Arial"/>
          <w:spacing w:val="-5"/>
        </w:rPr>
        <w:t xml:space="preserve"> o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dobudnutí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</w:t>
      </w:r>
      <w:r>
        <w:rPr>
          <w:rFonts w:ascii="Arial" w:hAnsi="Arial" w:cs="Arial"/>
          <w:spacing w:val="-5"/>
        </w:rPr>
        <w:t xml:space="preserve"> neposkytla záruky.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</w:t>
      </w:r>
      <w:r>
        <w:rPr>
          <w:rFonts w:ascii="Arial" w:hAnsi="Arial" w:cs="Arial"/>
          <w:spacing w:val="-5"/>
        </w:rPr>
        <w:t xml:space="preserve">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</w:t>
      </w:r>
      <w:r>
        <w:rPr>
          <w:rFonts w:ascii="Arial" w:hAnsi="Arial" w:cs="Arial"/>
          <w:spacing w:val="-5"/>
        </w:rPr>
        <w:t xml:space="preserve"> záruky a pôžičky a iné zabezpečenie.</w:t>
      </w:r>
    </w:p>
    <w:p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</w:t>
      </w:r>
      <w:r>
        <w:rPr>
          <w:rFonts w:ascii="Arial" w:hAnsi="Arial" w:cs="Arial"/>
          <w:spacing w:val="-5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é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1"/>
          <w:sz w:val="22"/>
          <w:szCs w:val="22"/>
        </w:rPr>
        <w:t>y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9058BE" w:rsidP="009058BE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takéto finančné povinnosti.</w:t>
      </w:r>
    </w:p>
    <w:p w:rsidR="009058BE" w:rsidRPr="00A55E63" w:rsidRDefault="009058BE" w:rsidP="009058BE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</w:t>
      </w:r>
      <w:r>
        <w:rPr>
          <w:rFonts w:ascii="Arial" w:hAnsi="Arial" w:cs="Arial"/>
          <w:sz w:val="22"/>
          <w:szCs w:val="22"/>
        </w:rPr>
        <w:t xml:space="preserve"> podmienené záväzky.</w:t>
      </w:r>
    </w:p>
    <w:p w:rsidR="009058BE" w:rsidRPr="00451ED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podmienené záväzky</w:t>
      </w:r>
      <w:r>
        <w:rPr>
          <w:rFonts w:ascii="Arial" w:hAnsi="Arial" w:cs="Arial"/>
          <w:sz w:val="22"/>
          <w:szCs w:val="22"/>
        </w:rPr>
        <w:t xml:space="preserve"> a finančné povinnosti.</w:t>
      </w:r>
    </w:p>
    <w:p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058BE" w:rsidRPr="00451ED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</w:t>
      </w:r>
      <w:r>
        <w:rPr>
          <w:rFonts w:ascii="Arial" w:hAnsi="Arial" w:cs="Arial"/>
          <w:sz w:val="22"/>
          <w:szCs w:val="22"/>
        </w:rPr>
        <w:t xml:space="preserve"> dcérske účtovné jednotky.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058BE" w:rsidRDefault="009058BE" w:rsidP="009058B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</w:t>
      </w: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neposkytuje služby vo verejnom záujme.</w:t>
      </w:r>
      <w:bookmarkStart w:id="0" w:name="_GoBack"/>
      <w:bookmarkEnd w:id="0"/>
    </w:p>
    <w:sectPr w:rsidR="009058BE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492D" w:rsidRDefault="0079492D">
      <w:r>
        <w:separator/>
      </w:r>
    </w:p>
  </w:endnote>
  <w:endnote w:type="continuationSeparator" w:id="0">
    <w:p w:rsidR="0079492D" w:rsidRDefault="00794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058BE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058BE">
                      <w:rPr>
                        <w:rFonts w:cs="Times New Roman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492D" w:rsidRDefault="0079492D">
      <w:r>
        <w:separator/>
      </w:r>
    </w:p>
  </w:footnote>
  <w:footnote w:type="continuationSeparator" w:id="0">
    <w:p w:rsidR="0079492D" w:rsidRDefault="007949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15D6D">
      <w:rPr>
        <w:rFonts w:ascii="Arial" w:hAnsi="Arial" w:cs="Arial"/>
        <w:sz w:val="22"/>
        <w:szCs w:val="22"/>
        <w:bdr w:val="single" w:sz="4" w:space="0" w:color="auto"/>
      </w:rPr>
      <w:t>36430471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15D6D">
      <w:rPr>
        <w:rFonts w:ascii="Arial" w:hAnsi="Arial" w:cs="Arial"/>
        <w:sz w:val="22"/>
        <w:szCs w:val="22"/>
        <w:bdr w:val="single" w:sz="4" w:space="0" w:color="auto"/>
      </w:rPr>
      <w:t>2022006998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5D6D"/>
    <w:rsid w:val="001406AD"/>
    <w:rsid w:val="001A1B05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31073"/>
    <w:rsid w:val="0079492D"/>
    <w:rsid w:val="007E2277"/>
    <w:rsid w:val="00861175"/>
    <w:rsid w:val="008771A6"/>
    <w:rsid w:val="009058BE"/>
    <w:rsid w:val="00913435"/>
    <w:rsid w:val="00916772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C01CB7"/>
    <w:rsid w:val="00C71636"/>
    <w:rsid w:val="00CC3205"/>
    <w:rsid w:val="00CD545D"/>
    <w:rsid w:val="00DE5BFE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7E92C24-499F-467A-A616-CB68E1A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1162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Radko</cp:lastModifiedBy>
  <cp:revision>2</cp:revision>
  <dcterms:created xsi:type="dcterms:W3CDTF">2018-03-01T11:27:00Z</dcterms:created>
  <dcterms:modified xsi:type="dcterms:W3CDTF">2018-03-01T11:27:00Z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