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tbl>
      <w:tblPr>
        <w:tblInd w:w="57" w:type="dxa"/>
      </w:tblPr>
      <w:tblGrid>
        <w:gridCol w:w="2400"/>
        <w:gridCol w:w="600"/>
        <w:gridCol w:w="302"/>
        <w:gridCol w:w="300"/>
        <w:gridCol w:w="362"/>
        <w:gridCol w:w="280"/>
        <w:gridCol w:w="280"/>
        <w:gridCol w:w="360"/>
        <w:gridCol w:w="340"/>
        <w:gridCol w:w="300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>
        <w:trPr>
          <w:trHeight w:val="300" w:hRule="auto"/>
          <w:jc w:val="left"/>
        </w:trPr>
        <w:tc>
          <w:tcPr>
            <w:tcW w:w="24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Poznámky Ú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č MÚJ 3-01</w:t>
            </w:r>
          </w:p>
        </w:tc>
        <w:tc>
          <w:tcPr>
            <w:tcW w:w="60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ČO:</w:t>
            </w:r>
          </w:p>
        </w:tc>
        <w:tc>
          <w:tcPr>
            <w:tcW w:w="3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3</w:t>
            </w:r>
          </w:p>
        </w:tc>
        <w:tc>
          <w:tcPr>
            <w:tcW w:w="30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  <w:tc>
          <w:tcPr>
            <w:tcW w:w="362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5</w:t>
            </w:r>
          </w:p>
        </w:tc>
        <w:tc>
          <w:tcPr>
            <w:tcW w:w="28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9</w:t>
            </w:r>
          </w:p>
        </w:tc>
        <w:tc>
          <w:tcPr>
            <w:tcW w:w="28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6</w:t>
            </w:r>
          </w:p>
        </w:tc>
        <w:tc>
          <w:tcPr>
            <w:tcW w:w="36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</w:t>
            </w:r>
          </w:p>
        </w:tc>
        <w:tc>
          <w:tcPr>
            <w:tcW w:w="34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30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9</w:t>
            </w:r>
          </w:p>
        </w:tc>
        <w:tc>
          <w:tcPr>
            <w:tcW w:w="56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DI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Č:</w:t>
            </w:r>
          </w:p>
        </w:tc>
        <w:tc>
          <w:tcPr>
            <w:tcW w:w="2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2</w:t>
            </w:r>
          </w:p>
        </w:tc>
        <w:tc>
          <w:tcPr>
            <w:tcW w:w="3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30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2</w:t>
            </w:r>
          </w:p>
        </w:tc>
        <w:tc>
          <w:tcPr>
            <w:tcW w:w="34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30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</w:t>
            </w:r>
          </w:p>
        </w:tc>
        <w:tc>
          <w:tcPr>
            <w:tcW w:w="3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6</w:t>
            </w:r>
          </w:p>
        </w:tc>
        <w:tc>
          <w:tcPr>
            <w:tcW w:w="36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</w:t>
            </w:r>
          </w:p>
        </w:tc>
        <w:tc>
          <w:tcPr>
            <w:tcW w:w="36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  <w:tc>
          <w:tcPr>
            <w:tcW w:w="38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40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6</w:t>
            </w:r>
          </w:p>
        </w:tc>
      </w:tr>
    </w:tbl>
    <w:p>
      <w:pPr>
        <w:tabs>
          <w:tab w:val="left" w:pos="6236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POZNÁMKY K Ú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ČTOVNÝM VÝKAZOM </w:t>
      </w:r>
    </w:p>
    <w:p>
      <w:pPr>
        <w:tabs>
          <w:tab w:val="left" w:pos="6236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ZA ROK 201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7</w:t>
      </w:r>
    </w:p>
    <w:p>
      <w:pPr>
        <w:tabs>
          <w:tab w:val="left" w:pos="6236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Obchodné meno spolo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čnosti:   HOLZEX. s.r.o.</w:t>
      </w:r>
    </w:p>
    <w:p>
      <w:pPr>
        <w:tabs>
          <w:tab w:val="left" w:pos="6236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Sídlo:                                     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Športová č.1, 98403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Lu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čenec</w:t>
      </w:r>
    </w:p>
    <w:p>
      <w:pPr>
        <w:tabs>
          <w:tab w:val="left" w:pos="6236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I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ČO:                                       31596509</w:t>
      </w:r>
    </w:p>
    <w:p>
      <w:pPr>
        <w:tabs>
          <w:tab w:val="left" w:pos="6236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DI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Č:                                       2020465106</w:t>
      </w:r>
    </w:p>
    <w:p>
      <w:pPr>
        <w:tabs>
          <w:tab w:val="left" w:pos="6236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Obchodný register:                 Okresný súd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Banská Bystrica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, vložka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číslo 1559/S, </w:t>
      </w:r>
    </w:p>
    <w:p>
      <w:pPr>
        <w:tabs>
          <w:tab w:val="left" w:pos="6236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                                             oddiel: Sro </w:t>
      </w:r>
    </w:p>
    <w:p>
      <w:pPr>
        <w:tabs>
          <w:tab w:val="left" w:pos="6236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konate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ľ spoločnosti                               Ján Toth </w:t>
      </w:r>
    </w:p>
    <w:p>
      <w:pPr>
        <w:tabs>
          <w:tab w:val="left" w:pos="6236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tbl>
      <w:tblPr>
        <w:tblInd w:w="57" w:type="dxa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2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>
        <w:trPr>
          <w:trHeight w:val="300" w:hRule="auto"/>
          <w:jc w:val="left"/>
        </w:trPr>
        <w:tc>
          <w:tcPr>
            <w:tcW w:w="24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Poznámky Ú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č MÚJ 3-01</w:t>
            </w:r>
          </w:p>
        </w:tc>
        <w:tc>
          <w:tcPr>
            <w:tcW w:w="60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ČO:</w:t>
            </w:r>
          </w:p>
        </w:tc>
        <w:tc>
          <w:tcPr>
            <w:tcW w:w="3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</w:t>
            </w:r>
          </w:p>
        </w:tc>
        <w:tc>
          <w:tcPr>
            <w:tcW w:w="30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  <w:tc>
          <w:tcPr>
            <w:tcW w:w="3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 5</w:t>
            </w:r>
          </w:p>
        </w:tc>
        <w:tc>
          <w:tcPr>
            <w:tcW w:w="28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9</w:t>
            </w:r>
          </w:p>
        </w:tc>
        <w:tc>
          <w:tcPr>
            <w:tcW w:w="28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6</w:t>
            </w:r>
          </w:p>
        </w:tc>
        <w:tc>
          <w:tcPr>
            <w:tcW w:w="36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</w:t>
            </w:r>
          </w:p>
        </w:tc>
        <w:tc>
          <w:tcPr>
            <w:tcW w:w="34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302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9</w:t>
            </w:r>
          </w:p>
        </w:tc>
        <w:tc>
          <w:tcPr>
            <w:tcW w:w="56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DI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Č:</w:t>
            </w:r>
          </w:p>
        </w:tc>
        <w:tc>
          <w:tcPr>
            <w:tcW w:w="2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2</w:t>
            </w:r>
          </w:p>
        </w:tc>
        <w:tc>
          <w:tcPr>
            <w:tcW w:w="3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30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2</w:t>
            </w:r>
          </w:p>
        </w:tc>
        <w:tc>
          <w:tcPr>
            <w:tcW w:w="34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30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</w:t>
            </w:r>
          </w:p>
        </w:tc>
        <w:tc>
          <w:tcPr>
            <w:tcW w:w="3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6</w:t>
            </w:r>
          </w:p>
        </w:tc>
        <w:tc>
          <w:tcPr>
            <w:tcW w:w="36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</w:t>
            </w:r>
          </w:p>
        </w:tc>
        <w:tc>
          <w:tcPr>
            <w:tcW w:w="36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  <w:tc>
          <w:tcPr>
            <w:tcW w:w="38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40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6</w:t>
            </w:r>
          </w:p>
        </w:tc>
      </w:tr>
    </w:tbl>
    <w:p>
      <w:pPr>
        <w:tabs>
          <w:tab w:val="left" w:pos="6236" w:leader="none"/>
        </w:tabs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Čl. I</w:t>
      </w:r>
    </w:p>
    <w:p>
      <w:pPr>
        <w:tabs>
          <w:tab w:val="left" w:pos="6236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Všeobecné údaje</w:t>
      </w:r>
    </w:p>
    <w:p>
      <w:pPr>
        <w:tabs>
          <w:tab w:val="left" w:pos="6236" w:leader="none"/>
        </w:tabs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14"/>
        </w:numPr>
        <w:tabs>
          <w:tab w:val="left" w:pos="6236" w:leader="none"/>
        </w:tabs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Názov právnickej osoby:</w:t>
      </w:r>
    </w:p>
    <w:p>
      <w:pPr>
        <w:tabs>
          <w:tab w:val="left" w:pos="6236" w:leader="none"/>
        </w:tabs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HOLZEX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, s.r.o.</w:t>
      </w:r>
    </w:p>
    <w:p>
      <w:pPr>
        <w:tabs>
          <w:tab w:val="left" w:pos="6236" w:leader="none"/>
        </w:tabs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Športová č.1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, </w:t>
      </w:r>
    </w:p>
    <w:p>
      <w:pPr>
        <w:tabs>
          <w:tab w:val="left" w:pos="6236" w:leader="none"/>
        </w:tabs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984 0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3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Lu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čenec</w:t>
      </w:r>
    </w:p>
    <w:p>
      <w:pPr>
        <w:tabs>
          <w:tab w:val="left" w:pos="6236" w:leader="none"/>
        </w:tabs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16"/>
        </w:numPr>
        <w:tabs>
          <w:tab w:val="left" w:pos="6236" w:leader="none"/>
        </w:tabs>
        <w:spacing w:before="0" w:after="0" w:line="240"/>
        <w:ind w:right="0" w:left="108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Spolo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čnosť HOLZEX, s.r.o. (ďalej len Spoločnosť), bola založená 09.12.1993  a do obchodného registra bola zapísaná 09.12.1993 ako spoločnosť HOLZEX s.r.o.</w:t>
      </w:r>
    </w:p>
    <w:p>
      <w:pPr>
        <w:tabs>
          <w:tab w:val="left" w:pos="6236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           (b) Hlavnými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činnosťami spoločnosti sú:</w:t>
      </w:r>
    </w:p>
    <w:p>
      <w:pPr>
        <w:numPr>
          <w:ilvl w:val="0"/>
          <w:numId w:val="18"/>
        </w:numPr>
        <w:tabs>
          <w:tab w:val="left" w:pos="6236" w:leader="none"/>
        </w:tabs>
        <w:spacing w:before="0" w:after="0" w:line="240"/>
        <w:ind w:right="0" w:left="144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čistenie pozemkov od drevín a iných porastov</w:t>
      </w:r>
    </w:p>
    <w:p>
      <w:pPr>
        <w:numPr>
          <w:ilvl w:val="0"/>
          <w:numId w:val="18"/>
        </w:numPr>
        <w:tabs>
          <w:tab w:val="left" w:pos="6236" w:leader="none"/>
        </w:tabs>
        <w:spacing w:before="0" w:after="0" w:line="240"/>
        <w:ind w:right="0" w:left="144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uskuto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čňovanie stavieb a ich zmien</w:t>
      </w:r>
    </w:p>
    <w:p>
      <w:pPr>
        <w:tabs>
          <w:tab w:val="left" w:pos="6236" w:leader="none"/>
        </w:tabs>
        <w:spacing w:before="0" w:after="0" w:line="240"/>
        <w:ind w:right="0" w:left="144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tesárstvo</w:t>
      </w:r>
    </w:p>
    <w:p>
      <w:pPr>
        <w:tabs>
          <w:tab w:val="left" w:pos="6236" w:leader="none"/>
        </w:tabs>
        <w:spacing w:before="0" w:after="0" w:line="240"/>
        <w:ind w:right="0" w:left="144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činnosť odborného a lesného hospodárstva</w:t>
      </w:r>
    </w:p>
    <w:p>
      <w:pPr>
        <w:tabs>
          <w:tab w:val="left" w:pos="6236" w:leader="none"/>
        </w:tabs>
        <w:spacing w:before="0" w:after="0" w:line="240"/>
        <w:ind w:right="0" w:left="144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20"/>
        </w:numPr>
        <w:tabs>
          <w:tab w:val="left" w:pos="6236" w:leader="none"/>
        </w:tabs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Údaje o konsolidovanom celku:</w:t>
      </w:r>
    </w:p>
    <w:p>
      <w:pPr>
        <w:numPr>
          <w:ilvl w:val="0"/>
          <w:numId w:val="20"/>
        </w:numPr>
        <w:tabs>
          <w:tab w:val="left" w:pos="6236" w:leader="none"/>
        </w:tabs>
        <w:spacing w:before="0" w:after="0" w:line="240"/>
        <w:ind w:right="0" w:left="108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Spolo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čnosť  nie je neobmedzene ručiacim spoločníkom v iných spoločnostiach podľa § 56 ods. 5 Obchodného zákonníka. Spoločnosť nemá podiel v skupine žiadnych účtovných jednotiek konsolidovaného celku.</w:t>
      </w:r>
    </w:p>
    <w:p>
      <w:pPr>
        <w:tabs>
          <w:tab w:val="left" w:pos="6236" w:leader="none"/>
        </w:tabs>
        <w:spacing w:before="0" w:after="0" w:line="240"/>
        <w:ind w:right="0" w:left="108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23"/>
        </w:numPr>
        <w:tabs>
          <w:tab w:val="left" w:pos="6236" w:leader="none"/>
        </w:tabs>
        <w:spacing w:before="0" w:after="0" w:line="240"/>
        <w:ind w:right="0" w:left="108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Spolo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čníci Spoločnosti:</w:t>
      </w:r>
    </w:p>
    <w:p>
      <w:pPr>
        <w:tabs>
          <w:tab w:val="left" w:pos="5735" w:leader="none"/>
        </w:tabs>
        <w:spacing w:before="0" w:after="0" w:line="240"/>
        <w:ind w:right="0" w:left="108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u w:val="single"/>
          <w:shd w:fill="auto" w:val="clear"/>
        </w:rPr>
        <w:t xml:space="preserve">Meno</w:t>
        <w:tab/>
        <w:t xml:space="preserve">Výška vkladu</w:t>
      </w:r>
    </w:p>
    <w:p>
      <w:pPr>
        <w:tabs>
          <w:tab w:val="left" w:pos="6148" w:leader="none"/>
        </w:tabs>
        <w:spacing w:before="0" w:after="0" w:line="240"/>
        <w:ind w:right="0" w:left="108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Ján Toth Ing.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ab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45808.-EUR</w:t>
      </w:r>
    </w:p>
    <w:p>
      <w:pPr>
        <w:tabs>
          <w:tab w:val="left" w:pos="6186" w:leader="none"/>
        </w:tabs>
        <w:spacing w:before="0" w:after="0" w:line="240"/>
        <w:ind w:right="0" w:left="108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27"/>
        </w:numPr>
        <w:tabs>
          <w:tab w:val="left" w:pos="6236" w:leader="none"/>
        </w:tabs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Priemerný prepo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čítaný počet zamestnancov: </w:t>
      </w:r>
    </w:p>
    <w:p>
      <w:pPr>
        <w:tabs>
          <w:tab w:val="left" w:pos="5785" w:leader="none"/>
        </w:tabs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u w:val="single"/>
          <w:shd w:fill="auto" w:val="clear"/>
        </w:rPr>
        <w:tab/>
        <w:t xml:space="preserve">201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u w:val="single"/>
          <w:shd w:fill="auto" w:val="clear"/>
        </w:rPr>
        <w:t xml:space="preserve">7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u w:val="single"/>
          <w:shd w:fill="auto" w:val="clear"/>
        </w:rPr>
        <w:t xml:space="preserve">                       201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u w:val="single"/>
          <w:shd w:fill="auto" w:val="clear"/>
        </w:rPr>
        <w:t xml:space="preserve">6</w:t>
      </w:r>
    </w:p>
    <w:p>
      <w:pPr>
        <w:tabs>
          <w:tab w:val="left" w:pos="5785" w:leader="none"/>
          <w:tab w:val="left" w:pos="7789" w:leader="none"/>
        </w:tabs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Priemerný prepo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čítaný počet zamestnancov </w:t>
        <w:tab/>
        <w:t xml:space="preserve">   2</w:t>
        <w:tab/>
        <w:t xml:space="preserve">1</w:t>
      </w:r>
    </w:p>
    <w:p>
      <w:pPr>
        <w:tabs>
          <w:tab w:val="left" w:pos="5785" w:leader="none"/>
          <w:tab w:val="left" w:pos="7876" w:leader="none"/>
        </w:tabs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Po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čet zamestnancov ku dňu, ku ktorému sa </w:t>
      </w:r>
    </w:p>
    <w:p>
      <w:pPr>
        <w:tabs>
          <w:tab w:val="left" w:pos="5785" w:leader="none"/>
          <w:tab w:val="left" w:pos="7876" w:leader="none"/>
        </w:tabs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Zostavuje ú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čtovná závierka                                               2                            1</w:t>
      </w:r>
    </w:p>
    <w:p>
      <w:pPr>
        <w:tabs>
          <w:tab w:val="left" w:pos="5785" w:leader="none"/>
          <w:tab w:val="left" w:pos="7876" w:leader="none"/>
        </w:tabs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5785" w:leader="none"/>
          <w:tab w:val="left" w:pos="7876" w:leader="none"/>
        </w:tabs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72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Čl. II</w:t>
      </w:r>
    </w:p>
    <w:p>
      <w:pPr>
        <w:tabs>
          <w:tab w:val="left" w:pos="6236" w:leader="none"/>
        </w:tabs>
        <w:spacing w:before="0" w:after="0" w:line="240"/>
        <w:ind w:right="0" w:left="72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Informácie o prijatých postupoch</w:t>
      </w:r>
    </w:p>
    <w:p>
      <w:pPr>
        <w:tabs>
          <w:tab w:val="left" w:pos="6236" w:leader="none"/>
        </w:tabs>
        <w:spacing w:before="0" w:after="0" w:line="240"/>
        <w:ind w:right="0" w:left="72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32"/>
        </w:numPr>
        <w:tabs>
          <w:tab w:val="left" w:pos="6236" w:leader="none"/>
        </w:tabs>
        <w:spacing w:before="0" w:after="0" w:line="240"/>
        <w:ind w:right="0" w:left="765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čtovná závierka bola zostavená za predpokladu, že Spoločnosť bude nepretržite pokračovať vo svojej činnosti.</w:t>
      </w:r>
    </w:p>
    <w:p>
      <w:pPr>
        <w:tabs>
          <w:tab w:val="left" w:pos="6236" w:leader="none"/>
        </w:tabs>
        <w:spacing w:before="0" w:after="0" w:line="240"/>
        <w:ind w:right="0" w:left="76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čtovné metódy a všeobecné zásady boli účtovnou jednotkou konzistentne aplikované.</w:t>
      </w:r>
    </w:p>
    <w:p>
      <w:pPr>
        <w:tabs>
          <w:tab w:val="left" w:pos="6236" w:leader="none"/>
        </w:tabs>
        <w:spacing w:before="0" w:after="0" w:line="240"/>
        <w:ind w:right="0" w:left="76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V ú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čtovnom období 2017 Spoločnosť nevykonala žiadne opravy významných chýb minulých období.</w:t>
      </w:r>
    </w:p>
    <w:p>
      <w:pPr>
        <w:tabs>
          <w:tab w:val="left" w:pos="6236" w:leader="none"/>
        </w:tabs>
        <w:spacing w:before="0" w:after="0" w:line="240"/>
        <w:ind w:right="0" w:left="76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34"/>
        </w:numPr>
        <w:tabs>
          <w:tab w:val="left" w:pos="6236" w:leader="none"/>
        </w:tabs>
        <w:spacing w:before="0" w:after="0" w:line="240"/>
        <w:ind w:right="0" w:left="765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Spôsob oce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ňovania jednotlivých položiek majetku a záväzkov, a to:</w:t>
      </w:r>
    </w:p>
    <w:p>
      <w:pPr>
        <w:tabs>
          <w:tab w:val="left" w:pos="6236" w:leader="none"/>
        </w:tabs>
        <w:spacing w:before="0" w:after="0" w:line="240"/>
        <w:ind w:right="0" w:left="76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1125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1125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37"/>
        </w:numPr>
        <w:tabs>
          <w:tab w:val="left" w:pos="6236" w:leader="none"/>
        </w:tabs>
        <w:spacing w:before="0" w:after="0" w:line="240"/>
        <w:ind w:right="0" w:left="1125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Dlhodobý nehmotný a hmotný majetok nakupovaný sa oce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ňuje obstarávacou </w:t>
      </w:r>
    </w:p>
    <w:p>
      <w:pPr>
        <w:tabs>
          <w:tab w:val="left" w:pos="6236" w:leader="none"/>
        </w:tabs>
        <w:spacing w:before="0" w:after="0" w:line="240"/>
        <w:ind w:right="0" w:left="112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cenou, ktorá zah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ŕňa cenu obstarania a náklady súvisiace s obstaraním (clo, preprava, montáž, poistné a pod.)</w:t>
      </w:r>
    </w:p>
    <w:p>
      <w:pPr>
        <w:tabs>
          <w:tab w:val="left" w:pos="6236" w:leader="none"/>
        </w:tabs>
        <w:spacing w:before="0" w:after="0" w:line="240"/>
        <w:ind w:right="0" w:left="1125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112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V ú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čtovnom období 2017 Spoločnosť nenakupovala takýto majetok.</w:t>
      </w:r>
    </w:p>
    <w:p>
      <w:pPr>
        <w:tabs>
          <w:tab w:val="left" w:pos="6236" w:leader="none"/>
        </w:tabs>
        <w:spacing w:before="0" w:after="0" w:line="240"/>
        <w:ind w:right="0" w:left="112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41"/>
        </w:numPr>
        <w:tabs>
          <w:tab w:val="left" w:pos="6236" w:leader="none"/>
        </w:tabs>
        <w:spacing w:before="0" w:after="0" w:line="240"/>
        <w:ind w:right="0" w:left="1125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Zásoby sa oce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ňujú :obstarávacou cenou (nakupované zásoby)</w:t>
      </w:r>
    </w:p>
    <w:p>
      <w:pPr>
        <w:tabs>
          <w:tab w:val="left" w:pos="6236" w:leader="none"/>
        </w:tabs>
        <w:spacing w:before="0" w:after="0" w:line="240"/>
        <w:ind w:right="0" w:left="112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                               vlastnými nákladmi (zásoby vytvorené vlastnou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     činnosťou)</w:t>
      </w:r>
    </w:p>
    <w:p>
      <w:pPr>
        <w:tabs>
          <w:tab w:val="left" w:pos="6236" w:leader="none"/>
        </w:tabs>
        <w:spacing w:before="0" w:after="0" w:line="240"/>
        <w:ind w:right="0" w:left="112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43"/>
        </w:numPr>
        <w:tabs>
          <w:tab w:val="left" w:pos="6236" w:leader="none"/>
        </w:tabs>
        <w:spacing w:before="0" w:after="0" w:line="240"/>
        <w:ind w:right="0" w:left="1125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Poh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ľadávky pri ich vzniku sa oceňujú ich menovitou hodnotou, </w:t>
      </w:r>
    </w:p>
    <w:p>
      <w:pPr>
        <w:tabs>
          <w:tab w:val="left" w:pos="6236" w:leader="none"/>
        </w:tabs>
        <w:spacing w:before="0" w:after="0" w:line="240"/>
        <w:ind w:right="0" w:left="112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45"/>
        </w:numPr>
        <w:tabs>
          <w:tab w:val="left" w:pos="6236" w:leader="none"/>
        </w:tabs>
        <w:spacing w:before="0" w:after="0" w:line="240"/>
        <w:ind w:right="0" w:left="1125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Pe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ňažné prostriedky sa oceňujú ich menovitou hodnotou. </w:t>
      </w:r>
    </w:p>
    <w:p>
      <w:pPr>
        <w:tabs>
          <w:tab w:val="left" w:pos="6236" w:leader="none"/>
        </w:tabs>
        <w:spacing w:before="0" w:after="0" w:line="240"/>
        <w:ind w:right="0" w:left="112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47"/>
        </w:numPr>
        <w:tabs>
          <w:tab w:val="left" w:pos="6236" w:leader="none"/>
        </w:tabs>
        <w:spacing w:before="0" w:after="0" w:line="240"/>
        <w:ind w:right="0" w:left="1125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Záväzky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pri ich vzniku sa oce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>
      <w:pPr>
        <w:tabs>
          <w:tab w:val="left" w:pos="6236" w:leader="none"/>
        </w:tabs>
        <w:spacing w:before="0" w:after="0" w:line="240"/>
        <w:ind w:right="0" w:left="76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      Rezervy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sú záväzky s neur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čitým časovým vymedzením alebo výškou, tvoria sa na </w:t>
      </w:r>
    </w:p>
    <w:p>
      <w:pPr>
        <w:tabs>
          <w:tab w:val="left" w:pos="6236" w:leader="none"/>
        </w:tabs>
        <w:spacing w:before="0" w:after="0" w:line="240"/>
        <w:ind w:right="0" w:left="76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     krytie známych rizík alebo strát z podnikania. Oce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ňujú sa v očakávanej výške </w:t>
      </w:r>
    </w:p>
    <w:p>
      <w:pPr>
        <w:tabs>
          <w:tab w:val="left" w:pos="6236" w:leader="none"/>
        </w:tabs>
        <w:spacing w:before="0" w:after="0" w:line="240"/>
        <w:ind w:right="0" w:left="76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     záväzku.</w:t>
      </w:r>
    </w:p>
    <w:p>
      <w:pPr>
        <w:tabs>
          <w:tab w:val="left" w:pos="6236" w:leader="none"/>
        </w:tabs>
        <w:spacing w:before="0" w:after="0" w:line="240"/>
        <w:ind w:right="0" w:left="76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      Deriváty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sa oce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ňujú reálnou hodnotou. Spoločnosť o nich v účtovnom období   </w:t>
      </w:r>
    </w:p>
    <w:p>
      <w:pPr>
        <w:tabs>
          <w:tab w:val="left" w:pos="6236" w:leader="none"/>
        </w:tabs>
        <w:spacing w:before="0" w:after="0" w:line="240"/>
        <w:ind w:right="0" w:left="76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     roku 201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7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neú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čtovala.</w:t>
      </w:r>
    </w:p>
    <w:p>
      <w:pPr>
        <w:tabs>
          <w:tab w:val="left" w:pos="6236" w:leader="none"/>
        </w:tabs>
        <w:spacing w:before="0" w:after="0" w:line="240"/>
        <w:ind w:right="0" w:left="76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49"/>
        </w:numPr>
        <w:tabs>
          <w:tab w:val="left" w:pos="6236" w:leader="none"/>
        </w:tabs>
        <w:spacing w:before="0" w:after="0" w:line="240"/>
        <w:ind w:right="0" w:left="765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Spôsob zostavenia odpisového plánu pre jednotlivé druhy dlhodobého hmotného majetku a dlhodobého nehmotného majetku.</w:t>
      </w:r>
    </w:p>
    <w:p>
      <w:pPr>
        <w:tabs>
          <w:tab w:val="left" w:pos="6236" w:leader="none"/>
        </w:tabs>
        <w:spacing w:before="0" w:after="0" w:line="240"/>
        <w:ind w:right="0" w:left="76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Odpisy dlhodobého nehmotného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majetku sú stanovené vychádzajúc z predpokladanej doby jeho používania a predpokladaného priebehu jeho opotrebenia. Odpisova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ť sa začína prvým dňom mesiaca nasledujúceho po uvedení dlhodobého nehmotného majetku do používania. Drobný dlhodobý nehmotný majetok, ktorého obstarávacia cena je 2400 € a nižšia, sa odpisuje jednorazovo pri uvedení do používania.  </w:t>
      </w:r>
    </w:p>
    <w:p>
      <w:pPr>
        <w:tabs>
          <w:tab w:val="left" w:pos="6236" w:leader="none"/>
        </w:tabs>
        <w:spacing w:before="0" w:after="0" w:line="240"/>
        <w:ind w:right="0" w:left="76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Odpisy dlhodobého hmotného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majetku sú stanovené vychádzajúc z predpokladanej doby jeho používania a predpokladaného priebehu jeho opotrebenia. Odpisova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ť sa začína prvým dňom mesiaca nasledujúceho po uvedení dlhodobého majetku do používania. Drobný dlhodobý hmotný majetok, ktorého obstarávacia cena je 1700 € a nižšie , sa odpisuje jednorazovo pri uvedení do používania.  </w:t>
      </w:r>
    </w:p>
    <w:p>
      <w:pPr>
        <w:tabs>
          <w:tab w:val="left" w:pos="6236" w:leader="none"/>
        </w:tabs>
        <w:spacing w:before="0" w:after="0" w:line="240"/>
        <w:ind w:right="0" w:left="765" w:firstLine="0"/>
        <w:jc w:val="lef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Odpisy dlhodobého hmotného majetku - tabu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ľka:</w:t>
      </w:r>
    </w:p>
    <w:tbl>
      <w:tblPr>
        <w:tblInd w:w="765" w:type="dxa"/>
      </w:tblPr>
      <w:tblGrid>
        <w:gridCol w:w="2247"/>
        <w:gridCol w:w="2143"/>
        <w:gridCol w:w="2143"/>
        <w:gridCol w:w="1990"/>
      </w:tblGrid>
      <w:tr>
        <w:trPr>
          <w:trHeight w:val="1" w:hRule="atLeast"/>
          <w:jc w:val="left"/>
        </w:trPr>
        <w:tc>
          <w:tcPr>
            <w:tcW w:w="22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6236" w:leader="none"/>
              </w:tabs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Názov HDM</w:t>
            </w:r>
          </w:p>
        </w:tc>
        <w:tc>
          <w:tcPr>
            <w:tcW w:w="21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6236" w:leader="none"/>
              </w:tabs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201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7</w:t>
            </w:r>
          </w:p>
        </w:tc>
        <w:tc>
          <w:tcPr>
            <w:tcW w:w="21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6236" w:leader="none"/>
              </w:tabs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201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6</w:t>
            </w:r>
          </w:p>
        </w:tc>
        <w:tc>
          <w:tcPr>
            <w:tcW w:w="199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6236" w:leader="none"/>
              </w:tabs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Odpis</w:t>
            </w:r>
          </w:p>
        </w:tc>
      </w:tr>
      <w:tr>
        <w:trPr>
          <w:trHeight w:val="1" w:hRule="atLeast"/>
          <w:jc w:val="left"/>
        </w:trPr>
        <w:tc>
          <w:tcPr>
            <w:tcW w:w="22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6236" w:leader="none"/>
              </w:tabs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sam.hnut.veci</w:t>
            </w:r>
          </w:p>
        </w:tc>
        <w:tc>
          <w:tcPr>
            <w:tcW w:w="21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6236" w:leader="none"/>
              </w:tabs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7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785</w:t>
            </w:r>
          </w:p>
        </w:tc>
        <w:tc>
          <w:tcPr>
            <w:tcW w:w="21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6236" w:leader="none"/>
              </w:tabs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3176</w:t>
            </w:r>
          </w:p>
        </w:tc>
        <w:tc>
          <w:tcPr>
            <w:tcW w:w="199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6236" w:leader="none"/>
              </w:tabs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tabs>
          <w:tab w:val="left" w:pos="6236" w:leader="none"/>
        </w:tabs>
        <w:spacing w:before="0" w:after="0" w:line="240"/>
        <w:ind w:right="0" w:left="76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76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60"/>
        </w:numPr>
        <w:tabs>
          <w:tab w:val="left" w:pos="6236" w:leader="none"/>
        </w:tabs>
        <w:spacing w:before="0" w:after="0" w:line="240"/>
        <w:ind w:right="0" w:left="765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K zmenám ú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čtovných zásad a zmenám účtovných metód, ktoré by mali vplyv na finančnú hodnotu majetku, záväzkov, základného imania a výsledku hospodárenia účtovnej jednotky nedošlo.</w:t>
      </w:r>
    </w:p>
    <w:p>
      <w:pPr>
        <w:tabs>
          <w:tab w:val="left" w:pos="6236" w:leader="none"/>
        </w:tabs>
        <w:spacing w:before="0" w:after="0" w:line="240"/>
        <w:ind w:right="0" w:left="76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63"/>
        </w:numPr>
        <w:tabs>
          <w:tab w:val="left" w:pos="6236" w:leader="none"/>
        </w:tabs>
        <w:spacing w:before="0" w:after="0" w:line="240"/>
        <w:ind w:right="0" w:left="765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Dotácie zo štátneho rozpo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čtu spoločnosť nezískala v uvedenom účtovnom období.</w:t>
      </w:r>
    </w:p>
    <w:p>
      <w:pPr>
        <w:tabs>
          <w:tab w:val="left" w:pos="6236" w:leader="none"/>
        </w:tabs>
        <w:spacing w:before="0" w:after="0" w:line="240"/>
        <w:ind w:right="0" w:left="76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65"/>
        </w:numPr>
        <w:tabs>
          <w:tab w:val="left" w:pos="6236" w:leader="none"/>
        </w:tabs>
        <w:spacing w:before="0" w:after="0" w:line="240"/>
        <w:ind w:right="0" w:left="765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Spolo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čnosť v účtovnom období 2017 neúčtovala o významných opravách chýb minulých účtovných období.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76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374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Čl. III</w:t>
      </w:r>
    </w:p>
    <w:p>
      <w:pPr>
        <w:tabs>
          <w:tab w:val="left" w:pos="6374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Informácie, ktoré vysvet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ľujú a dopĺňajú súvahu a výkaz ziskov a strát</w:t>
        <w:br/>
      </w:r>
    </w:p>
    <w:p>
      <w:pPr>
        <w:numPr>
          <w:ilvl w:val="0"/>
          <w:numId w:val="69"/>
        </w:numPr>
        <w:spacing w:before="0" w:after="0" w:line="240"/>
        <w:ind w:right="0" w:left="765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Spolo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čnosť okrem výnosov a nákladov v bežnej činnosti neúčtovala o výnosoch a nákladoch, ktoré by mali výnimočný vplyv na hospodársky výsledok.</w:t>
      </w:r>
    </w:p>
    <w:p>
      <w:pPr>
        <w:spacing w:before="0" w:after="0" w:line="240"/>
        <w:ind w:right="0" w:left="76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a)dlhodobý hmotný majetok:</w:t>
      </w:r>
    </w:p>
    <w:tbl>
      <w:tblPr>
        <w:tblInd w:w="765" w:type="dxa"/>
      </w:tblPr>
      <w:tblGrid>
        <w:gridCol w:w="1733"/>
        <w:gridCol w:w="1837"/>
        <w:gridCol w:w="1771"/>
        <w:gridCol w:w="1706"/>
        <w:gridCol w:w="1476"/>
      </w:tblGrid>
      <w:tr>
        <w:trPr>
          <w:trHeight w:val="1" w:hRule="atLeast"/>
          <w:jc w:val="left"/>
        </w:trPr>
        <w:tc>
          <w:tcPr>
            <w:tcW w:w="17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Položka</w:t>
            </w:r>
          </w:p>
        </w:tc>
        <w:tc>
          <w:tcPr>
            <w:tcW w:w="18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Stav k 1.1.201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7</w:t>
            </w:r>
          </w:p>
        </w:tc>
        <w:tc>
          <w:tcPr>
            <w:tcW w:w="1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Prírastok</w:t>
            </w:r>
          </w:p>
        </w:tc>
        <w:tc>
          <w:tcPr>
            <w:tcW w:w="17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Úbytok</w:t>
            </w:r>
          </w:p>
        </w:tc>
        <w:tc>
          <w:tcPr>
            <w:tcW w:w="14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Stav k 31.12.201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7</w:t>
            </w:r>
          </w:p>
        </w:tc>
      </w:tr>
      <w:tr>
        <w:trPr>
          <w:trHeight w:val="1" w:hRule="atLeast"/>
          <w:jc w:val="left"/>
        </w:trPr>
        <w:tc>
          <w:tcPr>
            <w:tcW w:w="17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DHM celkom</w:t>
            </w:r>
          </w:p>
        </w:tc>
        <w:tc>
          <w:tcPr>
            <w:tcW w:w="18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38772</w:t>
            </w:r>
          </w:p>
        </w:tc>
        <w:tc>
          <w:tcPr>
            <w:tcW w:w="1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38772</w:t>
            </w:r>
          </w:p>
        </w:tc>
      </w:tr>
      <w:tr>
        <w:trPr>
          <w:trHeight w:val="1" w:hRule="atLeast"/>
          <w:jc w:val="left"/>
        </w:trPr>
        <w:tc>
          <w:tcPr>
            <w:tcW w:w="17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Z toho: samostatné hnute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ľné veci a súbory</w:t>
            </w:r>
          </w:p>
        </w:tc>
        <w:tc>
          <w:tcPr>
            <w:tcW w:w="18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38772</w:t>
            </w:r>
          </w:p>
        </w:tc>
        <w:tc>
          <w:tcPr>
            <w:tcW w:w="1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38772</w:t>
            </w:r>
          </w:p>
        </w:tc>
      </w:tr>
      <w:tr>
        <w:trPr>
          <w:trHeight w:val="1" w:hRule="atLeast"/>
          <w:jc w:val="left"/>
        </w:trPr>
        <w:tc>
          <w:tcPr>
            <w:tcW w:w="17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Obstarávaný DHM</w:t>
            </w:r>
          </w:p>
        </w:tc>
        <w:tc>
          <w:tcPr>
            <w:tcW w:w="18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  <w:tc>
          <w:tcPr>
            <w:tcW w:w="1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</w:tr>
      <w:tr>
        <w:trPr>
          <w:trHeight w:val="1" w:hRule="atLeast"/>
          <w:jc w:val="left"/>
        </w:trPr>
        <w:tc>
          <w:tcPr>
            <w:tcW w:w="17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Odpisy </w:t>
            </w:r>
          </w:p>
        </w:tc>
        <w:tc>
          <w:tcPr>
            <w:tcW w:w="18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26451</w:t>
            </w:r>
          </w:p>
        </w:tc>
        <w:tc>
          <w:tcPr>
            <w:tcW w:w="1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1622</w:t>
            </w:r>
          </w:p>
        </w:tc>
        <w:tc>
          <w:tcPr>
            <w:tcW w:w="17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28073</w:t>
            </w:r>
          </w:p>
        </w:tc>
      </w:tr>
      <w:tr>
        <w:trPr>
          <w:trHeight w:val="1" w:hRule="atLeast"/>
          <w:jc w:val="left"/>
        </w:trPr>
        <w:tc>
          <w:tcPr>
            <w:tcW w:w="17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Zostatková cena</w:t>
            </w:r>
          </w:p>
        </w:tc>
        <w:tc>
          <w:tcPr>
            <w:tcW w:w="18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12321</w:t>
            </w:r>
          </w:p>
        </w:tc>
        <w:tc>
          <w:tcPr>
            <w:tcW w:w="1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10699</w:t>
            </w:r>
          </w:p>
        </w:tc>
      </w:tr>
    </w:tbl>
    <w:p>
      <w:pPr>
        <w:spacing w:before="0" w:after="0" w:line="240"/>
        <w:ind w:right="0" w:left="76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center" w:pos="4918" w:leader="none"/>
          <w:tab w:val="left" w:pos="6624" w:leader="none"/>
          <w:tab w:val="left" w:pos="7200" w:leader="none"/>
        </w:tabs>
        <w:spacing w:before="0" w:after="0" w:line="240"/>
        <w:ind w:right="0" w:left="76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b)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u w:val="single"/>
          <w:shd w:fill="auto" w:val="clear"/>
        </w:rPr>
        <w:t xml:space="preserve">Poh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u w:val="single"/>
          <w:shd w:fill="auto" w:val="clear"/>
        </w:rPr>
        <w:t xml:space="preserve">ľadávky</w:t>
        <w:tab/>
        <w:t xml:space="preserve">2017</w:t>
        <w:tab/>
        <w:t xml:space="preserve">2016</w:t>
      </w:r>
    </w:p>
    <w:p>
      <w:pPr>
        <w:tabs>
          <w:tab w:val="center" w:pos="4536" w:leader="none"/>
          <w:tab w:val="left" w:pos="7200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            V lehote splatnosti                                   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2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0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812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                     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42048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      </w:t>
      </w:r>
    </w:p>
    <w:p>
      <w:pPr>
        <w:tabs>
          <w:tab w:val="center" w:pos="4536" w:leader="none"/>
          <w:tab w:val="left" w:pos="7200" w:leader="none"/>
        </w:tabs>
        <w:spacing w:before="0" w:after="0" w:line="240"/>
        <w:ind w:right="0" w:left="0" w:firstLine="708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 Z toho z obchodného styku</w:t>
        <w:tab/>
        <w:t xml:space="preserve">                 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20812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                     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41823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                            </w:t>
      </w:r>
    </w:p>
    <w:p>
      <w:pPr>
        <w:spacing w:before="0" w:after="0" w:line="240"/>
        <w:ind w:right="0" w:left="76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90"/>
        </w:numPr>
        <w:spacing w:before="0" w:after="0" w:line="240"/>
        <w:ind w:right="0" w:left="765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Preh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ľad záväzkov:</w:t>
      </w:r>
    </w:p>
    <w:p>
      <w:pPr>
        <w:tabs>
          <w:tab w:val="center" w:pos="4918" w:leader="none"/>
          <w:tab w:val="left" w:pos="7200" w:leader="none"/>
        </w:tabs>
        <w:spacing w:before="0" w:after="0" w:line="240"/>
        <w:ind w:right="0" w:left="76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u w:val="single"/>
          <w:shd w:fill="auto" w:val="clear"/>
        </w:rPr>
        <w:t xml:space="preserve">a)Záväzky </w:t>
        <w:tab/>
        <w:t xml:space="preserve">201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u w:val="single"/>
          <w:shd w:fill="auto" w:val="clear"/>
        </w:rPr>
        <w:t xml:space="preserve">7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u w:val="single"/>
          <w:shd w:fill="auto" w:val="clear"/>
        </w:rPr>
        <w:tab/>
        <w:t xml:space="preserve">201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u w:val="single"/>
          <w:shd w:fill="auto" w:val="clear"/>
        </w:rPr>
        <w:t xml:space="preserve">6</w:t>
      </w:r>
    </w:p>
    <w:p>
      <w:pPr>
        <w:tabs>
          <w:tab w:val="center" w:pos="4536" w:leader="none"/>
          <w:tab w:val="left" w:pos="7200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            V lehote splatnosti</w:t>
        <w:tab/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         20457       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         </w:t>
        <w:tab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43659</w:t>
      </w:r>
    </w:p>
    <w:p>
      <w:pPr>
        <w:tabs>
          <w:tab w:val="left" w:pos="889" w:leader="none"/>
          <w:tab w:val="left" w:pos="4883" w:leader="none"/>
          <w:tab w:val="left" w:pos="7200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             Po lehote splatnosti</w:t>
        <w:tab/>
        <w:t xml:space="preserve">0</w:t>
        <w:tab/>
        <w:t xml:space="preserve">    0                                                       </w:t>
      </w:r>
    </w:p>
    <w:p>
      <w:pPr>
        <w:tabs>
          <w:tab w:val="left" w:pos="889" w:leader="none"/>
          <w:tab w:val="left" w:pos="7200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             z toho z obchodného styku                     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20457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ab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43659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                </w:t>
      </w:r>
    </w:p>
    <w:p>
      <w:pPr>
        <w:tabs>
          <w:tab w:val="center" w:pos="4536" w:leader="none"/>
          <w:tab w:val="left" w:pos="7200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center" w:pos="4536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            b)Bankové úvery</w:t>
      </w:r>
    </w:p>
    <w:p>
      <w:pPr>
        <w:tabs>
          <w:tab w:val="center" w:pos="4536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               Spolo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čnosť v účtovnom období 2016 nemala poskytnuté žiadne úvery od     </w:t>
      </w:r>
    </w:p>
    <w:p>
      <w:pPr>
        <w:tabs>
          <w:tab w:val="center" w:pos="4536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               pe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ňažných ústavov.</w:t>
        <w:tab/>
      </w:r>
    </w:p>
    <w:p>
      <w:pPr>
        <w:tabs>
          <w:tab w:val="center" w:pos="4536" w:leader="none"/>
          <w:tab w:val="left" w:pos="7200" w:leader="none"/>
        </w:tabs>
        <w:spacing w:before="0" w:after="0" w:line="240"/>
        <w:ind w:right="0" w:left="0" w:firstLine="708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98"/>
        </w:numPr>
        <w:tabs>
          <w:tab w:val="center" w:pos="4536" w:leader="none"/>
          <w:tab w:val="left" w:pos="7200" w:leader="none"/>
        </w:tabs>
        <w:spacing w:before="0" w:after="0" w:line="240"/>
        <w:ind w:right="0" w:left="765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Informácia o vlastných akciách:</w:t>
      </w:r>
    </w:p>
    <w:p>
      <w:pPr>
        <w:numPr>
          <w:ilvl w:val="0"/>
          <w:numId w:val="98"/>
        </w:numPr>
        <w:tabs>
          <w:tab w:val="center" w:pos="4536" w:leader="none"/>
          <w:tab w:val="left" w:pos="7200" w:leader="none"/>
        </w:tabs>
        <w:spacing w:before="0" w:after="0" w:line="240"/>
        <w:ind w:right="0" w:left="1125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Základné imanie predstavuje:</w:t>
      </w:r>
    </w:p>
    <w:p>
      <w:pPr>
        <w:numPr>
          <w:ilvl w:val="0"/>
          <w:numId w:val="98"/>
        </w:numPr>
        <w:tabs>
          <w:tab w:val="center" w:pos="4536" w:leader="none"/>
          <w:tab w:val="left" w:pos="7200" w:leader="none"/>
        </w:tabs>
        <w:spacing w:before="0" w:after="0" w:line="240"/>
        <w:ind w:right="0" w:left="1125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vklad pri vzniku spolo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čnosti s ručením obmedzeným </w:t>
      </w:r>
    </w:p>
    <w:p>
      <w:pPr>
        <w:tabs>
          <w:tab w:val="center" w:pos="4918" w:leader="none"/>
          <w:tab w:val="left" w:pos="4956" w:leader="none"/>
          <w:tab w:val="left" w:pos="5664" w:leader="none"/>
          <w:tab w:val="left" w:pos="6372" w:leader="none"/>
        </w:tabs>
        <w:spacing w:before="0" w:after="0" w:line="240"/>
        <w:ind w:right="0" w:left="112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center" w:pos="4918" w:leader="none"/>
          <w:tab w:val="left" w:pos="4956" w:leader="none"/>
          <w:tab w:val="left" w:pos="5664" w:leader="none"/>
          <w:tab w:val="left" w:pos="6372" w:leader="none"/>
        </w:tabs>
        <w:spacing w:before="0" w:after="0" w:line="240"/>
        <w:ind w:right="0" w:left="1125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102"/>
        </w:numPr>
        <w:tabs>
          <w:tab w:val="center" w:pos="4918" w:leader="none"/>
          <w:tab w:val="left" w:pos="4956" w:leader="none"/>
          <w:tab w:val="left" w:pos="5664" w:leader="none"/>
          <w:tab w:val="left" w:pos="6372" w:leader="none"/>
        </w:tabs>
        <w:spacing w:before="0" w:after="0" w:line="240"/>
        <w:ind w:right="0" w:left="1125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Meno </w:t>
        <w:tab/>
        <w:t xml:space="preserve">Výška vkladu na ZI</w:t>
        <w:tab/>
        <w:t xml:space="preserve">Percentuálna hodnota</w:t>
      </w:r>
    </w:p>
    <w:p>
      <w:pPr>
        <w:tabs>
          <w:tab w:val="center" w:pos="4890" w:leader="none"/>
          <w:tab w:val="left" w:pos="7062" w:leader="none"/>
        </w:tabs>
        <w:spacing w:before="0" w:after="0" w:line="240"/>
        <w:ind w:right="0" w:left="112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Ján Tóth Ing.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                             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45808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               </w:t>
        <w:tab/>
        <w:t xml:space="preserve">100 %</w:t>
      </w:r>
    </w:p>
    <w:p>
      <w:pPr>
        <w:tabs>
          <w:tab w:val="left" w:pos="7250" w:leader="none"/>
        </w:tabs>
        <w:spacing w:before="0" w:after="0" w:line="240"/>
        <w:ind w:right="0" w:left="108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105"/>
        </w:numPr>
        <w:tabs>
          <w:tab w:val="left" w:pos="7250" w:leader="none"/>
        </w:tabs>
        <w:spacing w:before="0" w:after="0" w:line="240"/>
        <w:ind w:right="0" w:left="1125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Hospodársky výsledok za rok 201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7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v hodnote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12688.-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€.</w:t>
      </w:r>
    </w:p>
    <w:p>
      <w:pPr>
        <w:tabs>
          <w:tab w:val="left" w:pos="5735" w:leader="none"/>
        </w:tabs>
        <w:spacing w:before="0" w:after="0" w:line="240"/>
        <w:ind w:right="0" w:left="108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107"/>
        </w:numPr>
        <w:tabs>
          <w:tab w:val="center" w:pos="4890" w:leader="none"/>
          <w:tab w:val="left" w:pos="7288" w:leader="none"/>
        </w:tabs>
        <w:spacing w:before="0" w:after="0" w:line="240"/>
        <w:ind w:right="0" w:left="765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Informácie o orgánoch ú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čtovnej jednotky:</w:t>
      </w:r>
    </w:p>
    <w:p>
      <w:pPr>
        <w:tabs>
          <w:tab w:val="center" w:pos="4890" w:leader="none"/>
          <w:tab w:val="left" w:pos="7288" w:leader="none"/>
        </w:tabs>
        <w:spacing w:before="0" w:after="0" w:line="240"/>
        <w:ind w:right="0" w:left="76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109"/>
        </w:numPr>
        <w:tabs>
          <w:tab w:val="center" w:pos="4890" w:leader="none"/>
          <w:tab w:val="left" w:pos="7288" w:leader="none"/>
        </w:tabs>
        <w:spacing w:before="0" w:after="0" w:line="240"/>
        <w:ind w:right="0" w:left="1125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Spolo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čnosť nemá  žiadne záruky poskytnuté pre členov štatutárneho orgánu a iného orgánu účtovnej jednotky.</w:t>
      </w:r>
    </w:p>
    <w:p>
      <w:pPr>
        <w:tabs>
          <w:tab w:val="center" w:pos="4890" w:leader="none"/>
          <w:tab w:val="left" w:pos="7288" w:leader="none"/>
        </w:tabs>
        <w:spacing w:before="0" w:after="0" w:line="240"/>
        <w:ind w:right="0" w:left="112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111"/>
        </w:numPr>
        <w:tabs>
          <w:tab w:val="center" w:pos="4890" w:leader="none"/>
          <w:tab w:val="left" w:pos="7288" w:leader="none"/>
        </w:tabs>
        <w:spacing w:before="0" w:after="0" w:line="240"/>
        <w:ind w:right="0" w:left="1125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Spolo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čnosť neposkytla členom štatutárneho orgánu a iného orgánu účtovnej spoločnosti žiadne pôžičky.</w:t>
      </w:r>
    </w:p>
    <w:p>
      <w:pPr>
        <w:tabs>
          <w:tab w:val="center" w:pos="4890" w:leader="none"/>
          <w:tab w:val="left" w:pos="7288" w:leader="none"/>
        </w:tabs>
        <w:spacing w:before="0" w:after="0" w:line="240"/>
        <w:ind w:right="0" w:left="112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113"/>
        </w:numPr>
        <w:tabs>
          <w:tab w:val="center" w:pos="4890" w:leader="none"/>
          <w:tab w:val="left" w:pos="7288" w:leader="none"/>
        </w:tabs>
        <w:spacing w:before="0" w:after="0" w:line="240"/>
        <w:ind w:right="0" w:left="1125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Nie sú žiadne podmienky, nako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ľko pôžičky neboli poskytnuté.</w:t>
      </w:r>
    </w:p>
    <w:p>
      <w:pPr>
        <w:tabs>
          <w:tab w:val="center" w:pos="4890" w:leader="none"/>
          <w:tab w:val="left" w:pos="7288" w:leader="none"/>
        </w:tabs>
        <w:spacing w:before="0" w:after="0" w:line="240"/>
        <w:ind w:right="0" w:left="112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115"/>
        </w:numPr>
        <w:tabs>
          <w:tab w:val="center" w:pos="4890" w:leader="none"/>
          <w:tab w:val="left" w:pos="7288" w:leader="none"/>
        </w:tabs>
        <w:spacing w:before="0" w:after="0" w:line="240"/>
        <w:ind w:right="0" w:left="1125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Neboli poskytnuté žiadne pôži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čky. </w:t>
      </w:r>
    </w:p>
    <w:p>
      <w:pPr>
        <w:tabs>
          <w:tab w:val="center" w:pos="4890" w:leader="none"/>
          <w:tab w:val="left" w:pos="7288" w:leader="none"/>
        </w:tabs>
        <w:spacing w:before="0" w:after="0" w:line="240"/>
        <w:ind w:right="0" w:left="112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117"/>
        </w:numPr>
        <w:tabs>
          <w:tab w:val="center" w:pos="4890" w:leader="none"/>
          <w:tab w:val="left" w:pos="7288" w:leader="none"/>
        </w:tabs>
        <w:spacing w:before="0" w:after="0" w:line="240"/>
        <w:ind w:right="0" w:left="765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Informácie o povinnostiach ú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čtovnej jednotky:</w:t>
      </w:r>
    </w:p>
    <w:p>
      <w:pPr>
        <w:numPr>
          <w:ilvl w:val="0"/>
          <w:numId w:val="117"/>
        </w:numPr>
        <w:tabs>
          <w:tab w:val="center" w:pos="4890" w:leader="none"/>
          <w:tab w:val="left" w:pos="7288" w:leader="none"/>
        </w:tabs>
        <w:spacing w:before="0" w:after="0" w:line="240"/>
        <w:ind w:right="0" w:left="1125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Spolo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čnosť v danom účtovnom období nemala žiadne finančné povinnosti, ktoré sa nevykazujú v súvahe.</w:t>
      </w:r>
    </w:p>
    <w:p>
      <w:pPr>
        <w:tabs>
          <w:tab w:val="center" w:pos="4890" w:leader="none"/>
          <w:tab w:val="left" w:pos="7288" w:leader="none"/>
        </w:tabs>
        <w:spacing w:before="0" w:after="0" w:line="240"/>
        <w:ind w:right="0" w:left="112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120"/>
        </w:numPr>
        <w:tabs>
          <w:tab w:val="center" w:pos="4890" w:leader="none"/>
          <w:tab w:val="left" w:pos="7288" w:leader="none"/>
        </w:tabs>
        <w:spacing w:before="0" w:after="0" w:line="240"/>
        <w:ind w:right="0" w:left="1125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Spolo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čnosť nemá žiadne podmienené záväzky.</w:t>
      </w:r>
    </w:p>
    <w:p>
      <w:pPr>
        <w:tabs>
          <w:tab w:val="center" w:pos="4890" w:leader="none"/>
          <w:tab w:val="left" w:pos="7288" w:leader="none"/>
        </w:tabs>
        <w:spacing w:before="0" w:after="0" w:line="240"/>
        <w:ind w:right="0" w:left="112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122"/>
        </w:numPr>
        <w:tabs>
          <w:tab w:val="center" w:pos="4890" w:leader="none"/>
        </w:tabs>
        <w:spacing w:before="0" w:after="0" w:line="240"/>
        <w:ind w:right="0" w:left="1125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Žiadne významné finan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čné povinnosti pri podmienených záväzkoch.</w:t>
      </w:r>
    </w:p>
    <w:p>
      <w:pPr>
        <w:tabs>
          <w:tab w:val="center" w:pos="4890" w:leader="none"/>
        </w:tabs>
        <w:spacing w:before="0" w:after="0" w:line="240"/>
        <w:ind w:right="0" w:left="112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124"/>
        </w:numPr>
        <w:tabs>
          <w:tab w:val="center" w:pos="4890" w:leader="none"/>
        </w:tabs>
        <w:spacing w:before="0" w:after="0" w:line="240"/>
        <w:ind w:right="0" w:left="1125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Spolo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čnosť nemá dcérsku organizáciu.</w:t>
      </w:r>
    </w:p>
    <w:p>
      <w:pPr>
        <w:tabs>
          <w:tab w:val="center" w:pos="4890" w:leader="none"/>
        </w:tabs>
        <w:spacing w:before="0" w:after="0" w:line="240"/>
        <w:ind w:right="0" w:left="112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126"/>
        </w:numPr>
        <w:tabs>
          <w:tab w:val="center" w:pos="4890" w:leader="none"/>
        </w:tabs>
        <w:spacing w:before="0" w:after="0" w:line="240"/>
        <w:ind w:right="0" w:left="1125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Spolo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čnosť zamestnáva  2 pracovníkov.</w:t>
      </w:r>
    </w:p>
    <w:p>
      <w:pPr>
        <w:tabs>
          <w:tab w:val="center" w:pos="4890" w:leader="none"/>
        </w:tabs>
        <w:spacing w:before="0" w:after="0" w:line="240"/>
        <w:ind w:right="0" w:left="112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Čl. IV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31"/>
        </w:numPr>
        <w:spacing w:before="0" w:after="200" w:line="276"/>
        <w:ind w:right="0" w:left="705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VÝNOSY</w:t>
      </w:r>
    </w:p>
    <w:p>
      <w:pPr>
        <w:numPr>
          <w:ilvl w:val="0"/>
          <w:numId w:val="131"/>
        </w:numPr>
        <w:spacing w:before="0" w:after="200" w:line="276"/>
        <w:ind w:right="0" w:left="1065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Tržby z predaja služieb predstavujú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čiastku 69819.- €./riadok 03 účtovnej závierky mikro účtovnej jednotky/</w:t>
      </w:r>
    </w:p>
    <w:p>
      <w:pPr>
        <w:spacing w:before="0" w:after="200" w:line="276"/>
        <w:ind w:right="0" w:left="1065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34"/>
        </w:numPr>
        <w:spacing w:before="0" w:after="200" w:line="276"/>
        <w:ind w:right="0" w:left="705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NÁKLADY</w:t>
      </w:r>
    </w:p>
    <w:p>
      <w:pPr>
        <w:numPr>
          <w:ilvl w:val="0"/>
          <w:numId w:val="134"/>
        </w:numPr>
        <w:spacing w:before="0" w:after="200" w:line="276"/>
        <w:ind w:right="0" w:left="1065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v roku 2017  vykázala náklady vo výške 53924</w:t>
      </w:r>
    </w:p>
    <w:tbl>
      <w:tblPr>
        <w:tblInd w:w="57" w:type="dxa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2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>
        <w:trPr>
          <w:trHeight w:val="300" w:hRule="auto"/>
          <w:jc w:val="left"/>
        </w:trPr>
        <w:tc>
          <w:tcPr>
            <w:tcW w:w="24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0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ČO:</w:t>
            </w:r>
          </w:p>
        </w:tc>
        <w:tc>
          <w:tcPr>
            <w:tcW w:w="3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6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302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56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DI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Č:</w:t>
            </w:r>
          </w:p>
        </w:tc>
        <w:tc>
          <w:tcPr>
            <w:tcW w:w="2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6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6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8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0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76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-5-</w:t>
      </w:r>
    </w:p>
    <w:tbl>
      <w:tblPr/>
      <w:tblGrid>
        <w:gridCol w:w="3070"/>
        <w:gridCol w:w="3071"/>
        <w:gridCol w:w="3071"/>
      </w:tblGrid>
      <w:tr>
        <w:trPr>
          <w:trHeight w:val="1" w:hRule="atLeast"/>
          <w:jc w:val="left"/>
        </w:trPr>
        <w:tc>
          <w:tcPr>
            <w:tcW w:w="30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Položka</w:t>
            </w: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31.12.201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7</w:t>
            </w: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31.12.201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6</w:t>
            </w:r>
          </w:p>
        </w:tc>
      </w:tr>
      <w:tr>
        <w:trPr>
          <w:trHeight w:val="1" w:hRule="atLeast"/>
          <w:jc w:val="left"/>
        </w:trPr>
        <w:tc>
          <w:tcPr>
            <w:tcW w:w="30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Spotreba materiálu, energie a ostatných neskladovate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ľných dodávok</w:t>
            </w: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4179</w:t>
            </w: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8413</w:t>
            </w:r>
          </w:p>
        </w:tc>
      </w:tr>
      <w:tr>
        <w:trPr>
          <w:trHeight w:val="1" w:hRule="atLeast"/>
          <w:jc w:val="left"/>
        </w:trPr>
        <w:tc>
          <w:tcPr>
            <w:tcW w:w="30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Služby</w:t>
            </w: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1447</w:t>
            </w: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0235</w:t>
            </w:r>
          </w:p>
        </w:tc>
      </w:tr>
      <w:tr>
        <w:trPr>
          <w:trHeight w:val="1" w:hRule="atLeast"/>
          <w:jc w:val="left"/>
        </w:trPr>
        <w:tc>
          <w:tcPr>
            <w:tcW w:w="30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Dane a poplatky</w:t>
            </w: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44</w:t>
            </w: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03</w:t>
            </w:r>
          </w:p>
        </w:tc>
      </w:tr>
      <w:tr>
        <w:trPr>
          <w:trHeight w:val="1" w:hRule="atLeast"/>
          <w:jc w:val="left"/>
        </w:trPr>
        <w:tc>
          <w:tcPr>
            <w:tcW w:w="30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náklady</w:t>
            </w: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7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14</w:t>
            </w: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26</w:t>
            </w:r>
          </w:p>
        </w:tc>
      </w:tr>
    </w:tbl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(3)   DA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 Z PRÍJMOV</w:t>
      </w:r>
    </w:p>
    <w:tbl>
      <w:tblPr/>
      <w:tblGrid>
        <w:gridCol w:w="3070"/>
        <w:gridCol w:w="3071"/>
        <w:gridCol w:w="3071"/>
      </w:tblGrid>
      <w:tr>
        <w:trPr>
          <w:trHeight w:val="1" w:hRule="atLeast"/>
          <w:jc w:val="left"/>
        </w:trPr>
        <w:tc>
          <w:tcPr>
            <w:tcW w:w="30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Položka</w:t>
            </w: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017</w:t>
            </w: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201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6</w:t>
            </w:r>
          </w:p>
        </w:tc>
      </w:tr>
      <w:tr>
        <w:trPr>
          <w:trHeight w:val="1" w:hRule="atLeast"/>
          <w:jc w:val="left"/>
        </w:trPr>
        <w:tc>
          <w:tcPr>
            <w:tcW w:w="30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Splatná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 z príjmov/licencia/</w:t>
            </w: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380</w:t>
            </w: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9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85</w:t>
            </w:r>
          </w:p>
        </w:tc>
      </w:tr>
    </w:tbl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2191" w:leader="none"/>
        </w:tabs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ab/>
      </w:r>
    </w:p>
    <w:p>
      <w:pPr>
        <w:tabs>
          <w:tab w:val="left" w:pos="2191" w:leader="none"/>
        </w:tabs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2191" w:leader="none"/>
        </w:tabs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2191" w:leader="none"/>
        </w:tabs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2191" w:leader="none"/>
        </w:tabs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2191" w:leader="none"/>
        </w:tabs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2191" w:leader="none"/>
        </w:tabs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abstractNum w:abstractNumId="30">
    <w:lvl w:ilvl="0">
      <w:start w:val="1"/>
      <w:numFmt w:val="bullet"/>
      <w:lvlText w:val="•"/>
    </w:lvl>
  </w:abstractNum>
  <w:abstractNum w:abstractNumId="36">
    <w:lvl w:ilvl="0">
      <w:start w:val="1"/>
      <w:numFmt w:val="bullet"/>
      <w:lvlText w:val="•"/>
    </w:lvl>
  </w:abstractNum>
  <w:abstractNum w:abstractNumId="42">
    <w:lvl w:ilvl="0">
      <w:start w:val="1"/>
      <w:numFmt w:val="bullet"/>
      <w:lvlText w:val="•"/>
    </w:lvl>
  </w:abstractNum>
  <w:abstractNum w:abstractNumId="48">
    <w:lvl w:ilvl="0">
      <w:start w:val="1"/>
      <w:numFmt w:val="bullet"/>
      <w:lvlText w:val="•"/>
    </w:lvl>
  </w:abstractNum>
  <w:abstractNum w:abstractNumId="54">
    <w:lvl w:ilvl="0">
      <w:start w:val="1"/>
      <w:numFmt w:val="bullet"/>
      <w:lvlText w:val="•"/>
    </w:lvl>
  </w:abstractNum>
  <w:abstractNum w:abstractNumId="60">
    <w:lvl w:ilvl="0">
      <w:start w:val="1"/>
      <w:numFmt w:val="bullet"/>
      <w:lvlText w:val="•"/>
    </w:lvl>
  </w:abstractNum>
  <w:abstractNum w:abstractNumId="66">
    <w:lvl w:ilvl="0">
      <w:start w:val="1"/>
      <w:numFmt w:val="bullet"/>
      <w:lvlText w:val="•"/>
    </w:lvl>
  </w:abstractNum>
  <w:abstractNum w:abstractNumId="72">
    <w:lvl w:ilvl="0">
      <w:start w:val="1"/>
      <w:numFmt w:val="bullet"/>
      <w:lvlText w:val="•"/>
    </w:lvl>
  </w:abstractNum>
  <w:abstractNum w:abstractNumId="78">
    <w:lvl w:ilvl="0">
      <w:start w:val="1"/>
      <w:numFmt w:val="bullet"/>
      <w:lvlText w:val="•"/>
    </w:lvl>
  </w:abstractNum>
  <w:abstractNum w:abstractNumId="84">
    <w:lvl w:ilvl="0">
      <w:start w:val="1"/>
      <w:numFmt w:val="bullet"/>
      <w:lvlText w:val="•"/>
    </w:lvl>
  </w:abstractNum>
  <w:abstractNum w:abstractNumId="90">
    <w:lvl w:ilvl="0">
      <w:start w:val="1"/>
      <w:numFmt w:val="bullet"/>
      <w:lvlText w:val="•"/>
    </w:lvl>
  </w:abstractNum>
  <w:abstractNum w:abstractNumId="96">
    <w:lvl w:ilvl="0">
      <w:start w:val="1"/>
      <w:numFmt w:val="bullet"/>
      <w:lvlText w:val="•"/>
    </w:lvl>
  </w:abstractNum>
  <w:abstractNum w:abstractNumId="102">
    <w:lvl w:ilvl="0">
      <w:start w:val="1"/>
      <w:numFmt w:val="bullet"/>
      <w:lvlText w:val="•"/>
    </w:lvl>
  </w:abstractNum>
  <w:abstractNum w:abstractNumId="108">
    <w:lvl w:ilvl="0">
      <w:start w:val="1"/>
      <w:numFmt w:val="bullet"/>
      <w:lvlText w:val="•"/>
    </w:lvl>
  </w:abstractNum>
  <w:abstractNum w:abstractNumId="114">
    <w:lvl w:ilvl="0">
      <w:start w:val="1"/>
      <w:numFmt w:val="bullet"/>
      <w:lvlText w:val="•"/>
    </w:lvl>
  </w:abstractNum>
  <w:abstractNum w:abstractNumId="120">
    <w:lvl w:ilvl="0">
      <w:start w:val="1"/>
      <w:numFmt w:val="bullet"/>
      <w:lvlText w:val="•"/>
    </w:lvl>
  </w:abstractNum>
  <w:abstractNum w:abstractNumId="126">
    <w:lvl w:ilvl="0">
      <w:start w:val="1"/>
      <w:numFmt w:val="bullet"/>
      <w:lvlText w:val="•"/>
    </w:lvl>
  </w:abstractNum>
  <w:abstractNum w:abstractNumId="132">
    <w:lvl w:ilvl="0">
      <w:start w:val="1"/>
      <w:numFmt w:val="bullet"/>
      <w:lvlText w:val="•"/>
    </w:lvl>
  </w:abstractNum>
  <w:abstractNum w:abstractNumId="138">
    <w:lvl w:ilvl="0">
      <w:start w:val="1"/>
      <w:numFmt w:val="bullet"/>
      <w:lvlText w:val="•"/>
    </w:lvl>
  </w:abstractNum>
  <w:abstractNum w:abstractNumId="144">
    <w:lvl w:ilvl="0">
      <w:start w:val="1"/>
      <w:numFmt w:val="bullet"/>
      <w:lvlText w:val="•"/>
    </w:lvl>
  </w:abstractNum>
  <w:abstractNum w:abstractNumId="150">
    <w:lvl w:ilvl="0">
      <w:start w:val="1"/>
      <w:numFmt w:val="bullet"/>
      <w:lvlText w:val="•"/>
    </w:lvl>
  </w:abstractNum>
  <w:abstractNum w:abstractNumId="156">
    <w:lvl w:ilvl="0">
      <w:start w:val="1"/>
      <w:numFmt w:val="bullet"/>
      <w:lvlText w:val="•"/>
    </w:lvl>
  </w:abstractNum>
  <w:abstractNum w:abstractNumId="162">
    <w:lvl w:ilvl="0">
      <w:start w:val="1"/>
      <w:numFmt w:val="bullet"/>
      <w:lvlText w:val="•"/>
    </w:lvl>
  </w:abstractNum>
  <w:abstractNum w:abstractNumId="168">
    <w:lvl w:ilvl="0">
      <w:start w:val="1"/>
      <w:numFmt w:val="bullet"/>
      <w:lvlText w:val="•"/>
    </w:lvl>
  </w:abstractNum>
  <w:abstractNum w:abstractNumId="174">
    <w:lvl w:ilvl="0">
      <w:start w:val="1"/>
      <w:numFmt w:val="bullet"/>
      <w:lvlText w:val="•"/>
    </w:lvl>
  </w:abstractNum>
  <w:abstractNum w:abstractNumId="180">
    <w:lvl w:ilvl="0">
      <w:start w:val="1"/>
      <w:numFmt w:val="bullet"/>
      <w:lvlText w:val="•"/>
    </w:lvl>
  </w:abstractNum>
  <w:abstractNum w:abstractNumId="186">
    <w:lvl w:ilvl="0">
      <w:start w:val="1"/>
      <w:numFmt w:val="bullet"/>
      <w:lvlText w:val="•"/>
    </w:lvl>
  </w:abstractNum>
  <w:abstractNum w:abstractNumId="192">
    <w:lvl w:ilvl="0">
      <w:start w:val="1"/>
      <w:numFmt w:val="bullet"/>
      <w:lvlText w:val="•"/>
    </w:lvl>
  </w:abstractNum>
  <w:abstractNum w:abstractNumId="198">
    <w:lvl w:ilvl="0">
      <w:start w:val="1"/>
      <w:numFmt w:val="bullet"/>
      <w:lvlText w:val="•"/>
    </w:lvl>
  </w:abstractNum>
  <w:num w:numId="14">
    <w:abstractNumId w:val="198"/>
  </w:num>
  <w:num w:numId="16">
    <w:abstractNumId w:val="192"/>
  </w:num>
  <w:num w:numId="18">
    <w:abstractNumId w:val="186"/>
  </w:num>
  <w:num w:numId="20">
    <w:abstractNumId w:val="180"/>
  </w:num>
  <w:num w:numId="23">
    <w:abstractNumId w:val="174"/>
  </w:num>
  <w:num w:numId="27">
    <w:abstractNumId w:val="168"/>
  </w:num>
  <w:num w:numId="32">
    <w:abstractNumId w:val="162"/>
  </w:num>
  <w:num w:numId="34">
    <w:abstractNumId w:val="156"/>
  </w:num>
  <w:num w:numId="37">
    <w:abstractNumId w:val="150"/>
  </w:num>
  <w:num w:numId="41">
    <w:abstractNumId w:val="144"/>
  </w:num>
  <w:num w:numId="43">
    <w:abstractNumId w:val="138"/>
  </w:num>
  <w:num w:numId="45">
    <w:abstractNumId w:val="132"/>
  </w:num>
  <w:num w:numId="47">
    <w:abstractNumId w:val="126"/>
  </w:num>
  <w:num w:numId="49">
    <w:abstractNumId w:val="120"/>
  </w:num>
  <w:num w:numId="60">
    <w:abstractNumId w:val="114"/>
  </w:num>
  <w:num w:numId="63">
    <w:abstractNumId w:val="108"/>
  </w:num>
  <w:num w:numId="65">
    <w:abstractNumId w:val="102"/>
  </w:num>
  <w:num w:numId="69">
    <w:abstractNumId w:val="96"/>
  </w:num>
  <w:num w:numId="90">
    <w:abstractNumId w:val="90"/>
  </w:num>
  <w:num w:numId="98">
    <w:abstractNumId w:val="84"/>
  </w:num>
  <w:num w:numId="102">
    <w:abstractNumId w:val="78"/>
  </w:num>
  <w:num w:numId="105">
    <w:abstractNumId w:val="72"/>
  </w:num>
  <w:num w:numId="107">
    <w:abstractNumId w:val="66"/>
  </w:num>
  <w:num w:numId="109">
    <w:abstractNumId w:val="60"/>
  </w:num>
  <w:num w:numId="111">
    <w:abstractNumId w:val="54"/>
  </w:num>
  <w:num w:numId="113">
    <w:abstractNumId w:val="48"/>
  </w:num>
  <w:num w:numId="115">
    <w:abstractNumId w:val="42"/>
  </w:num>
  <w:num w:numId="117">
    <w:abstractNumId w:val="36"/>
  </w:num>
  <w:num w:numId="120">
    <w:abstractNumId w:val="30"/>
  </w:num>
  <w:num w:numId="122">
    <w:abstractNumId w:val="24"/>
  </w:num>
  <w:num w:numId="124">
    <w:abstractNumId w:val="18"/>
  </w:num>
  <w:num w:numId="126">
    <w:abstractNumId w:val="12"/>
  </w:num>
  <w:num w:numId="131">
    <w:abstractNumId w:val="6"/>
  </w:num>
  <w:num w:numId="134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