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 POD 3 – 01 IČO: 31717841 DIČ: 2020370495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ČTOVNEJ ZÁVIERKE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č.MF/23378/2014-74 (FS č.12/2014), ktorým sa ustanovujú podrobnosti o individuálnej účtovnej závierke a rozsahu údajov určených z individuálnej účtovnej závierky na zverejnenie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 malé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znení Opatrenia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č.MF/19927/2015-74 (FS č.12/2015)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 – VŠEOBECNÉ INFORMÁCIE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Základné informácie o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636"/>
        <w:gridCol w:w="6969"/>
      </w:tblGrid>
      <w:tr>
        <w:trPr>
          <w:trHeight w:val="231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AGROFRUCT spol. s r. o.</w:t>
            </w:r>
          </w:p>
        </w:tc>
      </w:tr>
      <w:tr>
        <w:trPr>
          <w:trHeight w:val="249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92506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Čierna Voda , č. 423</w:t>
            </w:r>
          </w:p>
        </w:tc>
      </w:tr>
      <w:tr>
        <w:trPr>
          <w:trHeight w:val="12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Právna forma: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s ručením obmedzeným</w:t>
            </w:r>
          </w:p>
        </w:tc>
      </w:tr>
      <w:tr>
        <w:trPr>
          <w:trHeight w:val="143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Zápis do obchodného registra: 16.07.1992</w:t>
            </w:r>
          </w:p>
        </w:tc>
      </w:tr>
      <w:tr>
        <w:trPr>
          <w:trHeight w:val="17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Hlavný predmet podnikania: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ľnohospodárstvo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Subjekt verejného záujmu: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AGROFRUCTs.r.o. nie je subjektom verejného záujmu (§ 2/14 ZoU).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Kalendárny rok 2017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25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Test 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ľkostnej skupiny účtovnej jednotky (2 ZoU)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(Do 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38" w:type="dxa"/>
      </w:tblPr>
      <w:tblGrid>
        <w:gridCol w:w="2197"/>
        <w:gridCol w:w="2835"/>
        <w:gridCol w:w="3260"/>
        <w:gridCol w:w="1276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Netto aktíva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902 145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795 108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789 102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906 827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UJ sp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veľkostné podmienky na zatriedenie do veľkostnej skupiny –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malá účtovná jednotka,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preto zostavuje účtovnú závierku podľa metodiky pre túto veľkostnú skupinu (Opatrenie č.MF/23378/2014-74 v znení neskorších predpisov).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Dátum schválenia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bezprostredne predchádzajúce účtovné obdobie príslušným orgánom účtovnej jednotky: 15.03.2017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Právny dôvod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Riadna účtovná  závierka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podľa §17 ods.6 zákona NR SR č.431/2002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Z.z.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čtovníctve.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Údaje o skupine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jednotiek v súvislosti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 konsolidáciou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Spoločnosť sa nezahrňa do žiadnej konsolidovanej účtovnej závierky.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tbl>
      <w:tblPr/>
      <w:tblGrid>
        <w:gridCol w:w="4857"/>
        <w:gridCol w:w="2523"/>
        <w:gridCol w:w="2367"/>
      </w:tblGrid>
      <w:tr>
        <w:trPr>
          <w:trHeight w:val="537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459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3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počas účtovného obdobia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26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</w:t>
            </w:r>
          </w:p>
        </w:tc>
      </w:tr>
    </w:tbl>
    <w:p>
      <w:pPr>
        <w:spacing w:before="0" w:after="0" w:line="240"/>
        <w:ind w:right="-468" w:left="92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orgánoch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nie je náplň pre položku.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III – INFORMÁCIE O PRIJATÝCH POSTUPOCH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Účtovná závierka bola zostavená za predpokladu, že Spoločnosťbude nepretržite pokračovať vo svojej činnosti.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Informácia o aplikácii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zmenách účtovných zásad a zmenách účtovných metód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a to s uvedením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dôvodu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ich uplatnenia a ich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vplyvu na hodnotu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Zmeny účtovných zásad a metód v účtovnom období nenastali.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Spôsob a ur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čenie oceňovania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 a záväzkov (vrátane rozhodujúcich odhadov):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majetku a záväzkov (§ 25 ZoU):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706"/>
        <w:gridCol w:w="5300"/>
        <w:gridCol w:w="3600"/>
      </w:tblGrid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externe kúpený: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 Narrow" w:hAnsi="Arial Narrow" w:cs="Arial Narrow" w:eastAsia="Arial Narrow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     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10.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obstarané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 a zákazková výstavba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12.2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Záväzky, vrátane rezerv, dlhopisov,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a úverov: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X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a záväzky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derivátmi: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a odložená daň z príjmov: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                        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Trvalé zníženie hodnoty majetku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čtované. Prechodné zníženie hodnoty majetku nebolo útované.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Záväzky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ocenila menovitou hodnotou záväzkov.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finančných nástrojov alebo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ktorý nie je finančným nástrojom pri oceňovaní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finančných nástrojov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oceňovaní obstarávacou cenou alebo vlastnými nákladmi: 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ňovaniu majetku a záväzkov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28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účtovného obdobia (§ 25 ZoU), ani k závierkovému dňu (§ 27 ZoU) nepoužila ocenenie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lebo nemala k tomu vecnú náplň.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1005" w:leader="none"/>
        </w:tabs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</w:t>
      </w:r>
    </w:p>
    <w:tbl>
      <w:tblPr/>
      <w:tblGrid>
        <w:gridCol w:w="4218"/>
        <w:gridCol w:w="1013"/>
        <w:gridCol w:w="2107"/>
        <w:gridCol w:w="2268"/>
      </w:tblGrid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a nehmotný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odpisovaný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rokov)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sadzba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(%)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Software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021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16,66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hmotný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029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16,66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odpisovému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4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čtovné odpisy v súlade s daňovými odpismi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Majetok sa začína odpisovať v mesiaci, kedy bol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zaradený do užívania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Účtovné odpisy vychádzajú z predpokladanej doby používania majetku. Dlhodobý nehmotný majetok sa odpisuje počas 4 rokov od jeho obstarania.</w:t>
      </w:r>
    </w:p>
    <w:p>
      <w:pPr>
        <w:numPr>
          <w:ilvl w:val="0"/>
          <w:numId w:val="14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rovnomerné odpisovanie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dlhodobého hmotného majetku a dlhodobého nehmotného majetku. Podrobný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 odpisový plán po položkách sa vedie v podsystéme Majetok 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poskytnutých dotáciách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pri dotáciách na obstaranie majetku sa uvedú zložky majetku a ich ocenenie: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odpisov.</w:t>
      </w: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oprave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 uvedením sumy vplyvu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účtovných období účtovaných v bežnom účtovnom období s uvedením sumy vplyvu na výsledok hospodárenia bežného účtovného obdobia: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Článok IV – INFORMÁCIE, KTORÉ VYSVETĽUJÚ A DOPĹŇAJÚ SÚVAHU A VÝKAZ ZISKOV A STRÁT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Dlhodobý nehmotný majetok, ktorým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goodwill alebo záporný goodwill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dôvod jeho vzniku, spôsob výpo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čtu a prehodnotenie opodstatnenosti jeho výšky a odpisu jeho hodnoty:nie je náplň pre položku.</w:t>
      </w: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významných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položkách derivátov, majetku a záväzkoch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čených derivátmi (§ 16 PU):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3a) Celková suma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záväzkov so zostatkovou dobou splatnosti dlhšou ako 5 rokov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 nie je nápl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Informácie o vlastných akciách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účtovného obdobia: nie je náplň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Informácie o sume a dôvodoch vzniku jednotlivých položiek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(napr. výnosy z predaja podniku alebo jeho časti, náklady z dôvodu predaja podniku alebo jeho časti, škody z dôvodu živelných pohrôm): nie je náplň pre položku.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20" w:line="240"/>
        <w:ind w:right="-47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 – INFORMÁCIE O INÝCH AKTÍVACH A INÝCH PASÍVACH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1a)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opis a hodnota pravdepodobného majetku, ktorým sa rozumie možný majetok, ktorý vznikol v dôsledku minulých udalostí a ktorého existencia alebo vlastníctvo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jeden alebo viac neistých udalostí v budúcnosti, ktorých vznik nezávisí od účtovnej jednotky; týmto majetkom sú – napr. práva zo servisných zmlúv, poistných zmlúv, koncesionárskych zmlúv, licenčných zmlúv:nie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1b)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Podmienené záväzky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opis a hodnota podmienených záväzkov vyplývajúcich napr. zo súdnych rozhodnutí, z poskytnutých záruk, zo všeobecne záväzných právnych predpisov, z 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podľa jednotlivých druhov ručenia; takými podmienenými záväzkami sú:nie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Ostatné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čné povinnosti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sa nevykazujú v účtovných výkazoch - napríklad zákonná povinnosť alebo zmluvná povinnosť odobrať určité množstvo produktu, uskutočniť investície a veľké opravy: ni je náplň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Podsúvahové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– uvádzajú sa informácie o významných položkách sledovaných na podsúvahových účtoch (§ 85 PU):nie je náplň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VI – UDALOSTI, KTORÉ NASTALI PO ZÁVIERKOVOM DNI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(Následné udalosti)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Uvádzajú sa informácie o charaktere 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čnom vplyve významných udalostí, ktoré nastali v čase po závierkovom dni - do dňa zostavenia účtovnej závierky (t.j. do dňa podpísania výkazov podľa § 17/5 ZoU) a ktoré nie sú zohľadnené v súvahe alebo vo výkaze ziskov a strát, napríklad: žiadne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Článok VII – OSTATNÉ INFORMÁCIE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Informácie o 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čnom práve poskytovať služby vo verejnom záujme: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osobitnej kategórii priemyselnej výroby (§ 23d/6 ZoU):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Informácie o 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čných vzťahoch s orgánmi verejnej moci (§ 23d/6 ZoU):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28">
    <w:abstractNumId w:val="6"/>
  </w:num>
  <w:num w:numId="1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