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B57" w:rsidRPr="00AC0CF2" w:rsidRDefault="00965B57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:rsidR="00965B57" w:rsidRPr="00AC0CF2" w:rsidRDefault="00965B57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:rsidR="00965B57" w:rsidRPr="00AC0CF2" w:rsidRDefault="00965B57" w:rsidP="008E5CC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proofErr w:type="spellStart"/>
      <w:r w:rsidR="006B5902">
        <w:rPr>
          <w:rFonts w:ascii="Calibri" w:hAnsi="Calibri" w:cs="Calibri"/>
        </w:rPr>
        <w:t>CHraus</w:t>
      </w:r>
      <w:proofErr w:type="spellEnd"/>
      <w:r w:rsidR="006B5902">
        <w:rPr>
          <w:rFonts w:ascii="Calibri" w:hAnsi="Calibri" w:cs="Calibri"/>
        </w:rPr>
        <w:t xml:space="preserve"> , </w:t>
      </w:r>
      <w:proofErr w:type="spellStart"/>
      <w:r w:rsidR="006B5902">
        <w:rPr>
          <w:rFonts w:ascii="Calibri" w:hAnsi="Calibri" w:cs="Calibri"/>
        </w:rPr>
        <w:t>a.s</w:t>
      </w:r>
      <w:proofErr w:type="spellEnd"/>
      <w:r w:rsidR="006B5902">
        <w:rPr>
          <w:rFonts w:ascii="Calibri" w:hAnsi="Calibri" w:cs="Calibri"/>
        </w:rPr>
        <w:t>. v likvidácii</w:t>
      </w:r>
    </w:p>
    <w:p w:rsidR="0058089C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Sídlo účtovnej jednotky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</w:t>
      </w:r>
      <w:r w:rsidRPr="00AC0CF2">
        <w:rPr>
          <w:rFonts w:ascii="Calibri" w:hAnsi="Calibri" w:cs="Calibri"/>
        </w:rPr>
        <w:t>:</w:t>
      </w:r>
      <w:r w:rsidR="00DC21D9">
        <w:rPr>
          <w:rFonts w:ascii="Calibri" w:hAnsi="Calibri" w:cs="Calibri"/>
        </w:rPr>
        <w:t xml:space="preserve"> </w:t>
      </w:r>
      <w:r w:rsidR="006B5902">
        <w:rPr>
          <w:rFonts w:ascii="Calibri" w:hAnsi="Calibri" w:cs="Calibri"/>
        </w:rPr>
        <w:t>Pribinova22</w:t>
      </w:r>
      <w:r w:rsidR="00774D82">
        <w:rPr>
          <w:rFonts w:ascii="Calibri" w:hAnsi="Calibri" w:cs="Calibri"/>
        </w:rPr>
        <w:t>, 811 09  Bratislava</w:t>
      </w:r>
    </w:p>
    <w:p w:rsidR="00965B57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</w:t>
      </w:r>
      <w:r w:rsidR="00DC21D9">
        <w:rPr>
          <w:rFonts w:ascii="Calibri" w:hAnsi="Calibri" w:cs="Calibri"/>
        </w:rPr>
        <w:t xml:space="preserve"> </w:t>
      </w:r>
      <w:r w:rsidR="006B5902">
        <w:rPr>
          <w:rFonts w:ascii="Calibri" w:hAnsi="Calibri" w:cs="Calibri"/>
        </w:rPr>
        <w:t>35749024</w:t>
      </w:r>
    </w:p>
    <w:p w:rsidR="00764A1E" w:rsidRPr="00AC0CF2" w:rsidRDefault="00764A1E" w:rsidP="008E5CCC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DIČ                                                                         : </w:t>
      </w:r>
      <w:r w:rsidR="006B5902">
        <w:rPr>
          <w:rFonts w:ascii="Calibri" w:hAnsi="Calibri" w:cs="Calibri"/>
        </w:rPr>
        <w:t>2021415198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58089C" w:rsidRDefault="00965B57" w:rsidP="0058089C">
      <w:pPr>
        <w:ind w:left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Opis hospodárskej činnosti účtovnej </w:t>
      </w:r>
      <w:r w:rsidRPr="0058089C">
        <w:rPr>
          <w:rFonts w:ascii="Calibri" w:hAnsi="Calibri" w:cs="Calibri"/>
        </w:rPr>
        <w:t>jednotky</w:t>
      </w:r>
      <w:r w:rsidR="00F3541E" w:rsidRPr="0058089C">
        <w:rPr>
          <w:rFonts w:ascii="Calibri" w:hAnsi="Calibri" w:cs="Calibri"/>
        </w:rPr>
        <w:t>:</w:t>
      </w:r>
      <w:r w:rsidR="0058089C" w:rsidRPr="0058089C">
        <w:rPr>
          <w:rFonts w:ascii="Calibri" w:hAnsi="Calibri" w:cs="Calibri"/>
        </w:rPr>
        <w:t xml:space="preserve"> Prenájom</w:t>
      </w:r>
      <w:r w:rsidR="0058089C">
        <w:rPr>
          <w:rFonts w:ascii="Calibri" w:hAnsi="Calibri" w:cs="Calibri"/>
        </w:rPr>
        <w:t xml:space="preserve"> a prevádzkovanie vlastných alebo                  prenajatých nehnuteľností</w:t>
      </w:r>
    </w:p>
    <w:p w:rsidR="00673CB6" w:rsidRPr="00AC0CF2" w:rsidRDefault="00673CB6" w:rsidP="00673CB6">
      <w:pPr>
        <w:ind w:firstLine="709"/>
        <w:rPr>
          <w:rFonts w:ascii="Calibri" w:hAnsi="Calibri" w:cs="Calibri"/>
          <w:b/>
          <w:bCs/>
        </w:rPr>
      </w:pPr>
    </w:p>
    <w:p w:rsidR="00965B57" w:rsidRPr="00AC0CF2" w:rsidRDefault="00965B57" w:rsidP="00F412E2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2)</w:t>
      </w:r>
      <w:r w:rsidRPr="00AC0CF2">
        <w:rPr>
          <w:rFonts w:ascii="Calibri" w:hAnsi="Calibri" w:cs="Calibri"/>
          <w:b w:val="0"/>
          <w:bCs w:val="0"/>
        </w:rPr>
        <w:tab/>
        <w:t xml:space="preserve">Dátum schválenia účtovnej závierky za bezprostredne predchádzajúce účtovné obdobie : Valné zhromaždenie spoločnosti na svojom zasadnutí dňa </w:t>
      </w:r>
      <w:r w:rsidR="00AA1B96" w:rsidRPr="00AA1B96">
        <w:rPr>
          <w:rFonts w:ascii="Calibri" w:hAnsi="Calibri" w:cs="Calibri"/>
          <w:bCs w:val="0"/>
        </w:rPr>
        <w:t>31</w:t>
      </w:r>
      <w:r w:rsidR="0058089C" w:rsidRPr="00AA1B96">
        <w:rPr>
          <w:rFonts w:ascii="Calibri" w:hAnsi="Calibri" w:cs="Calibri"/>
          <w:bCs w:val="0"/>
        </w:rPr>
        <w:t>.0</w:t>
      </w:r>
      <w:r w:rsidR="00AA1B96" w:rsidRPr="00AA1B96">
        <w:rPr>
          <w:rFonts w:ascii="Calibri" w:hAnsi="Calibri" w:cs="Calibri"/>
          <w:bCs w:val="0"/>
        </w:rPr>
        <w:t>5</w:t>
      </w:r>
      <w:r w:rsidR="0058089C" w:rsidRPr="00FB509A">
        <w:rPr>
          <w:rFonts w:ascii="Calibri" w:hAnsi="Calibri" w:cs="Calibri"/>
          <w:bCs w:val="0"/>
        </w:rPr>
        <w:t>.201</w:t>
      </w:r>
      <w:r w:rsidR="00AA1B96">
        <w:rPr>
          <w:rFonts w:ascii="Calibri" w:hAnsi="Calibri" w:cs="Calibri"/>
          <w:bCs w:val="0"/>
        </w:rPr>
        <w:t>7</w:t>
      </w:r>
      <w:r w:rsidR="00DC21D9">
        <w:rPr>
          <w:rFonts w:ascii="Calibri" w:hAnsi="Calibri" w:cs="Calibri"/>
          <w:b w:val="0"/>
          <w:bCs w:val="0"/>
        </w:rPr>
        <w:t xml:space="preserve"> </w:t>
      </w:r>
      <w:r w:rsidRPr="00AC0CF2">
        <w:rPr>
          <w:rFonts w:ascii="Calibri" w:hAnsi="Calibri" w:cs="Calibri"/>
          <w:b w:val="0"/>
          <w:bCs w:val="0"/>
        </w:rPr>
        <w:t>schválilo účtovnú závierku spoločnosti zostavenú k</w:t>
      </w:r>
      <w:r w:rsidR="0058089C">
        <w:rPr>
          <w:rFonts w:ascii="Calibri" w:hAnsi="Calibri" w:cs="Calibri"/>
          <w:b w:val="0"/>
          <w:bCs w:val="0"/>
        </w:rPr>
        <w:t> 31.12.201</w:t>
      </w:r>
      <w:r w:rsidR="00AA1B96">
        <w:rPr>
          <w:rFonts w:ascii="Calibri" w:hAnsi="Calibri" w:cs="Calibri"/>
          <w:b w:val="0"/>
          <w:bCs w:val="0"/>
        </w:rPr>
        <w:t>6</w:t>
      </w:r>
      <w:r w:rsidR="0058089C">
        <w:rPr>
          <w:rFonts w:ascii="Calibri" w:hAnsi="Calibri" w:cs="Calibri"/>
          <w:b w:val="0"/>
          <w:bCs w:val="0"/>
        </w:rPr>
        <w:t>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Právny dôvod na zostavenie účtovnej závierky : účtovná závierka  k</w:t>
      </w:r>
      <w:r w:rsidR="0058089C">
        <w:rPr>
          <w:rFonts w:ascii="Calibri" w:hAnsi="Calibri" w:cs="Calibri"/>
        </w:rPr>
        <w:t> 31.12.201</w:t>
      </w:r>
      <w:r w:rsidR="00AA1B96">
        <w:rPr>
          <w:rFonts w:ascii="Calibri" w:hAnsi="Calibri" w:cs="Calibri"/>
        </w:rPr>
        <w:t>7</w:t>
      </w:r>
      <w:r w:rsidR="0058089C">
        <w:rPr>
          <w:rFonts w:ascii="Calibri" w:hAnsi="Calibri" w:cs="Calibri"/>
        </w:rPr>
        <w:t xml:space="preserve"> </w:t>
      </w:r>
      <w:r w:rsidRPr="00AC0CF2">
        <w:rPr>
          <w:rFonts w:ascii="Calibri" w:hAnsi="Calibri" w:cs="Calibri"/>
        </w:rPr>
        <w:t xml:space="preserve">je zostavená ako riadna účtovná závierka podľa §17 ods. 6 zákona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za obdobie od </w:t>
      </w:r>
      <w:r w:rsidR="0058089C">
        <w:rPr>
          <w:rFonts w:ascii="Calibri" w:hAnsi="Calibri" w:cs="Calibri"/>
        </w:rPr>
        <w:t>01.01.201</w:t>
      </w:r>
      <w:r w:rsidR="00AA1B96">
        <w:rPr>
          <w:rFonts w:ascii="Calibri" w:hAnsi="Calibri" w:cs="Calibri"/>
        </w:rPr>
        <w:t>7</w:t>
      </w:r>
      <w:r w:rsidR="0058089C">
        <w:rPr>
          <w:rFonts w:ascii="Calibri" w:hAnsi="Calibri" w:cs="Calibri"/>
        </w:rPr>
        <w:t>-31.12.201</w:t>
      </w:r>
      <w:r w:rsidR="00AA1B96">
        <w:rPr>
          <w:rFonts w:ascii="Calibri" w:hAnsi="Calibri" w:cs="Calibri"/>
        </w:rPr>
        <w:t>7</w:t>
      </w:r>
      <w:r w:rsidR="0058089C">
        <w:rPr>
          <w:rFonts w:ascii="Calibri" w:hAnsi="Calibri" w:cs="Calibri"/>
        </w:rPr>
        <w:t>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B1633E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4)</w:t>
      </w:r>
      <w:r w:rsidRPr="00AC0CF2">
        <w:rPr>
          <w:rFonts w:ascii="Calibri" w:hAnsi="Calibri" w:cs="Calibri"/>
          <w:b w:val="0"/>
          <w:bCs w:val="0"/>
        </w:rPr>
        <w:tab/>
        <w:t>Údaje o skupine účtovných jednotiek : účtovná jednotka nie je súčasťou konsolidovaného celku.</w:t>
      </w:r>
    </w:p>
    <w:p w:rsidR="00965B57" w:rsidRPr="00AC0CF2" w:rsidRDefault="00965B57">
      <w:pPr>
        <w:ind w:firstLine="283"/>
        <w:jc w:val="both"/>
        <w:rPr>
          <w:rFonts w:ascii="Calibri" w:hAnsi="Calibri" w:cs="Calibri"/>
        </w:rPr>
      </w:pP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5"/>
        <w:gridCol w:w="2557"/>
        <w:gridCol w:w="2594"/>
      </w:tblGrid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DC21D9" w:rsidRDefault="00CA21D1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5B57" w:rsidRPr="00AC0CF2" w:rsidRDefault="00CA21D1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  <w:b/>
          <w:bCs/>
        </w:rPr>
      </w:pPr>
    </w:p>
    <w:p w:rsidR="00965B57" w:rsidRPr="00AC0CF2" w:rsidRDefault="00965B57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:rsidR="00965B57" w:rsidRPr="00AC0CF2" w:rsidRDefault="00965B57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43"/>
        <w:gridCol w:w="1267"/>
        <w:gridCol w:w="27"/>
        <w:gridCol w:w="1107"/>
        <w:gridCol w:w="14"/>
        <w:gridCol w:w="1002"/>
        <w:gridCol w:w="1279"/>
        <w:gridCol w:w="15"/>
        <w:gridCol w:w="1172"/>
        <w:gridCol w:w="27"/>
        <w:gridCol w:w="1048"/>
      </w:tblGrid>
      <w:tr w:rsidR="00965B57" w:rsidRPr="00AC0CF2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965B57" w:rsidRPr="00AC0CF2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965B57" w:rsidRPr="00AC0CF2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5B4D0E" w:rsidRPr="00AC0CF2" w:rsidRDefault="00965B57" w:rsidP="005B4D0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III</w:t>
      </w:r>
    </w:p>
    <w:p w:rsidR="00965B57" w:rsidRPr="00AC0CF2" w:rsidRDefault="00965B57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nepretržitého trvania účtovnej jednotky, </w:t>
      </w:r>
      <w:proofErr w:type="spellStart"/>
      <w:r w:rsidRPr="00AC0CF2">
        <w:rPr>
          <w:rFonts w:ascii="Calibri" w:hAnsi="Calibri" w:cs="Calibri"/>
        </w:rPr>
        <w:t>t.j</w:t>
      </w:r>
      <w:proofErr w:type="spellEnd"/>
      <w:r w:rsidRPr="00AC0CF2">
        <w:rPr>
          <w:rFonts w:ascii="Calibri" w:hAnsi="Calibri" w:cs="Calibri"/>
        </w:rPr>
        <w:t xml:space="preserve">. vychádza z predpokladu, že spoločnosť bude realizovať svoje aktíva, záväzky a dohody v rámci riadneho chodu svojej činnosti. </w:t>
      </w:r>
    </w:p>
    <w:p w:rsidR="00965B57" w:rsidRPr="00AC0CF2" w:rsidRDefault="00965B57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Spôsob oceňovania jednotlivých zložiek majetku : 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:rsidR="00965B57" w:rsidRPr="00AC0CF2" w:rsidRDefault="00965B57" w:rsidP="006A418A">
      <w:pPr>
        <w:pStyle w:val="Zkladntext"/>
        <w:rPr>
          <w:rFonts w:ascii="Calibri" w:hAnsi="Calibri" w:cs="Calibri"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150051" w:rsidRDefault="00965B57" w:rsidP="00CA21D1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b/>
          <w:color w:val="auto"/>
        </w:rPr>
      </w:pPr>
      <w:r w:rsidRPr="00AC0CF2">
        <w:rPr>
          <w:rFonts w:ascii="Calibri" w:hAnsi="Calibri" w:cs="Calibri"/>
          <w:color w:val="auto"/>
        </w:rPr>
        <w:t xml:space="preserve">Tvorba odpisového plánu pre dlhodobý majetok : </w:t>
      </w:r>
      <w:r w:rsidR="00CA21D1">
        <w:rPr>
          <w:rFonts w:ascii="Calibri" w:hAnsi="Calibri" w:cs="Calibri"/>
          <w:color w:val="auto"/>
        </w:rPr>
        <w:t xml:space="preserve">účtovná jednotka neeviduje </w:t>
      </w:r>
      <w:proofErr w:type="spellStart"/>
      <w:r w:rsidR="00CA21D1">
        <w:rPr>
          <w:rFonts w:ascii="Calibri" w:hAnsi="Calibri" w:cs="Calibri"/>
          <w:color w:val="auto"/>
        </w:rPr>
        <w:t>dlhod.majetok</w:t>
      </w:r>
      <w:proofErr w:type="spellEnd"/>
      <w:r w:rsidR="00CA21D1">
        <w:rPr>
          <w:rFonts w:ascii="Calibri" w:hAnsi="Calibri" w:cs="Calibri"/>
          <w:color w:val="auto"/>
        </w:rPr>
        <w:t xml:space="preserve"> </w:t>
      </w:r>
    </w:p>
    <w:p w:rsidR="00994E75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Inf</w:t>
      </w:r>
      <w:r w:rsidR="00965B57" w:rsidRPr="00AC0CF2">
        <w:rPr>
          <w:rFonts w:ascii="Calibri" w:hAnsi="Calibri" w:cs="Calibri"/>
          <w:color w:val="auto"/>
        </w:rPr>
        <w:t>ormácia o poskytnutých dotáciách : spoločnosti neboli poskytnut</w:t>
      </w:r>
      <w:r w:rsidR="00965B57">
        <w:rPr>
          <w:rFonts w:ascii="Calibri" w:hAnsi="Calibri" w:cs="Calibri"/>
          <w:color w:val="auto"/>
        </w:rPr>
        <w:t>é dotácie.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 xml:space="preserve">5) </w:t>
      </w:r>
      <w:r w:rsidRPr="00AC0CF2">
        <w:rPr>
          <w:rFonts w:ascii="Calibri" w:hAnsi="Calibri" w:cs="Calibri"/>
          <w:color w:val="auto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Pr="00AC0CF2" w:rsidRDefault="00965B57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lastRenderedPageBreak/>
        <w:t>Čl. IV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 xml:space="preserve">Dlhodobý nehmotný majetok, ktorým 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: spoločnosť neeviduje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>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3)</w:t>
      </w:r>
      <w:r w:rsidRPr="00AC0CF2">
        <w:rPr>
          <w:rFonts w:ascii="Calibri" w:hAnsi="Calibri" w:cs="Calibri"/>
          <w:color w:val="auto"/>
        </w:rPr>
        <w:tab/>
        <w:t>Informácie o záväzkoch :</w:t>
      </w:r>
    </w:p>
    <w:p w:rsidR="00965B57" w:rsidRPr="00AC0CF2" w:rsidRDefault="00965B57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965B57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65B57" w:rsidRPr="00AC0CF2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693CC0" w:rsidRDefault="00CA21D1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D07EB8" w:rsidRDefault="00D07EB8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D07EB8" w:rsidRPr="00AC0CF2" w:rsidTr="00BC06EF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D07EB8" w:rsidRPr="00AC0CF2" w:rsidTr="00693CC0">
        <w:trPr>
          <w:trHeight w:val="481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</w:t>
            </w: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141EE6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258 485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6B5902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415 405</w:t>
            </w:r>
          </w:p>
        </w:tc>
      </w:tr>
    </w:tbl>
    <w:p w:rsidR="00D07EB8" w:rsidRDefault="00D07EB8" w:rsidP="00D07EB8"/>
    <w:p w:rsidR="00965B57" w:rsidRPr="00AC0CF2" w:rsidRDefault="00965B57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Informácie o vlastných akciách : spoločnosť </w:t>
      </w:r>
      <w:r w:rsidR="00CA21D1">
        <w:rPr>
          <w:rFonts w:ascii="Calibri" w:hAnsi="Calibri" w:cs="Calibri"/>
          <w:color w:val="auto"/>
        </w:rPr>
        <w:t>nevlastní v</w:t>
      </w:r>
      <w:r w:rsidRPr="00AC0CF2">
        <w:rPr>
          <w:rFonts w:ascii="Calibri" w:hAnsi="Calibri" w:cs="Calibri"/>
          <w:color w:val="auto"/>
        </w:rPr>
        <w:t>lastné akcie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5)</w:t>
      </w:r>
      <w:r w:rsidRPr="00AC0CF2">
        <w:rPr>
          <w:rFonts w:ascii="Calibri" w:hAnsi="Calibri" w:cs="Calibri"/>
          <w:color w:val="auto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>Informácie o iných aktívach a iných pasívach : spoločnosť neeviduje iné aktíva a pasíva okrem tých, ktoré sú uvedené v súvahe.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Spoločnosť nevykazuje žiadne iné finančné povinnosti okrem tých, ktoré sú vykázané v súvahe.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lastRenderedPageBreak/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3"/>
        <w:gridCol w:w="2318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  <w:r w:rsidR="003D699F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lastRenderedPageBreak/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  <w:bookmarkStart w:id="0" w:name="_GoBack"/>
      <w:bookmarkEnd w:id="0"/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:rsidR="00965B57" w:rsidRPr="00AC0CF2" w:rsidRDefault="00965B57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 xml:space="preserve">Pokles alebo zvýšenie trhovej ceny finančného majetku ako dôsledok udalostí, ktoré nastali po dni, ku ktorému sa zostavuje účtovná závierka do dňa zostavenia účtovnej závierky, s uvedením dôvodu týchto zmien </w:t>
      </w:r>
      <w:r w:rsidRPr="00693CC0">
        <w:rPr>
          <w:rFonts w:ascii="Calibri" w:hAnsi="Calibri" w:cs="Calibri"/>
        </w:rPr>
        <w:t>: účtovná jednotka nevlastní krátkodobý finančný majetok.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967424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a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 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akcionárov 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  <w:r w:rsidR="002F3701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68645E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i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d)     Prijatie rozhodnutia o predaji účtovnej jednotky alebo jej časti : </w:t>
      </w:r>
      <w:r w:rsidRPr="0068645E">
        <w:rPr>
          <w:rFonts w:ascii="Calibri" w:hAnsi="Calibri" w:cs="Calibri"/>
          <w:b w:val="0"/>
          <w:bCs w:val="0"/>
          <w:i/>
          <w:kern w:val="0"/>
          <w:sz w:val="20"/>
          <w:szCs w:val="20"/>
          <w:lang w:eastAsia="cs-CZ"/>
        </w:rPr>
        <w:t>n</w:t>
      </w:r>
      <w:r w:rsidRPr="0068645E">
        <w:rPr>
          <w:rFonts w:ascii="Calibri" w:hAnsi="Calibri" w:cs="Calibri"/>
          <w:b w:val="0"/>
          <w:bCs w:val="0"/>
          <w:i/>
          <w:sz w:val="20"/>
          <w:szCs w:val="20"/>
        </w:rPr>
        <w:t>ebolo prijaté rozhodnutie o predaji účtovnej jednotke alebo jej časti.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68645E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i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e)     Zmeny významných položiek dlhodobého finančného majetku : </w:t>
      </w:r>
      <w:r w:rsidRPr="0068645E">
        <w:rPr>
          <w:rFonts w:ascii="Calibri" w:hAnsi="Calibri" w:cs="Calibri"/>
          <w:b w:val="0"/>
          <w:bCs w:val="0"/>
          <w:i/>
          <w:kern w:val="0"/>
          <w:sz w:val="20"/>
          <w:szCs w:val="20"/>
          <w:lang w:eastAsia="cs-CZ"/>
        </w:rPr>
        <w:t xml:space="preserve">účtovná jednotka neeviduje </w:t>
      </w:r>
      <w:r w:rsidR="00693CC0" w:rsidRPr="0068645E">
        <w:rPr>
          <w:rFonts w:ascii="Calibri" w:hAnsi="Calibri" w:cs="Calibri"/>
          <w:b w:val="0"/>
          <w:bCs w:val="0"/>
          <w:i/>
          <w:kern w:val="0"/>
          <w:sz w:val="20"/>
          <w:szCs w:val="20"/>
          <w:lang w:eastAsia="cs-CZ"/>
        </w:rPr>
        <w:t>významné zmeny pri dlhodobom finančnom majetku.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j)     Získanie alebo odobratie licencie alebo iných povolení významných pre činnosť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:rsidR="00965B57" w:rsidRPr="00AC0CF2" w:rsidRDefault="00965B57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b/>
          <w:bCs/>
          <w:color w:val="auto"/>
          <w:sz w:val="24"/>
          <w:szCs w:val="24"/>
        </w:rPr>
        <w:t>Ostatné informácie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Pre túto časť poznámok spoločnosť nemá obsahovú náplň.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sectPr w:rsidR="00965B57" w:rsidRPr="00AC0CF2" w:rsidSect="00F31838">
      <w:headerReference w:type="default" r:id="rId7"/>
      <w:footerReference w:type="default" r:id="rId8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6F7C" w:rsidRDefault="005C6F7C">
      <w:r>
        <w:separator/>
      </w:r>
    </w:p>
  </w:endnote>
  <w:endnote w:type="continuationSeparator" w:id="0">
    <w:p w:rsidR="005C6F7C" w:rsidRDefault="005C6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B57" w:rsidRDefault="00965B57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74D82">
      <w:rPr>
        <w:rStyle w:val="slostrany"/>
        <w:noProof/>
      </w:rPr>
      <w:t>1</w:t>
    </w:r>
    <w:r>
      <w:rPr>
        <w:rStyle w:val="slostrany"/>
      </w:rPr>
      <w:fldChar w:fldCharType="end"/>
    </w:r>
  </w:p>
  <w:p w:rsidR="00965B57" w:rsidRDefault="00965B5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6F7C" w:rsidRDefault="005C6F7C">
      <w:r>
        <w:separator/>
      </w:r>
    </w:p>
  </w:footnote>
  <w:footnote w:type="continuationSeparator" w:id="0">
    <w:p w:rsidR="005C6F7C" w:rsidRDefault="005C6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B57" w:rsidRDefault="00965B57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 xml:space="preserve">IČO : </w:t>
    </w:r>
    <w:r w:rsidR="006B5902">
      <w:t>35749024</w:t>
    </w:r>
    <w:r>
      <w:t xml:space="preserve">    DIČ : </w:t>
    </w:r>
    <w:r w:rsidR="006B5902">
      <w:t>2021415198</w:t>
    </w:r>
  </w:p>
  <w:p w:rsidR="00965B57" w:rsidRDefault="00965B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 w15:restartNumberingAfterBreak="0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 w15:restartNumberingAfterBreak="0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 w15:restartNumberingAfterBreak="0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 w15:restartNumberingAfterBreak="0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 w15:restartNumberingAfterBreak="0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 w15:restartNumberingAfterBreak="0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 w15:restartNumberingAfterBreak="0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 w15:restartNumberingAfterBreak="0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 w15:restartNumberingAfterBreak="0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 w15:restartNumberingAfterBreak="0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DEB"/>
    <w:rsid w:val="00001145"/>
    <w:rsid w:val="000040BF"/>
    <w:rsid w:val="000103C6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2FCB"/>
    <w:rsid w:val="00054A5F"/>
    <w:rsid w:val="00057DD5"/>
    <w:rsid w:val="0006018B"/>
    <w:rsid w:val="0006079B"/>
    <w:rsid w:val="00060D09"/>
    <w:rsid w:val="00062301"/>
    <w:rsid w:val="00062859"/>
    <w:rsid w:val="00062C7F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A70DA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0B83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1EE6"/>
    <w:rsid w:val="00143A72"/>
    <w:rsid w:val="00145B12"/>
    <w:rsid w:val="00147475"/>
    <w:rsid w:val="00147E8B"/>
    <w:rsid w:val="00150051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48F1"/>
    <w:rsid w:val="002564DB"/>
    <w:rsid w:val="00257C6C"/>
    <w:rsid w:val="00263EA5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23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0DE4"/>
    <w:rsid w:val="002F10A1"/>
    <w:rsid w:val="002F1B76"/>
    <w:rsid w:val="002F2BBA"/>
    <w:rsid w:val="002F2DFB"/>
    <w:rsid w:val="002F3701"/>
    <w:rsid w:val="002F3DB8"/>
    <w:rsid w:val="002F412D"/>
    <w:rsid w:val="002F6769"/>
    <w:rsid w:val="00303844"/>
    <w:rsid w:val="00305CC3"/>
    <w:rsid w:val="003066CD"/>
    <w:rsid w:val="00306FB1"/>
    <w:rsid w:val="00310BB8"/>
    <w:rsid w:val="00313EDF"/>
    <w:rsid w:val="003168EC"/>
    <w:rsid w:val="00322B1B"/>
    <w:rsid w:val="00322BC1"/>
    <w:rsid w:val="00324D4C"/>
    <w:rsid w:val="00327E21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A5A3C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99F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4D18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089C"/>
    <w:rsid w:val="00583CAB"/>
    <w:rsid w:val="005842CE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4D0E"/>
    <w:rsid w:val="005B600D"/>
    <w:rsid w:val="005B6A42"/>
    <w:rsid w:val="005C1D5D"/>
    <w:rsid w:val="005C5930"/>
    <w:rsid w:val="005C6F7C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45AF4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3CB6"/>
    <w:rsid w:val="0067422A"/>
    <w:rsid w:val="00680148"/>
    <w:rsid w:val="00680C1D"/>
    <w:rsid w:val="00681C1C"/>
    <w:rsid w:val="00682412"/>
    <w:rsid w:val="006846D6"/>
    <w:rsid w:val="00685ADA"/>
    <w:rsid w:val="0068645E"/>
    <w:rsid w:val="00686EC2"/>
    <w:rsid w:val="00693CC0"/>
    <w:rsid w:val="006940B1"/>
    <w:rsid w:val="00696660"/>
    <w:rsid w:val="006A1C76"/>
    <w:rsid w:val="006A418A"/>
    <w:rsid w:val="006A5823"/>
    <w:rsid w:val="006A5B8A"/>
    <w:rsid w:val="006A6CEE"/>
    <w:rsid w:val="006B312B"/>
    <w:rsid w:val="006B506A"/>
    <w:rsid w:val="006B535C"/>
    <w:rsid w:val="006B5902"/>
    <w:rsid w:val="006B5AA2"/>
    <w:rsid w:val="006C0750"/>
    <w:rsid w:val="006C1595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64A1E"/>
    <w:rsid w:val="007722A9"/>
    <w:rsid w:val="00772AEC"/>
    <w:rsid w:val="00774578"/>
    <w:rsid w:val="00774D82"/>
    <w:rsid w:val="00776E87"/>
    <w:rsid w:val="007828B0"/>
    <w:rsid w:val="00783BFB"/>
    <w:rsid w:val="0078567E"/>
    <w:rsid w:val="00785E15"/>
    <w:rsid w:val="0078756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E6AFF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2626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6588"/>
    <w:rsid w:val="008878B5"/>
    <w:rsid w:val="008943B7"/>
    <w:rsid w:val="00894C55"/>
    <w:rsid w:val="00894FB2"/>
    <w:rsid w:val="008A2BD0"/>
    <w:rsid w:val="008A4055"/>
    <w:rsid w:val="008A62D8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894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E75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1B96"/>
    <w:rsid w:val="00AA37F4"/>
    <w:rsid w:val="00AA4BDE"/>
    <w:rsid w:val="00AA51CD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4D5D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3E3E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21D1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E335B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07EB8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21D9"/>
    <w:rsid w:val="00DC281D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5A10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41E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67942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509A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58F617"/>
  <w15:docId w15:val="{DC17B307-C49B-49EA-ADAD-3C96A6F3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6439"/>
    <w:pPr>
      <w:keepNext/>
      <w:widowControl w:val="0"/>
      <w:jc w:val="center"/>
      <w:outlineLvl w:val="0"/>
    </w:pPr>
    <w:rPr>
      <w:rFonts w:ascii="Book Antiqua" w:hAnsi="Book Antiqua" w:cs="Book Antiqua"/>
      <w:b/>
      <w:bCs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6439"/>
    <w:pPr>
      <w:keepNext/>
      <w:outlineLvl w:val="1"/>
    </w:pPr>
    <w:rPr>
      <w:rFonts w:ascii="Bookman Old Style" w:hAnsi="Bookman Old Style" w:cs="Bookman Old Style"/>
      <w:b/>
      <w:bCs/>
      <w:u w:val="singl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6439"/>
    <w:pPr>
      <w:keepNext/>
      <w:outlineLvl w:val="2"/>
    </w:pPr>
    <w:rPr>
      <w:rFonts w:ascii="Bookman Old Style" w:hAnsi="Bookman Old Style" w:cs="Bookman Old Style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6439"/>
    <w:pPr>
      <w:keepNext/>
      <w:jc w:val="center"/>
      <w:outlineLvl w:val="3"/>
    </w:pPr>
    <w:rPr>
      <w:rFonts w:ascii="Bookman Old Style" w:hAnsi="Bookman Old Style" w:cs="Bookman Old Style"/>
      <w:b/>
      <w:bCs/>
      <w:u w:val="singl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6439"/>
    <w:pPr>
      <w:keepNext/>
      <w:jc w:val="both"/>
      <w:outlineLvl w:val="4"/>
    </w:pPr>
    <w:rPr>
      <w:rFonts w:ascii="Bookman Old Style" w:hAnsi="Bookman Old Style" w:cs="Bookman Old Style"/>
      <w:u w:val="single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6439"/>
    <w:pPr>
      <w:keepNext/>
      <w:outlineLvl w:val="5"/>
    </w:pPr>
    <w:rPr>
      <w:rFonts w:ascii="Book Antiqua" w:hAnsi="Book Antiqua" w:cs="Book Antiqua"/>
      <w:u w:val="single"/>
      <w:lang w:val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6439"/>
    <w:pPr>
      <w:keepNext/>
      <w:outlineLvl w:val="6"/>
    </w:pPr>
    <w:rPr>
      <w:rFonts w:ascii="Bookman Old Style" w:hAnsi="Bookman Old Style" w:cs="Bookman Old Style"/>
      <w:b/>
      <w:bCs/>
      <w:color w:val="FF000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 w:cs="Bookman Old Style"/>
      <w:b/>
      <w:b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 w:cs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 w:cs="Calibri"/>
      <w:b/>
      <w:bCs/>
      <w:lang w:eastAsia="cs-CZ"/>
    </w:rPr>
  </w:style>
  <w:style w:type="character" w:customStyle="1" w:styleId="Nadpis7Char">
    <w:name w:val="Nadpis 7 Char"/>
    <w:link w:val="Nadpis7"/>
    <w:uiPriority w:val="99"/>
    <w:semiHidden/>
    <w:locked/>
    <w:rPr>
      <w:rFonts w:ascii="Calibri" w:hAnsi="Calibri" w:cs="Calibri"/>
      <w:sz w:val="24"/>
      <w:szCs w:val="24"/>
      <w:lang w:eastAsia="cs-CZ"/>
    </w:rPr>
  </w:style>
  <w:style w:type="character" w:customStyle="1" w:styleId="Nadpis8Char">
    <w:name w:val="Nadpis 8 Char"/>
    <w:link w:val="Nadpis8"/>
    <w:uiPriority w:val="99"/>
    <w:semiHidden/>
    <w:locked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uiPriority w:val="99"/>
    <w:semiHidden/>
    <w:locked/>
    <w:rPr>
      <w:rFonts w:ascii="Cambria" w:hAnsi="Cambria" w:cs="Cambria"/>
      <w:lang w:eastAsia="cs-CZ"/>
    </w:rPr>
  </w:style>
  <w:style w:type="character" w:styleId="Odkaznakomentr">
    <w:name w:val="annotation reference"/>
    <w:uiPriority w:val="99"/>
    <w:semiHidden/>
    <w:rsid w:val="00116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16439"/>
  </w:style>
  <w:style w:type="character" w:customStyle="1" w:styleId="TextkomentraChar">
    <w:name w:val="Text komentára Char"/>
    <w:link w:val="Textkomentra"/>
    <w:uiPriority w:val="99"/>
    <w:semiHidden/>
    <w:locked/>
    <w:rPr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6439"/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rsid w:val="00116439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semiHidden/>
    <w:rsid w:val="00116439"/>
  </w:style>
  <w:style w:type="paragraph" w:styleId="Hlavika">
    <w:name w:val="header"/>
    <w:basedOn w:val="Normlny"/>
    <w:link w:val="Hlavik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116439"/>
    <w:pPr>
      <w:numPr>
        <w:ilvl w:val="12"/>
      </w:numPr>
      <w:jc w:val="both"/>
    </w:pPr>
    <w:rPr>
      <w:rFonts w:ascii="Bookman Old Style" w:hAnsi="Bookman Old Style" w:cs="Bookman Old Style"/>
      <w:color w:val="FF0000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116439"/>
    <w:pPr>
      <w:jc w:val="both"/>
    </w:pPr>
    <w:rPr>
      <w:rFonts w:ascii="Book Antiqua" w:hAnsi="Book Antiqua" w:cs="Book Antiqua"/>
    </w:rPr>
  </w:style>
  <w:style w:type="character" w:customStyle="1" w:styleId="ZkladntextChar">
    <w:name w:val="Základný text Char"/>
    <w:link w:val="Zkladntext"/>
    <w:uiPriority w:val="99"/>
    <w:semiHidden/>
    <w:locked/>
    <w:rPr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11643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rsid w:val="00116439"/>
    <w:rPr>
      <w:rFonts w:ascii="Bookman Old Style" w:hAnsi="Bookman Old Style" w:cs="Bookman Old Style"/>
      <w:b/>
      <w:bCs/>
    </w:rPr>
  </w:style>
  <w:style w:type="character" w:customStyle="1" w:styleId="Zkladntext3Char">
    <w:name w:val="Základný text 3 Char"/>
    <w:link w:val="Zkladntext3"/>
    <w:uiPriority w:val="99"/>
    <w:semiHidden/>
    <w:locked/>
    <w:rPr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116439"/>
    <w:pPr>
      <w:numPr>
        <w:ilvl w:val="12"/>
      </w:numPr>
    </w:pPr>
    <w:rPr>
      <w:rFonts w:ascii="Bookman Old Style" w:hAnsi="Bookman Old Style" w:cs="Bookman Old Style"/>
      <w:color w:val="FF0000"/>
    </w:rPr>
  </w:style>
  <w:style w:type="character" w:customStyle="1" w:styleId="Zkladntext2Char">
    <w:name w:val="Základný text 2 Char"/>
    <w:link w:val="Zkladntext2"/>
    <w:uiPriority w:val="99"/>
    <w:semiHidden/>
    <w:locked/>
    <w:rPr>
      <w:sz w:val="20"/>
      <w:szCs w:val="20"/>
      <w:lang w:eastAsia="cs-CZ"/>
    </w:rPr>
  </w:style>
  <w:style w:type="paragraph" w:styleId="Odsekzoznamu">
    <w:name w:val="List Paragraph"/>
    <w:basedOn w:val="Normlny"/>
    <w:uiPriority w:val="99"/>
    <w:qFormat/>
    <w:rsid w:val="00116439"/>
    <w:pPr>
      <w:ind w:left="720"/>
    </w:pPr>
  </w:style>
  <w:style w:type="paragraph" w:styleId="Zarkazkladnhotextu3">
    <w:name w:val="Body Text Indent 3"/>
    <w:basedOn w:val="Normlny"/>
    <w:link w:val="Zarkazkladnhotextu3Char"/>
    <w:uiPriority w:val="99"/>
    <w:semiHidden/>
    <w:rsid w:val="00116439"/>
    <w:pPr>
      <w:ind w:left="705" w:hanging="705"/>
    </w:pPr>
    <w:rPr>
      <w:rFonts w:ascii="Bookman Old Style" w:hAnsi="Bookman Old Style" w:cs="Bookman Old Style"/>
      <w:b/>
      <w:bCs/>
      <w:sz w:val="24"/>
      <w:szCs w:val="24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sz w:val="16"/>
      <w:szCs w:val="16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basedOn w:val="Predvolenpsmoodseku"/>
    <w:rsid w:val="00100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86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1349</Words>
  <Characters>8555</Characters>
  <Application>Microsoft Office Word</Application>
  <DocSecurity>0</DocSecurity>
  <Lines>71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, tvoriaca     neoddeliteľnú  súčasť    účtovnej  závierky</vt:lpstr>
    </vt:vector>
  </TitlesOfParts>
  <Company>SAPEX</Company>
  <LinksUpToDate>false</LinksUpToDate>
  <CharactersWithSpaces>9885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KVP</cp:lastModifiedBy>
  <cp:revision>16</cp:revision>
  <cp:lastPrinted>2014-03-12T10:10:00Z</cp:lastPrinted>
  <dcterms:created xsi:type="dcterms:W3CDTF">2017-03-03T12:24:00Z</dcterms:created>
  <dcterms:modified xsi:type="dcterms:W3CDTF">2018-03-12T08:56:00Z</dcterms:modified>
</cp:coreProperties>
</file>