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0686" w:rsidRDefault="00820686" w:rsidP="00820686">
      <w:pPr>
        <w:pStyle w:val="Default"/>
        <w:spacing w:after="120"/>
        <w:rPr>
          <w:b/>
          <w:bCs/>
          <w:color w:val="auto"/>
          <w:sz w:val="23"/>
          <w:szCs w:val="23"/>
        </w:rPr>
      </w:pPr>
      <w:bookmarkStart w:id="0" w:name="_Toc474124301"/>
      <w:bookmarkStart w:id="1" w:name="_Toc474124189"/>
      <w:r>
        <w:rPr>
          <w:b/>
          <w:bCs/>
          <w:color w:val="auto"/>
          <w:sz w:val="23"/>
          <w:szCs w:val="23"/>
        </w:rPr>
        <w:t xml:space="preserve">Čl. I </w:t>
      </w:r>
    </w:p>
    <w:p w:rsidR="00820686" w:rsidRDefault="00820686" w:rsidP="00820686">
      <w:pPr>
        <w:pStyle w:val="Default"/>
        <w:spacing w:after="12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</w:t>
      </w:r>
      <w:bookmarkStart w:id="2" w:name="_GoBack"/>
      <w:bookmarkEnd w:id="2"/>
      <w:r>
        <w:rPr>
          <w:b/>
          <w:bCs/>
          <w:color w:val="auto"/>
          <w:sz w:val="23"/>
          <w:szCs w:val="23"/>
        </w:rPr>
        <w:t xml:space="preserve">daje </w:t>
      </w:r>
    </w:p>
    <w:p w:rsidR="00820686" w:rsidRDefault="00820686" w:rsidP="00820686">
      <w:pPr>
        <w:pStyle w:val="Nadpis1"/>
        <w:keepNext w:val="0"/>
        <w:numPr>
          <w:ilvl w:val="0"/>
          <w:numId w:val="3"/>
        </w:numPr>
        <w:tabs>
          <w:tab w:val="left" w:pos="708"/>
        </w:tabs>
        <w:spacing w:before="120" w:after="120"/>
        <w:ind w:left="284" w:hanging="284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Popis spoločnosti</w:t>
      </w:r>
      <w:bookmarkEnd w:id="0"/>
      <w:bookmarkEnd w:id="1"/>
    </w:p>
    <w:p w:rsidR="00820686" w:rsidRDefault="00820686" w:rsidP="00820686">
      <w:pPr>
        <w:keepNext w:val="0"/>
        <w:spacing w:after="120"/>
        <w:rPr>
          <w:lang w:val="sk-SK"/>
        </w:rPr>
      </w:pPr>
      <w:r>
        <w:rPr>
          <w:iCs/>
          <w:lang w:val="sk-SK"/>
        </w:rPr>
        <w:t xml:space="preserve">Spoločnosť </w:t>
      </w:r>
      <w:proofErr w:type="spellStart"/>
      <w:r>
        <w:rPr>
          <w:iCs/>
          <w:lang w:val="sk-SK"/>
        </w:rPr>
        <w:t>Doprastav</w:t>
      </w:r>
      <w:proofErr w:type="spellEnd"/>
      <w:r>
        <w:rPr>
          <w:iCs/>
          <w:lang w:val="sk-SK"/>
        </w:rPr>
        <w:t xml:space="preserve"> </w:t>
      </w:r>
      <w:proofErr w:type="spellStart"/>
      <w:r>
        <w:rPr>
          <w:iCs/>
          <w:lang w:val="sk-SK"/>
        </w:rPr>
        <w:t>International</w:t>
      </w:r>
      <w:proofErr w:type="spellEnd"/>
      <w:r>
        <w:rPr>
          <w:iCs/>
          <w:lang w:val="sk-SK"/>
        </w:rPr>
        <w:t xml:space="preserve">, s.r.o. </w:t>
      </w:r>
      <w:r>
        <w:rPr>
          <w:lang w:val="sk-SK"/>
        </w:rPr>
        <w:t xml:space="preserve">je </w:t>
      </w:r>
      <w:r>
        <w:rPr>
          <w:iCs/>
          <w:lang w:val="sk-SK"/>
        </w:rPr>
        <w:t>spoločnosť s ručením obmedzeným</w:t>
      </w:r>
      <w:r>
        <w:rPr>
          <w:lang w:val="sk-SK"/>
        </w:rPr>
        <w:t xml:space="preserve">, ktorou jediným zakladateľom – spoločnosťou je </w:t>
      </w:r>
      <w:proofErr w:type="spellStart"/>
      <w:r>
        <w:rPr>
          <w:lang w:val="sk-SK"/>
        </w:rPr>
        <w:t>Doprastav</w:t>
      </w:r>
      <w:proofErr w:type="spellEnd"/>
      <w:r>
        <w:rPr>
          <w:lang w:val="sk-SK"/>
        </w:rPr>
        <w:t xml:space="preserve"> a.s., so sídlom na Drieňovej ulici č. 27, 826 56 v Bratislave. </w:t>
      </w:r>
    </w:p>
    <w:p w:rsidR="00820686" w:rsidRDefault="00820686" w:rsidP="00820686">
      <w:pPr>
        <w:keepNext w:val="0"/>
        <w:spacing w:after="120"/>
        <w:rPr>
          <w:lang w:val="sk-SK"/>
        </w:rPr>
      </w:pPr>
      <w:r>
        <w:rPr>
          <w:iCs/>
          <w:lang w:val="sk-SK"/>
        </w:rPr>
        <w:t xml:space="preserve">Spoločnosť </w:t>
      </w:r>
      <w:proofErr w:type="spellStart"/>
      <w:r>
        <w:rPr>
          <w:iCs/>
          <w:lang w:val="sk-SK"/>
        </w:rPr>
        <w:t>Doprastav</w:t>
      </w:r>
      <w:proofErr w:type="spellEnd"/>
      <w:r>
        <w:rPr>
          <w:iCs/>
          <w:lang w:val="sk-SK"/>
        </w:rPr>
        <w:t xml:space="preserve"> </w:t>
      </w:r>
      <w:proofErr w:type="spellStart"/>
      <w:r>
        <w:rPr>
          <w:iCs/>
          <w:lang w:val="sk-SK"/>
        </w:rPr>
        <w:t>International</w:t>
      </w:r>
      <w:proofErr w:type="spellEnd"/>
      <w:r>
        <w:rPr>
          <w:iCs/>
          <w:lang w:val="sk-SK"/>
        </w:rPr>
        <w:t xml:space="preserve">, s.r.o. </w:t>
      </w:r>
      <w:r>
        <w:rPr>
          <w:lang w:val="sk-SK"/>
        </w:rPr>
        <w:t>(ďalej len „spoločnosť”) bola zapísaná do Obchodného registra vedenom na Okresnom súde Bratislava I, oddiel Sro, vložka č. 104043/B dňa 14.05.2015. Spoločnosť sídli na Drieňovej ulici č. 27, 821 01 Bratislava</w:t>
      </w:r>
      <w:r>
        <w:rPr>
          <w:i/>
          <w:iCs/>
          <w:lang w:val="sk-SK"/>
        </w:rPr>
        <w:t xml:space="preserve">, </w:t>
      </w:r>
      <w:r>
        <w:rPr>
          <w:lang w:val="sk-SK"/>
        </w:rPr>
        <w:t xml:space="preserve">Slovenská republika, identifikačné číslo 48055719.  </w:t>
      </w:r>
    </w:p>
    <w:p w:rsidR="00820686" w:rsidRDefault="00820686" w:rsidP="00820686">
      <w:pPr>
        <w:keepNext w:val="0"/>
        <w:spacing w:after="120"/>
        <w:rPr>
          <w:lang w:val="sk-SK"/>
        </w:rPr>
      </w:pPr>
      <w:r>
        <w:rPr>
          <w:lang w:val="sk-SK"/>
        </w:rPr>
        <w:t>Hlavným predmetom činnosti je:</w:t>
      </w:r>
    </w:p>
    <w:p w:rsidR="00820686" w:rsidRDefault="00820686" w:rsidP="00820686">
      <w:pPr>
        <w:keepNext w:val="0"/>
        <w:numPr>
          <w:ilvl w:val="0"/>
          <w:numId w:val="4"/>
        </w:numPr>
        <w:spacing w:after="120"/>
        <w:ind w:left="714" w:hanging="357"/>
        <w:rPr>
          <w:iCs/>
          <w:lang w:val="sk-SK"/>
        </w:rPr>
      </w:pPr>
      <w:r>
        <w:rPr>
          <w:iCs/>
          <w:lang w:val="sk-SK"/>
        </w:rPr>
        <w:t>kúpa tovaru na účely jeho predaja iným prevádzkovateľom živnosti (veľkoobchod),</w:t>
      </w:r>
    </w:p>
    <w:p w:rsidR="00820686" w:rsidRDefault="00820686" w:rsidP="00820686">
      <w:pPr>
        <w:keepNext w:val="0"/>
        <w:numPr>
          <w:ilvl w:val="0"/>
          <w:numId w:val="4"/>
        </w:numPr>
        <w:spacing w:after="120"/>
        <w:ind w:left="714" w:hanging="357"/>
        <w:rPr>
          <w:iCs/>
          <w:lang w:val="sk-SK"/>
        </w:rPr>
      </w:pPr>
      <w:r>
        <w:rPr>
          <w:iCs/>
          <w:lang w:val="sk-SK"/>
        </w:rPr>
        <w:t>kúpa tovaru na účely jeho predaja konečnému spotrebiteľovi (maloobchod),</w:t>
      </w:r>
    </w:p>
    <w:p w:rsidR="00820686" w:rsidRDefault="00820686" w:rsidP="00820686">
      <w:pPr>
        <w:keepNext w:val="0"/>
        <w:numPr>
          <w:ilvl w:val="0"/>
          <w:numId w:val="4"/>
        </w:numPr>
        <w:spacing w:after="120"/>
        <w:ind w:left="714" w:hanging="357"/>
        <w:rPr>
          <w:iCs/>
          <w:lang w:val="sk-SK"/>
        </w:rPr>
      </w:pPr>
      <w:r>
        <w:rPr>
          <w:iCs/>
          <w:lang w:val="sk-SK"/>
        </w:rPr>
        <w:t xml:space="preserve">spotrebiteľská činnosť v oblasti obchodu, služieb a v oblasti výroby, </w:t>
      </w:r>
    </w:p>
    <w:p w:rsidR="00820686" w:rsidRDefault="00820686" w:rsidP="00820686">
      <w:pPr>
        <w:keepNext w:val="0"/>
        <w:numPr>
          <w:ilvl w:val="0"/>
          <w:numId w:val="4"/>
        </w:numPr>
        <w:spacing w:after="120"/>
        <w:ind w:left="714" w:hanging="357"/>
        <w:rPr>
          <w:iCs/>
          <w:lang w:val="sk-SK"/>
        </w:rPr>
      </w:pPr>
      <w:r>
        <w:rPr>
          <w:iCs/>
          <w:lang w:val="sk-SK"/>
        </w:rPr>
        <w:t>uskutočňovanie stavieb a ich zmien.</w:t>
      </w:r>
    </w:p>
    <w:p w:rsidR="00820686" w:rsidRDefault="00820686" w:rsidP="00820686">
      <w:pPr>
        <w:spacing w:after="120"/>
        <w:rPr>
          <w:lang w:val="sk-SK"/>
        </w:rPr>
      </w:pPr>
    </w:p>
    <w:p w:rsidR="00820686" w:rsidRDefault="00820686" w:rsidP="00820686">
      <w:pPr>
        <w:pStyle w:val="Nadpis1"/>
        <w:keepNext w:val="0"/>
        <w:numPr>
          <w:ilvl w:val="0"/>
          <w:numId w:val="3"/>
        </w:numPr>
        <w:tabs>
          <w:tab w:val="left" w:pos="708"/>
        </w:tabs>
        <w:spacing w:before="0" w:after="120"/>
        <w:ind w:left="284" w:hanging="284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Informácie o konsolidovanom celku</w:t>
      </w:r>
    </w:p>
    <w:p w:rsidR="00820686" w:rsidRDefault="00820686" w:rsidP="00820686">
      <w:pPr>
        <w:keepNext w:val="0"/>
        <w:spacing w:after="120"/>
        <w:rPr>
          <w:bCs/>
          <w:iCs/>
          <w:lang w:val="sk-SK"/>
        </w:rPr>
      </w:pPr>
      <w:r>
        <w:rPr>
          <w:bCs/>
          <w:iCs/>
          <w:lang w:val="sk-SK"/>
        </w:rPr>
        <w:t xml:space="preserve">Materskou spoločnosťou spoločnosti je </w:t>
      </w:r>
      <w:proofErr w:type="spellStart"/>
      <w:r>
        <w:rPr>
          <w:bCs/>
          <w:iCs/>
          <w:lang w:val="sk-SK"/>
        </w:rPr>
        <w:t>Doprastav</w:t>
      </w:r>
      <w:proofErr w:type="spellEnd"/>
      <w:r>
        <w:rPr>
          <w:bCs/>
          <w:iCs/>
          <w:lang w:val="sk-SK"/>
        </w:rPr>
        <w:t xml:space="preserve">, a.s., Drieňová 27, 826 56 Bratislava. Spoločnosť sa zahrňuje do konsolidovanej účtovnej závierky skupiny </w:t>
      </w:r>
      <w:proofErr w:type="spellStart"/>
      <w:r>
        <w:rPr>
          <w:bCs/>
          <w:iCs/>
          <w:lang w:val="sk-SK"/>
        </w:rPr>
        <w:t>Doprastav</w:t>
      </w:r>
      <w:proofErr w:type="spellEnd"/>
      <w:r>
        <w:rPr>
          <w:bCs/>
          <w:iCs/>
          <w:lang w:val="sk-SK"/>
        </w:rPr>
        <w:t>, Drieňová 27, 826 56 Bratislava, Slovenská Republika. Túto konsolidovanú účtovnú závierku možno získať na uvedenej adrese.</w:t>
      </w:r>
    </w:p>
    <w:p w:rsidR="00820686" w:rsidRDefault="00820686" w:rsidP="00820686">
      <w:pPr>
        <w:pStyle w:val="Nadpis1"/>
        <w:keepNext w:val="0"/>
        <w:numPr>
          <w:ilvl w:val="0"/>
          <w:numId w:val="0"/>
        </w:numPr>
        <w:tabs>
          <w:tab w:val="left" w:pos="708"/>
        </w:tabs>
        <w:spacing w:before="120" w:after="120"/>
        <w:ind w:left="284"/>
        <w:rPr>
          <w:rFonts w:ascii="Times New Roman" w:hAnsi="Times New Roman"/>
          <w:b w:val="0"/>
          <w:sz w:val="20"/>
          <w:szCs w:val="20"/>
          <w:lang w:val="sk-SK"/>
        </w:rPr>
      </w:pPr>
    </w:p>
    <w:p w:rsidR="00820686" w:rsidRDefault="00820686" w:rsidP="00820686">
      <w:pPr>
        <w:pStyle w:val="Nadpis1"/>
        <w:keepNext w:val="0"/>
        <w:numPr>
          <w:ilvl w:val="0"/>
          <w:numId w:val="3"/>
        </w:numPr>
        <w:tabs>
          <w:tab w:val="left" w:pos="708"/>
        </w:tabs>
        <w:spacing w:before="120" w:after="120"/>
        <w:ind w:left="284" w:hanging="284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Informácie o počte zamestnancov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  <w:gridCol w:w="2551"/>
      </w:tblGrid>
      <w:tr w:rsidR="00820686" w:rsidTr="00820686">
        <w:trPr>
          <w:trHeight w:hRule="exact" w:val="431"/>
        </w:trPr>
        <w:tc>
          <w:tcPr>
            <w:tcW w:w="66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20686" w:rsidRDefault="00820686">
            <w:pPr>
              <w:keepNext w:val="0"/>
              <w:tabs>
                <w:tab w:val="center" w:pos="4536"/>
                <w:tab w:val="right" w:pos="9072"/>
              </w:tabs>
              <w:spacing w:after="120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20686" w:rsidRDefault="00820686">
            <w:pPr>
              <w:keepNext w:val="0"/>
              <w:tabs>
                <w:tab w:val="center" w:pos="4536"/>
                <w:tab w:val="right" w:pos="9072"/>
              </w:tabs>
              <w:spacing w:after="120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Bežné účtovné obdobie</w:t>
            </w:r>
          </w:p>
        </w:tc>
      </w:tr>
      <w:tr w:rsidR="00820686" w:rsidTr="00820686">
        <w:trPr>
          <w:trHeight w:hRule="exact" w:val="438"/>
        </w:trPr>
        <w:tc>
          <w:tcPr>
            <w:tcW w:w="66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20686" w:rsidRDefault="00820686">
            <w:pPr>
              <w:keepNext w:val="0"/>
              <w:tabs>
                <w:tab w:val="center" w:pos="4536"/>
                <w:tab w:val="right" w:pos="9072"/>
              </w:tabs>
              <w:spacing w:after="120"/>
              <w:rPr>
                <w:lang w:val="sk-SK"/>
              </w:rPr>
            </w:pPr>
            <w:r>
              <w:rPr>
                <w:lang w:val="sk-SK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20686" w:rsidRDefault="00820686">
            <w:pPr>
              <w:keepNext w:val="0"/>
              <w:tabs>
                <w:tab w:val="center" w:pos="4536"/>
                <w:tab w:val="right" w:pos="9072"/>
              </w:tabs>
              <w:spacing w:after="120"/>
              <w:ind w:right="32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20686" w:rsidTr="00820686">
        <w:trPr>
          <w:trHeight w:hRule="exact" w:val="416"/>
        </w:trPr>
        <w:tc>
          <w:tcPr>
            <w:tcW w:w="66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20686" w:rsidRDefault="00820686">
            <w:pPr>
              <w:keepNext w:val="0"/>
              <w:tabs>
                <w:tab w:val="center" w:pos="4536"/>
                <w:tab w:val="right" w:pos="9072"/>
              </w:tabs>
              <w:spacing w:after="120"/>
              <w:rPr>
                <w:lang w:val="sk-SK"/>
              </w:rPr>
            </w:pPr>
            <w:r>
              <w:rPr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20686" w:rsidRDefault="00820686">
            <w:pPr>
              <w:keepNext w:val="0"/>
              <w:tabs>
                <w:tab w:val="center" w:pos="4536"/>
                <w:tab w:val="right" w:pos="9072"/>
              </w:tabs>
              <w:spacing w:after="120"/>
              <w:ind w:right="32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820686" w:rsidTr="00820686">
        <w:trPr>
          <w:trHeight w:hRule="exact" w:val="425"/>
        </w:trPr>
        <w:tc>
          <w:tcPr>
            <w:tcW w:w="66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20686" w:rsidRDefault="00820686">
            <w:pPr>
              <w:keepNext w:val="0"/>
              <w:tabs>
                <w:tab w:val="center" w:pos="4536"/>
                <w:tab w:val="right" w:pos="9072"/>
              </w:tabs>
              <w:spacing w:after="120"/>
              <w:rPr>
                <w:lang w:val="sk-SK"/>
              </w:rPr>
            </w:pPr>
            <w:r>
              <w:rPr>
                <w:lang w:val="sk-SK"/>
              </w:rPr>
              <w:t>počet vedúcich zamestnancov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20686" w:rsidRDefault="00820686">
            <w:pPr>
              <w:keepNext w:val="0"/>
              <w:tabs>
                <w:tab w:val="center" w:pos="4536"/>
                <w:tab w:val="right" w:pos="9072"/>
              </w:tabs>
              <w:spacing w:after="120"/>
              <w:ind w:right="324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jc w:val="left"/>
        <w:rPr>
          <w:rFonts w:ascii="Times New Roman" w:hAnsi="Times New Roman"/>
          <w:sz w:val="20"/>
          <w:szCs w:val="20"/>
          <w:lang w:val="sk-SK"/>
        </w:rPr>
      </w:pPr>
    </w:p>
    <w:p w:rsidR="00820686" w:rsidRDefault="00820686" w:rsidP="00820686">
      <w:pPr>
        <w:pStyle w:val="Default"/>
        <w:spacing w:after="12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820686" w:rsidRDefault="00820686" w:rsidP="00820686">
      <w:pPr>
        <w:pStyle w:val="Default"/>
        <w:spacing w:after="12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820686" w:rsidRDefault="00820686" w:rsidP="00820686">
      <w:pPr>
        <w:pStyle w:val="Nadpis1"/>
        <w:keepNext w:val="0"/>
        <w:numPr>
          <w:ilvl w:val="0"/>
          <w:numId w:val="5"/>
        </w:numPr>
        <w:tabs>
          <w:tab w:val="left" w:pos="708"/>
        </w:tabs>
        <w:spacing w:before="120" w:after="120"/>
        <w:ind w:left="284" w:hanging="284"/>
        <w:rPr>
          <w:rFonts w:ascii="Times New Roman" w:hAnsi="Times New Roman"/>
          <w:sz w:val="20"/>
          <w:szCs w:val="20"/>
          <w:lang w:val="sk-SK"/>
        </w:rPr>
      </w:pPr>
      <w:bookmarkStart w:id="3" w:name="_Toc474124305"/>
      <w:bookmarkStart w:id="4" w:name="_Toc474124193"/>
      <w:r>
        <w:rPr>
          <w:rFonts w:ascii="Times New Roman" w:hAnsi="Times New Roman"/>
          <w:sz w:val="20"/>
          <w:szCs w:val="20"/>
          <w:lang w:val="sk-SK"/>
        </w:rPr>
        <w:t>Základné východiská pre zostavenie účtovnej závierky</w:t>
      </w:r>
    </w:p>
    <w:p w:rsidR="00820686" w:rsidRDefault="00820686" w:rsidP="00820686">
      <w:pPr>
        <w:pStyle w:val="Pismenka"/>
        <w:tabs>
          <w:tab w:val="clear" w:pos="426"/>
          <w:tab w:val="clear" w:pos="454"/>
          <w:tab w:val="left" w:pos="708"/>
        </w:tabs>
        <w:spacing w:after="120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>
        <w:rPr>
          <w:b w:val="0"/>
          <w:sz w:val="20"/>
          <w:szCs w:val="20"/>
        </w:rPr>
        <w:t>going</w:t>
      </w:r>
      <w:proofErr w:type="spellEnd"/>
      <w:r>
        <w:rPr>
          <w:b w:val="0"/>
          <w:sz w:val="20"/>
          <w:szCs w:val="20"/>
        </w:rPr>
        <w:t xml:space="preserve"> </w:t>
      </w:r>
      <w:proofErr w:type="spellStart"/>
      <w:r>
        <w:rPr>
          <w:b w:val="0"/>
          <w:sz w:val="20"/>
          <w:szCs w:val="20"/>
        </w:rPr>
        <w:t>concern</w:t>
      </w:r>
      <w:proofErr w:type="spellEnd"/>
      <w:r>
        <w:rPr>
          <w:b w:val="0"/>
          <w:sz w:val="20"/>
          <w:szCs w:val="20"/>
        </w:rPr>
        <w:t xml:space="preserve">). Účtovné metódy a všeobecné účtovné zásady boli účtovnou jednotkou konzistentne aplikované. </w:t>
      </w:r>
    </w:p>
    <w:p w:rsidR="00820686" w:rsidRDefault="00820686" w:rsidP="00820686">
      <w:pPr>
        <w:pStyle w:val="Pismenka"/>
        <w:tabs>
          <w:tab w:val="clear" w:pos="426"/>
          <w:tab w:val="clear" w:pos="454"/>
          <w:tab w:val="left" w:pos="708"/>
        </w:tabs>
        <w:spacing w:after="120"/>
        <w:ind w:left="0" w:firstLine="0"/>
        <w:rPr>
          <w:b w:val="0"/>
          <w:sz w:val="20"/>
          <w:szCs w:val="20"/>
        </w:rPr>
      </w:pPr>
    </w:p>
    <w:p w:rsidR="00820686" w:rsidRDefault="00820686" w:rsidP="00820686">
      <w:pPr>
        <w:pStyle w:val="Nadpis1"/>
        <w:keepNext w:val="0"/>
        <w:numPr>
          <w:ilvl w:val="0"/>
          <w:numId w:val="5"/>
        </w:numPr>
        <w:tabs>
          <w:tab w:val="left" w:pos="708"/>
        </w:tabs>
        <w:spacing w:before="120" w:after="120"/>
        <w:ind w:left="284" w:hanging="284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Spôsob oceňovania jednotlivých položiek majetku a záväzkov</w:t>
      </w:r>
    </w:p>
    <w:p w:rsidR="00820686" w:rsidRDefault="00820686" w:rsidP="00820686">
      <w:pPr>
        <w:pStyle w:val="Nadpis2"/>
        <w:numPr>
          <w:ilvl w:val="0"/>
          <w:numId w:val="6"/>
        </w:numPr>
        <w:tabs>
          <w:tab w:val="left" w:pos="708"/>
        </w:tabs>
        <w:spacing w:after="120"/>
        <w:ind w:left="357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Dlhodobý hmotný majetok</w:t>
      </w:r>
      <w:bookmarkEnd w:id="3"/>
      <w:bookmarkEnd w:id="4"/>
    </w:p>
    <w:p w:rsidR="00820686" w:rsidRDefault="00820686" w:rsidP="00820686">
      <w:pPr>
        <w:pStyle w:val="Nadpis2"/>
        <w:numPr>
          <w:ilvl w:val="0"/>
          <w:numId w:val="0"/>
        </w:numPr>
        <w:tabs>
          <w:tab w:val="left" w:pos="708"/>
        </w:tabs>
        <w:spacing w:after="120"/>
        <w:ind w:left="357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>Nakupovaný dlhodobý hmotný majetok sa oceňuje v obstarávacích cenách, ktoré zahŕňajú cenu obstarania, náklady na dopravu, clo, ďalšie náklady súvisiace s obstaraním a všetky zníženia tejto obstarávacej hodnoty.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>Dlhodobý hmotný majetok vytvorený vlastnou činnosťou sa oceňuje vlastnými nákladmi, ktoré zahrňujú priame materiálové a mzdové náklady a výrobné režijné náklady.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 xml:space="preserve">Dlhodobý hmotný majetok získaný bezodplatne sa oceňuje reálnou hodnotou a účtuje sa v prospech účtu ostatných kapitálových fondov. 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 xml:space="preserve">Náklady na technické zhodnotenie dlhodobého hmotného majetku zvyšujú jeho obstarávaciu cenu. 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Cs w:val="0"/>
          <w:i w:val="0"/>
          <w:iCs w:val="0"/>
          <w:sz w:val="20"/>
          <w:szCs w:val="20"/>
          <w:lang w:val="sk-SK"/>
        </w:rPr>
        <w:lastRenderedPageBreak/>
        <w:t>Odpisovanie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>Dlhodobý hmotný majetok sa odpisuje do nákladov počas predpokladanej doby životnosti a predpokladaného priebehu opotrebenia príslušného majetku. Odpisovať sa začína dňom zaradenia dlhodobého majetku do používania. Predpokladaná doba používania, metóda odpisovania a odpisová sadzba sú stanovené pre jednotlivé skupiny dlhodobého hmotného majetku nasledovne:</w:t>
      </w:r>
    </w:p>
    <w:tbl>
      <w:tblPr>
        <w:tblW w:w="0" w:type="auto"/>
        <w:tblInd w:w="714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7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820686" w:rsidTr="00820686">
        <w:trPr>
          <w:cantSplit/>
          <w:trHeight w:val="803"/>
        </w:trPr>
        <w:tc>
          <w:tcPr>
            <w:tcW w:w="3261" w:type="dxa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</w:tcPr>
          <w:p w:rsidR="00820686" w:rsidRDefault="00820686">
            <w:pPr>
              <w:pStyle w:val="TableHeader"/>
              <w:keepNext w:val="0"/>
              <w:spacing w:before="60" w:after="120"/>
              <w:rPr>
                <w:b/>
                <w:bCs/>
                <w:sz w:val="20"/>
                <w:szCs w:val="20"/>
                <w:highlight w:val="yellow"/>
                <w:lang w:val="sk-SK"/>
              </w:rPr>
            </w:pPr>
            <w:r>
              <w:rPr>
                <w:b/>
                <w:bCs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:rsidR="00820686" w:rsidRDefault="00820686">
            <w:pPr>
              <w:pStyle w:val="TableHeader"/>
              <w:keepNext w:val="0"/>
              <w:spacing w:before="60" w:after="12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:rsidR="00820686" w:rsidRDefault="00820686">
            <w:pPr>
              <w:pStyle w:val="TableHeader"/>
              <w:keepNext w:val="0"/>
              <w:spacing w:before="60" w:after="12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:rsidR="00820686" w:rsidRDefault="00820686">
            <w:pPr>
              <w:pStyle w:val="TableHeader"/>
              <w:keepNext w:val="0"/>
              <w:spacing w:before="60" w:after="12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Metóda odpisovania</w:t>
            </w:r>
          </w:p>
        </w:tc>
      </w:tr>
      <w:tr w:rsidR="00820686" w:rsidTr="00820686">
        <w:trPr>
          <w:cantSplit/>
        </w:trPr>
        <w:tc>
          <w:tcPr>
            <w:tcW w:w="3261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  <w:hideMark/>
          </w:tcPr>
          <w:p w:rsidR="00820686" w:rsidRDefault="00820686">
            <w:pPr>
              <w:pStyle w:val="TableFirstLine"/>
              <w:keepNext w:val="0"/>
              <w:spacing w:before="6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  <w:hideMark/>
          </w:tcPr>
          <w:p w:rsidR="00820686" w:rsidRDefault="00820686">
            <w:pPr>
              <w:pStyle w:val="TableFirstLine"/>
              <w:keepNext w:val="0"/>
              <w:spacing w:before="6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  <w:hideMark/>
          </w:tcPr>
          <w:p w:rsidR="00820686" w:rsidRDefault="00820686">
            <w:pPr>
              <w:pStyle w:val="TableFirstLine"/>
              <w:keepNext w:val="0"/>
              <w:spacing w:before="6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0,05</w:t>
            </w:r>
          </w:p>
        </w:tc>
        <w:tc>
          <w:tcPr>
            <w:tcW w:w="1559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  <w:hideMark/>
          </w:tcPr>
          <w:p w:rsidR="00820686" w:rsidRDefault="00820686">
            <w:pPr>
              <w:pStyle w:val="TableFirstLine"/>
              <w:keepNext w:val="0"/>
              <w:spacing w:before="6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Lineárny odpis</w:t>
            </w:r>
          </w:p>
        </w:tc>
      </w:tr>
      <w:tr w:rsidR="00820686" w:rsidTr="00820686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12" w:space="0" w:color="808080"/>
              <w:right w:val="nil"/>
            </w:tcBorders>
            <w:vAlign w:val="bottom"/>
            <w:hideMark/>
          </w:tcPr>
          <w:p w:rsidR="00820686" w:rsidRDefault="00820686">
            <w:pPr>
              <w:pStyle w:val="TableFirstLine"/>
              <w:keepNext w:val="0"/>
              <w:spacing w:before="6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808080"/>
              <w:right w:val="nil"/>
            </w:tcBorders>
            <w:vAlign w:val="bottom"/>
            <w:hideMark/>
          </w:tcPr>
          <w:p w:rsidR="00820686" w:rsidRDefault="00820686">
            <w:pPr>
              <w:pStyle w:val="TableFirstLine"/>
              <w:keepNext w:val="0"/>
              <w:spacing w:before="6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808080"/>
              <w:right w:val="nil"/>
            </w:tcBorders>
            <w:vAlign w:val="bottom"/>
            <w:hideMark/>
          </w:tcPr>
          <w:p w:rsidR="00820686" w:rsidRDefault="00820686">
            <w:pPr>
              <w:pStyle w:val="TableFirstLine"/>
              <w:keepNext w:val="0"/>
              <w:spacing w:before="6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808080"/>
              <w:right w:val="nil"/>
            </w:tcBorders>
            <w:vAlign w:val="bottom"/>
            <w:hideMark/>
          </w:tcPr>
          <w:p w:rsidR="00820686" w:rsidRDefault="00820686">
            <w:pPr>
              <w:pStyle w:val="TableFirstLine"/>
              <w:keepNext w:val="0"/>
              <w:spacing w:before="6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Lineárny odpis</w:t>
            </w:r>
          </w:p>
        </w:tc>
      </w:tr>
    </w:tbl>
    <w:p w:rsidR="00820686" w:rsidRDefault="00820686" w:rsidP="00820686">
      <w:pPr>
        <w:keepNext w:val="0"/>
        <w:spacing w:after="120"/>
        <w:rPr>
          <w:lang w:val="sk-SK"/>
        </w:rPr>
      </w:pPr>
    </w:p>
    <w:p w:rsidR="00820686" w:rsidRDefault="00820686" w:rsidP="00820686">
      <w:pPr>
        <w:keepNext w:val="0"/>
        <w:spacing w:after="120"/>
        <w:ind w:left="284"/>
        <w:rPr>
          <w:lang w:val="sk-SK"/>
        </w:rPr>
      </w:pPr>
      <w:r>
        <w:rPr>
          <w:lang w:val="sk-SK"/>
        </w:rPr>
        <w:t>V prípade prechodného zníženia úžitkovej hodnoty dlhodobého hmotného majetku sa tvorí opravná položka vo výške rozdielu jeho zistenej úžitkovej hodnoty a zostatkovej hodnoty. Drobný dlhodobý hmotný majetok, ktorého obstarávacia cena je menšia ako 1 700 € sa odpisuje podľa odpisového plánu.</w:t>
      </w:r>
    </w:p>
    <w:p w:rsidR="00820686" w:rsidRDefault="00820686" w:rsidP="00820686">
      <w:pPr>
        <w:pStyle w:val="Nadpis2"/>
        <w:keepNext w:val="0"/>
        <w:numPr>
          <w:ilvl w:val="0"/>
          <w:numId w:val="6"/>
        </w:numPr>
        <w:tabs>
          <w:tab w:val="left" w:pos="708"/>
        </w:tabs>
        <w:spacing w:after="120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Finančný majetok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>Krátkodobý finančný majetok tvoria ceniny, peniaze v hotovosti a na bankových účtoch, cenné papiere určené na obchodovanie, dlžné cenné papiere so splatnosťou do jedného roka držané do doby splatnosti, vlastné akcie a ostatné realizovateľné cenné papiere. Účtami v bankách môže spoločnosť voľne disponovať.</w:t>
      </w:r>
      <w:r>
        <w:rPr>
          <w:rFonts w:ascii="Times New Roman" w:hAnsi="Times New Roman"/>
          <w:b w:val="0"/>
          <w:i w:val="0"/>
          <w:sz w:val="20"/>
          <w:szCs w:val="20"/>
          <w:highlight w:val="yellow"/>
          <w:lang w:val="sk-SK"/>
        </w:rPr>
        <w:t xml:space="preserve"> </w:t>
      </w: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>Krátkodobý finančný majetok sa oceňuje v obstarávacích cenách.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>Dlhodobý finančný majetok tvoria majetkové účasti. Dlhodobý finančný majetok sa oceňuje v obstarávacích cenách.</w:t>
      </w:r>
    </w:p>
    <w:p w:rsidR="00820686" w:rsidRDefault="00820686" w:rsidP="00820686">
      <w:pPr>
        <w:pStyle w:val="Nadpis2"/>
        <w:keepNext w:val="0"/>
        <w:numPr>
          <w:ilvl w:val="0"/>
          <w:numId w:val="6"/>
        </w:numPr>
        <w:tabs>
          <w:tab w:val="left" w:pos="708"/>
        </w:tabs>
        <w:spacing w:after="120"/>
        <w:rPr>
          <w:rFonts w:ascii="Times New Roman" w:hAnsi="Times New Roman"/>
          <w:sz w:val="20"/>
          <w:szCs w:val="20"/>
          <w:lang w:val="sk-SK"/>
        </w:rPr>
      </w:pPr>
      <w:bookmarkStart w:id="5" w:name="_Toc474124307"/>
      <w:bookmarkStart w:id="6" w:name="_Toc474124195"/>
      <w:r>
        <w:rPr>
          <w:rFonts w:ascii="Times New Roman" w:hAnsi="Times New Roman"/>
          <w:sz w:val="20"/>
          <w:szCs w:val="20"/>
          <w:lang w:val="sk-SK"/>
        </w:rPr>
        <w:t>Zásoby</w:t>
      </w:r>
      <w:bookmarkEnd w:id="5"/>
      <w:bookmarkEnd w:id="6"/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>Nakupované zásoby sú ocenené obstarávacími cenami. Obstarávacia cena zásob zahŕňa cenu obstarania, náklady súvisiace s ich obstaraním a všetky zníženia tejto obstarávacej ceny.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 xml:space="preserve">V prípade prechodného zníženia úžitkovej hodnoty zásob sa tvorí opravná položka. </w:t>
      </w:r>
    </w:p>
    <w:p w:rsidR="00820686" w:rsidRDefault="00820686" w:rsidP="00820686">
      <w:pPr>
        <w:pStyle w:val="Nadpis2"/>
        <w:keepNext w:val="0"/>
        <w:numPr>
          <w:ilvl w:val="0"/>
          <w:numId w:val="6"/>
        </w:numPr>
        <w:tabs>
          <w:tab w:val="left" w:pos="708"/>
        </w:tabs>
        <w:spacing w:after="120"/>
        <w:rPr>
          <w:rFonts w:ascii="Times New Roman" w:hAnsi="Times New Roman"/>
          <w:sz w:val="20"/>
          <w:szCs w:val="20"/>
          <w:lang w:val="sk-SK"/>
        </w:rPr>
      </w:pPr>
      <w:bookmarkStart w:id="7" w:name="_Toc474124308"/>
      <w:bookmarkStart w:id="8" w:name="_Toc474124196"/>
      <w:r>
        <w:rPr>
          <w:rFonts w:ascii="Times New Roman" w:hAnsi="Times New Roman"/>
          <w:sz w:val="20"/>
          <w:szCs w:val="20"/>
          <w:lang w:val="sk-SK"/>
        </w:rPr>
        <w:t>Pohľadávky</w:t>
      </w:r>
      <w:bookmarkEnd w:id="7"/>
      <w:bookmarkEnd w:id="8"/>
    </w:p>
    <w:p w:rsidR="00820686" w:rsidRDefault="00820686" w:rsidP="00820686">
      <w:pPr>
        <w:keepNext w:val="0"/>
        <w:spacing w:after="120"/>
        <w:ind w:left="360"/>
        <w:rPr>
          <w:lang w:val="sk-SK"/>
        </w:rPr>
      </w:pPr>
      <w:r>
        <w:rPr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hodnotu opravnými položkami.</w:t>
      </w:r>
    </w:p>
    <w:p w:rsidR="00820686" w:rsidRDefault="00820686" w:rsidP="00820686">
      <w:pPr>
        <w:pStyle w:val="Nadpis2"/>
        <w:keepNext w:val="0"/>
        <w:numPr>
          <w:ilvl w:val="0"/>
          <w:numId w:val="6"/>
        </w:numPr>
        <w:tabs>
          <w:tab w:val="left" w:pos="708"/>
        </w:tabs>
        <w:spacing w:after="120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 xml:space="preserve">Záväzky 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bCs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bCs w:val="0"/>
          <w:i w:val="0"/>
          <w:sz w:val="20"/>
          <w:szCs w:val="20"/>
          <w:lang w:val="sk-SK"/>
        </w:rPr>
        <w:t>Dlhodobé i krátkodobé záväzky sa vykazujú v menovitých hodnotách.</w:t>
      </w:r>
    </w:p>
    <w:p w:rsidR="00820686" w:rsidRDefault="00820686" w:rsidP="00820686">
      <w:pPr>
        <w:pStyle w:val="Nadpis2"/>
        <w:keepNext w:val="0"/>
        <w:numPr>
          <w:ilvl w:val="0"/>
          <w:numId w:val="6"/>
        </w:numPr>
        <w:tabs>
          <w:tab w:val="left" w:pos="708"/>
        </w:tabs>
        <w:spacing w:after="120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 xml:space="preserve">Rezervy 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>Rezervy sú záväzky s neurčitým časovým vymedzením alebo výškou, tvoria sa na krytie známych rizík alebo strát z podnikania. Oceňujú sa v očakávanej výške záväzku.</w:t>
      </w:r>
    </w:p>
    <w:p w:rsidR="00820686" w:rsidRDefault="00820686" w:rsidP="00820686">
      <w:pPr>
        <w:pStyle w:val="Nadpis2"/>
        <w:keepNext w:val="0"/>
        <w:numPr>
          <w:ilvl w:val="0"/>
          <w:numId w:val="6"/>
        </w:numPr>
        <w:tabs>
          <w:tab w:val="left" w:pos="708"/>
        </w:tabs>
        <w:spacing w:after="120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Vlastné imanie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 xml:space="preserve">Vlastné imanie sa skladá zo základného imania, kapitálových fondov, zákonného rezervného fondu, výsledku hospodárenia v schvaľovacom konaní a výsledku hospodárenia minulých rokov. 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60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 xml:space="preserve">Základné imanie spoločnosti sa vykazuje vo výške zapísanej v obchodnom registri okresného súdu. Prípadné zvýšenie alebo zníženie základného imania na základe rozhodnutia valného zhromaždenia, ktoré nebolo ku dňu účtovnej závierky zaregistrované, sa vykazuje ako zmeny základného imania. </w:t>
      </w:r>
    </w:p>
    <w:p w:rsidR="00820686" w:rsidRDefault="00820686" w:rsidP="00820686">
      <w:pPr>
        <w:pStyle w:val="Nadpis2"/>
        <w:keepNext w:val="0"/>
        <w:numPr>
          <w:ilvl w:val="0"/>
          <w:numId w:val="6"/>
        </w:numPr>
        <w:tabs>
          <w:tab w:val="left" w:pos="708"/>
        </w:tabs>
        <w:spacing w:after="120"/>
        <w:ind w:left="357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Výnosy</w:t>
      </w:r>
    </w:p>
    <w:p w:rsidR="00820686" w:rsidRDefault="00820686" w:rsidP="00820686">
      <w:pPr>
        <w:keepNext w:val="0"/>
        <w:spacing w:after="120"/>
        <w:ind w:left="357"/>
        <w:rPr>
          <w:lang w:val="sk-SK"/>
        </w:rPr>
      </w:pPr>
      <w:r>
        <w:rPr>
          <w:lang w:val="sk-SK"/>
        </w:rPr>
        <w:t xml:space="preserve">Tržby za vlastné výkony a tovar neobsahujú daň z pridanej hodnoty. Tržby sú účtované ku dňu splnenia dodávky alebo služby. </w:t>
      </w:r>
    </w:p>
    <w:p w:rsidR="00820686" w:rsidRDefault="00820686" w:rsidP="00820686">
      <w:pPr>
        <w:keepNext w:val="0"/>
        <w:spacing w:after="120"/>
        <w:ind w:left="357"/>
        <w:rPr>
          <w:lang w:val="sk-SK"/>
        </w:rPr>
      </w:pPr>
    </w:p>
    <w:p w:rsidR="00820686" w:rsidRDefault="00820686" w:rsidP="00820686">
      <w:pPr>
        <w:pStyle w:val="Nadpis2"/>
        <w:keepNext w:val="0"/>
        <w:numPr>
          <w:ilvl w:val="0"/>
          <w:numId w:val="6"/>
        </w:numPr>
        <w:tabs>
          <w:tab w:val="left" w:pos="708"/>
        </w:tabs>
        <w:spacing w:after="120"/>
        <w:ind w:left="357"/>
        <w:rPr>
          <w:rFonts w:ascii="Times New Roman" w:hAnsi="Times New Roman"/>
          <w:sz w:val="20"/>
          <w:szCs w:val="20"/>
          <w:lang w:val="sk-SK"/>
        </w:rPr>
      </w:pPr>
      <w:bookmarkStart w:id="9" w:name="_Toc474124314"/>
      <w:bookmarkStart w:id="10" w:name="_Toc474124202"/>
      <w:r>
        <w:rPr>
          <w:rFonts w:ascii="Times New Roman" w:hAnsi="Times New Roman"/>
          <w:sz w:val="20"/>
          <w:szCs w:val="20"/>
          <w:lang w:val="sk-SK"/>
        </w:rPr>
        <w:lastRenderedPageBreak/>
        <w:t>Daň z príjm</w:t>
      </w:r>
      <w:bookmarkEnd w:id="9"/>
      <w:bookmarkEnd w:id="10"/>
      <w:r>
        <w:rPr>
          <w:rFonts w:ascii="Times New Roman" w:hAnsi="Times New Roman"/>
          <w:sz w:val="20"/>
          <w:szCs w:val="20"/>
          <w:lang w:val="sk-SK"/>
        </w:rPr>
        <w:t>u</w:t>
      </w:r>
    </w:p>
    <w:p w:rsidR="00820686" w:rsidRDefault="00820686" w:rsidP="00820686">
      <w:pPr>
        <w:pStyle w:val="Nadpis2"/>
        <w:keepNext w:val="0"/>
        <w:numPr>
          <w:ilvl w:val="0"/>
          <w:numId w:val="0"/>
        </w:numPr>
        <w:tabs>
          <w:tab w:val="left" w:pos="708"/>
        </w:tabs>
        <w:spacing w:after="120"/>
        <w:ind w:left="357"/>
        <w:rPr>
          <w:rFonts w:ascii="Times New Roman" w:hAnsi="Times New Roman"/>
          <w:b w:val="0"/>
          <w:i w:val="0"/>
          <w:sz w:val="20"/>
          <w:szCs w:val="20"/>
          <w:lang w:val="sk-SK"/>
        </w:rPr>
      </w:pPr>
      <w:r>
        <w:rPr>
          <w:rFonts w:ascii="Times New Roman" w:hAnsi="Times New Roman"/>
          <w:b w:val="0"/>
          <w:i w:val="0"/>
          <w:sz w:val="20"/>
          <w:szCs w:val="20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820686" w:rsidRDefault="00820686" w:rsidP="00820686">
      <w:pPr>
        <w:keepNext w:val="0"/>
        <w:autoSpaceDE w:val="0"/>
        <w:autoSpaceDN w:val="0"/>
        <w:adjustRightInd w:val="0"/>
        <w:spacing w:after="120"/>
        <w:jc w:val="left"/>
        <w:rPr>
          <w:sz w:val="16"/>
          <w:szCs w:val="16"/>
          <w:lang w:val="sk-SK"/>
        </w:rPr>
      </w:pPr>
    </w:p>
    <w:p w:rsidR="00820686" w:rsidRDefault="00820686" w:rsidP="00820686">
      <w:pPr>
        <w:keepNext w:val="0"/>
        <w:autoSpaceDE w:val="0"/>
        <w:autoSpaceDN w:val="0"/>
        <w:adjustRightInd w:val="0"/>
        <w:spacing w:after="120"/>
        <w:jc w:val="left"/>
        <w:rPr>
          <w:color w:val="000000"/>
          <w:sz w:val="23"/>
          <w:szCs w:val="23"/>
          <w:lang w:val="sk-SK" w:eastAsia="sk-SK"/>
        </w:rPr>
      </w:pPr>
      <w:r>
        <w:rPr>
          <w:b/>
          <w:bCs/>
          <w:color w:val="000000"/>
          <w:sz w:val="23"/>
          <w:szCs w:val="23"/>
          <w:lang w:val="sk-SK" w:eastAsia="sk-SK"/>
        </w:rPr>
        <w:t xml:space="preserve">Čl. III </w:t>
      </w:r>
    </w:p>
    <w:p w:rsidR="00820686" w:rsidRDefault="00820686" w:rsidP="00820686">
      <w:pPr>
        <w:spacing w:after="120"/>
        <w:rPr>
          <w:b/>
          <w:bCs/>
          <w:color w:val="000000"/>
          <w:sz w:val="23"/>
          <w:szCs w:val="23"/>
          <w:lang w:val="sk-SK" w:eastAsia="sk-SK"/>
        </w:rPr>
      </w:pPr>
      <w:r>
        <w:rPr>
          <w:b/>
          <w:bCs/>
          <w:color w:val="000000"/>
          <w:sz w:val="23"/>
          <w:szCs w:val="23"/>
          <w:lang w:val="sk-SK" w:eastAsia="sk-SK"/>
        </w:rPr>
        <w:t>Informácie, ktoré vysvetľujú a dopĺňajú súvahu a výkaz ziskov a strát</w:t>
      </w:r>
    </w:p>
    <w:p w:rsidR="00820686" w:rsidRDefault="00820686" w:rsidP="00820686">
      <w:pPr>
        <w:pStyle w:val="Nadpis1"/>
        <w:keepNext w:val="0"/>
        <w:numPr>
          <w:ilvl w:val="0"/>
          <w:numId w:val="7"/>
        </w:numPr>
        <w:tabs>
          <w:tab w:val="left" w:pos="284"/>
        </w:tabs>
        <w:spacing w:before="120" w:after="120"/>
        <w:ind w:left="0" w:firstLine="0"/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Informácia o sume a dôvodoch vzniku významných položiek nákladov alebo výnosov</w:t>
      </w:r>
    </w:p>
    <w:p w:rsidR="00820686" w:rsidRDefault="00820686" w:rsidP="00820686">
      <w:pPr>
        <w:keepNext w:val="0"/>
        <w:spacing w:after="120"/>
        <w:rPr>
          <w:lang w:val="sk-SK"/>
        </w:rPr>
      </w:pPr>
      <w:r>
        <w:rPr>
          <w:lang w:val="sk-SK"/>
        </w:rPr>
        <w:t>Spoločnosť v roku 2017 nezaznamenala žiadne pohyby významných položiek nákladov a výnosov.</w:t>
      </w:r>
    </w:p>
    <w:p w:rsidR="00820686" w:rsidRDefault="00820686" w:rsidP="00820686">
      <w:pPr>
        <w:keepNext w:val="0"/>
        <w:spacing w:after="120"/>
        <w:rPr>
          <w:lang w:val="sk-SK"/>
        </w:rPr>
      </w:pPr>
      <w:r>
        <w:rPr>
          <w:lang w:val="sk-SK"/>
        </w:rPr>
        <w:t xml:space="preserve">Spoločnosť v roku 2017 neeviduje žiadne záväzky so zostatkovou dobou splatnosti dlhšou ako 5 rokov. </w:t>
      </w:r>
    </w:p>
    <w:p w:rsidR="00820686" w:rsidRDefault="00820686" w:rsidP="00820686">
      <w:pPr>
        <w:keepNext w:val="0"/>
        <w:spacing w:after="120"/>
        <w:rPr>
          <w:lang w:val="sk-SK"/>
        </w:rPr>
      </w:pPr>
      <w:r>
        <w:rPr>
          <w:lang w:val="sk-SK"/>
        </w:rPr>
        <w:t>Spoločnosť v roku 2017 neposkytla orgánom účtovnej jednotky žiadne záruky, pôžičky, finančné prostriedky na súkromné účely ani iné zabezpečenia.</w:t>
      </w:r>
    </w:p>
    <w:p w:rsidR="00820686" w:rsidRDefault="00820686" w:rsidP="00820686">
      <w:pPr>
        <w:keepNext w:val="0"/>
        <w:spacing w:after="120"/>
        <w:rPr>
          <w:lang w:val="sk-SK"/>
        </w:rPr>
      </w:pPr>
      <w:r>
        <w:rPr>
          <w:lang w:val="sk-SK"/>
        </w:rPr>
        <w:t>Spoločnosť v roku 2017 neeviduje žiadne podmienené pohľadávky a záväzky.</w:t>
      </w:r>
    </w:p>
    <w:p w:rsidR="00820686" w:rsidRDefault="00820686" w:rsidP="00820686">
      <w:pPr>
        <w:rPr>
          <w:lang w:val="sk-SK"/>
        </w:rPr>
      </w:pPr>
    </w:p>
    <w:p w:rsidR="00AE058A" w:rsidRDefault="00AE058A"/>
    <w:sectPr w:rsidR="00AE058A" w:rsidSect="00820686">
      <w:headerReference w:type="default" r:id="rId8"/>
      <w:pgSz w:w="11906" w:h="16838"/>
      <w:pgMar w:top="2126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D55" w:rsidRDefault="00D85D55" w:rsidP="00820686">
      <w:pPr>
        <w:spacing w:after="0"/>
      </w:pPr>
      <w:r>
        <w:separator/>
      </w:r>
    </w:p>
  </w:endnote>
  <w:endnote w:type="continuationSeparator" w:id="0">
    <w:p w:rsidR="00D85D55" w:rsidRDefault="00D85D55" w:rsidP="008206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D55" w:rsidRDefault="00D85D55" w:rsidP="00820686">
      <w:pPr>
        <w:spacing w:after="0"/>
      </w:pPr>
      <w:r>
        <w:separator/>
      </w:r>
    </w:p>
  </w:footnote>
  <w:footnote w:type="continuationSeparator" w:id="0">
    <w:p w:rsidR="00D85D55" w:rsidRDefault="00D85D55" w:rsidP="0082068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686" w:rsidRDefault="00820686" w:rsidP="00820686">
    <w:pPr>
      <w:spacing w:after="0"/>
      <w:rPr>
        <w:rFonts w:ascii="Arial" w:hAnsi="Arial" w:cs="Arial"/>
        <w:b/>
        <w:bCs/>
        <w:i/>
        <w:iCs/>
        <w:lang w:val="sk-SK"/>
      </w:rPr>
    </w:pPr>
  </w:p>
  <w:p w:rsidR="00820686" w:rsidRDefault="00820686" w:rsidP="00820686">
    <w:pPr>
      <w:spacing w:after="0"/>
      <w:rPr>
        <w:rFonts w:ascii="Arial" w:hAnsi="Arial" w:cs="Arial"/>
        <w:b/>
        <w:bCs/>
        <w:i/>
        <w:iCs/>
        <w:lang w:val="sk-SK"/>
      </w:rPr>
    </w:pPr>
  </w:p>
  <w:p w:rsidR="00820686" w:rsidRPr="00435877" w:rsidRDefault="00820686" w:rsidP="00820686">
    <w:pPr>
      <w:tabs>
        <w:tab w:val="left" w:pos="6379"/>
      </w:tabs>
      <w:spacing w:after="0"/>
      <w:rPr>
        <w:rFonts w:ascii="Arial" w:hAnsi="Arial" w:cs="Arial"/>
        <w:b/>
        <w:bCs/>
        <w:i/>
        <w:iCs/>
        <w:lang w:val="sk-SK"/>
      </w:rPr>
    </w:pPr>
    <w:r w:rsidRPr="00A50E43">
      <w:rPr>
        <w:rFonts w:ascii="Arial" w:hAnsi="Arial" w:cs="Arial"/>
        <w:b/>
        <w:bCs/>
        <w:i/>
        <w:iCs/>
        <w:lang w:val="sk-SK"/>
      </w:rPr>
      <w:t xml:space="preserve">Poznámky </w:t>
    </w:r>
    <w:proofErr w:type="spellStart"/>
    <w:r w:rsidRPr="00A50E43">
      <w:rPr>
        <w:rFonts w:ascii="Arial" w:hAnsi="Arial" w:cs="Arial"/>
        <w:b/>
        <w:bCs/>
        <w:i/>
        <w:iCs/>
        <w:lang w:val="sk-SK"/>
      </w:rPr>
      <w:t>Úč</w:t>
    </w:r>
    <w:proofErr w:type="spellEnd"/>
    <w:r w:rsidRPr="00A50E43">
      <w:rPr>
        <w:rFonts w:ascii="Arial" w:hAnsi="Arial" w:cs="Arial"/>
        <w:b/>
        <w:bCs/>
        <w:i/>
        <w:iCs/>
        <w:lang w:val="sk-SK"/>
      </w:rPr>
      <w:t xml:space="preserve"> MÚJ </w:t>
    </w:r>
    <w:r>
      <w:rPr>
        <w:rFonts w:ascii="Arial" w:hAnsi="Arial" w:cs="Arial"/>
        <w:b/>
        <w:bCs/>
        <w:i/>
        <w:iCs/>
        <w:lang w:val="sk-SK"/>
      </w:rPr>
      <w:t>3</w:t>
    </w:r>
    <w:r w:rsidRPr="00A50E43">
      <w:rPr>
        <w:rFonts w:ascii="Arial" w:hAnsi="Arial" w:cs="Arial"/>
        <w:b/>
        <w:bCs/>
        <w:i/>
        <w:iCs/>
        <w:lang w:val="sk-SK"/>
      </w:rPr>
      <w:t xml:space="preserve"> - 01</w:t>
    </w:r>
    <w:r>
      <w:rPr>
        <w:rFonts w:ascii="Arial" w:hAnsi="Arial" w:cs="Arial"/>
        <w:b/>
        <w:bCs/>
        <w:i/>
        <w:iCs/>
        <w:lang w:val="sk-SK"/>
      </w:rPr>
      <w:tab/>
    </w:r>
    <w:r>
      <w:rPr>
        <w:rFonts w:ascii="Arial" w:hAnsi="Arial" w:cs="Arial"/>
        <w:b/>
        <w:bCs/>
        <w:i/>
        <w:iCs/>
        <w:lang w:val="sk-SK"/>
      </w:rPr>
      <w:t>ICO 48055719</w:t>
    </w:r>
  </w:p>
  <w:p w:rsidR="00820686" w:rsidRPr="00E7199A" w:rsidRDefault="00820686" w:rsidP="00820686">
    <w:pPr>
      <w:pStyle w:val="lines"/>
    </w:pPr>
    <w:proofErr w:type="spellStart"/>
    <w:r>
      <w:t>Doprastav</w:t>
    </w:r>
    <w:proofErr w:type="spellEnd"/>
    <w:r>
      <w:t xml:space="preserve"> </w:t>
    </w:r>
    <w:proofErr w:type="spellStart"/>
    <w:r>
      <w:t>International</w:t>
    </w:r>
    <w:proofErr w:type="spellEnd"/>
    <w:r>
      <w:t>, s.r.o.</w:t>
    </w:r>
    <w:r>
      <w:tab/>
    </w:r>
    <w:r>
      <w:t>DIC 2120089103</w:t>
    </w:r>
  </w:p>
  <w:p w:rsidR="00820686" w:rsidRDefault="008206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EC72B7"/>
    <w:multiLevelType w:val="hybridMultilevel"/>
    <w:tmpl w:val="3EDCD92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07156"/>
    <w:multiLevelType w:val="hybridMultilevel"/>
    <w:tmpl w:val="A9326DC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F36ADA"/>
    <w:multiLevelType w:val="hybridMultilevel"/>
    <w:tmpl w:val="3EDCD92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</w:lvl>
  </w:abstractNum>
  <w:abstractNum w:abstractNumId="4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</w:lvl>
  </w:abstractNum>
  <w:abstractNum w:abstractNumId="5">
    <w:nsid w:val="5DA1241A"/>
    <w:multiLevelType w:val="hybridMultilevel"/>
    <w:tmpl w:val="9B44019C"/>
    <w:lvl w:ilvl="0" w:tplc="122A3920">
      <w:start w:val="1"/>
      <w:numFmt w:val="lowerLetter"/>
      <w:lvlText w:val="%1)"/>
      <w:lvlJc w:val="left"/>
      <w:pPr>
        <w:ind w:left="360" w:hanging="360"/>
      </w:pPr>
      <w:rPr>
        <w:b/>
        <w:i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6D224B3"/>
    <w:multiLevelType w:val="hybridMultilevel"/>
    <w:tmpl w:val="3EDCD92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</w:num>
  <w:num w:numId="2">
    <w:abstractNumId w:val="3"/>
    <w:lvlOverride w:ilvl="0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686"/>
    <w:rsid w:val="00820686"/>
    <w:rsid w:val="00AE058A"/>
    <w:rsid w:val="00D85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0686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820686"/>
    <w:pPr>
      <w:numPr>
        <w:numId w:val="1"/>
      </w:numPr>
      <w:shd w:val="solid" w:color="FFFFFF" w:fill="FFFFFF"/>
      <w:spacing w:before="3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20686"/>
    <w:pPr>
      <w:numPr>
        <w:numId w:val="2"/>
      </w:numPr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20686"/>
    <w:rPr>
      <w:rFonts w:ascii="Cambria" w:eastAsia="Times New Roman" w:hAnsi="Cambria" w:cs="Times New Roman"/>
      <w:b/>
      <w:bCs/>
      <w:kern w:val="32"/>
      <w:sz w:val="32"/>
      <w:szCs w:val="32"/>
      <w:shd w:val="solid" w:color="FFFFFF" w:fill="FFFFFF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20686"/>
    <w:rPr>
      <w:rFonts w:ascii="Cambria" w:eastAsia="Times New Roman" w:hAnsi="Cambria" w:cs="Times New Roman"/>
      <w:b/>
      <w:bCs/>
      <w:i/>
      <w:iCs/>
      <w:sz w:val="28"/>
      <w:szCs w:val="28"/>
      <w:lang w:val="cs-CZ"/>
    </w:rPr>
  </w:style>
  <w:style w:type="paragraph" w:customStyle="1" w:styleId="TableHeader">
    <w:name w:val="Table Header"/>
    <w:basedOn w:val="Normlny"/>
    <w:uiPriority w:val="99"/>
    <w:rsid w:val="00820686"/>
    <w:pPr>
      <w:spacing w:after="0"/>
      <w:jc w:val="center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820686"/>
    <w:pPr>
      <w:spacing w:after="120"/>
      <w:jc w:val="left"/>
    </w:pPr>
    <w:rPr>
      <w:sz w:val="16"/>
      <w:szCs w:val="16"/>
    </w:rPr>
  </w:style>
  <w:style w:type="paragraph" w:customStyle="1" w:styleId="Pismenka">
    <w:name w:val="Pismenka"/>
    <w:basedOn w:val="Zkladntext"/>
    <w:rsid w:val="00820686"/>
    <w:pPr>
      <w:keepNext w:val="0"/>
      <w:tabs>
        <w:tab w:val="num" w:pos="426"/>
        <w:tab w:val="num" w:pos="454"/>
      </w:tabs>
      <w:spacing w:after="0"/>
      <w:ind w:left="426" w:hanging="426"/>
    </w:pPr>
    <w:rPr>
      <w:b/>
      <w:bCs/>
      <w:sz w:val="18"/>
      <w:szCs w:val="18"/>
      <w:lang w:val="sk-SK"/>
    </w:rPr>
  </w:style>
  <w:style w:type="paragraph" w:customStyle="1" w:styleId="Default">
    <w:name w:val="Default"/>
    <w:rsid w:val="0082068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2068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20686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unhideWhenUsed/>
    <w:rsid w:val="00820686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820686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20686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820686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lines">
    <w:name w:val="line_s"/>
    <w:basedOn w:val="Normlny"/>
    <w:autoRedefine/>
    <w:uiPriority w:val="99"/>
    <w:rsid w:val="00820686"/>
    <w:pPr>
      <w:keepNext w:val="0"/>
      <w:pBdr>
        <w:bottom w:val="single" w:sz="4" w:space="0" w:color="auto"/>
      </w:pBdr>
      <w:tabs>
        <w:tab w:val="left" w:pos="6379"/>
      </w:tabs>
      <w:spacing w:after="0"/>
      <w:jc w:val="left"/>
    </w:pPr>
    <w:rPr>
      <w:rFonts w:ascii="Arial" w:hAnsi="Arial" w:cs="Arial"/>
      <w:b/>
      <w:bCs/>
      <w:i/>
      <w:iCs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0686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820686"/>
    <w:pPr>
      <w:numPr>
        <w:numId w:val="1"/>
      </w:numPr>
      <w:shd w:val="solid" w:color="FFFFFF" w:fill="FFFFFF"/>
      <w:spacing w:before="3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20686"/>
    <w:pPr>
      <w:numPr>
        <w:numId w:val="2"/>
      </w:numPr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20686"/>
    <w:rPr>
      <w:rFonts w:ascii="Cambria" w:eastAsia="Times New Roman" w:hAnsi="Cambria" w:cs="Times New Roman"/>
      <w:b/>
      <w:bCs/>
      <w:kern w:val="32"/>
      <w:sz w:val="32"/>
      <w:szCs w:val="32"/>
      <w:shd w:val="solid" w:color="FFFFFF" w:fill="FFFFFF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20686"/>
    <w:rPr>
      <w:rFonts w:ascii="Cambria" w:eastAsia="Times New Roman" w:hAnsi="Cambria" w:cs="Times New Roman"/>
      <w:b/>
      <w:bCs/>
      <w:i/>
      <w:iCs/>
      <w:sz w:val="28"/>
      <w:szCs w:val="28"/>
      <w:lang w:val="cs-CZ"/>
    </w:rPr>
  </w:style>
  <w:style w:type="paragraph" w:customStyle="1" w:styleId="TableHeader">
    <w:name w:val="Table Header"/>
    <w:basedOn w:val="Normlny"/>
    <w:uiPriority w:val="99"/>
    <w:rsid w:val="00820686"/>
    <w:pPr>
      <w:spacing w:after="0"/>
      <w:jc w:val="center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820686"/>
    <w:pPr>
      <w:spacing w:after="120"/>
      <w:jc w:val="left"/>
    </w:pPr>
    <w:rPr>
      <w:sz w:val="16"/>
      <w:szCs w:val="16"/>
    </w:rPr>
  </w:style>
  <w:style w:type="paragraph" w:customStyle="1" w:styleId="Pismenka">
    <w:name w:val="Pismenka"/>
    <w:basedOn w:val="Zkladntext"/>
    <w:rsid w:val="00820686"/>
    <w:pPr>
      <w:keepNext w:val="0"/>
      <w:tabs>
        <w:tab w:val="num" w:pos="426"/>
        <w:tab w:val="num" w:pos="454"/>
      </w:tabs>
      <w:spacing w:after="0"/>
      <w:ind w:left="426" w:hanging="426"/>
    </w:pPr>
    <w:rPr>
      <w:b/>
      <w:bCs/>
      <w:sz w:val="18"/>
      <w:szCs w:val="18"/>
      <w:lang w:val="sk-SK"/>
    </w:rPr>
  </w:style>
  <w:style w:type="paragraph" w:customStyle="1" w:styleId="Default">
    <w:name w:val="Default"/>
    <w:rsid w:val="0082068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2068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20686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unhideWhenUsed/>
    <w:rsid w:val="00820686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820686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20686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820686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lines">
    <w:name w:val="line_s"/>
    <w:basedOn w:val="Normlny"/>
    <w:autoRedefine/>
    <w:uiPriority w:val="99"/>
    <w:rsid w:val="00820686"/>
    <w:pPr>
      <w:keepNext w:val="0"/>
      <w:pBdr>
        <w:bottom w:val="single" w:sz="4" w:space="0" w:color="auto"/>
      </w:pBdr>
      <w:tabs>
        <w:tab w:val="left" w:pos="6379"/>
      </w:tabs>
      <w:spacing w:after="0"/>
      <w:jc w:val="left"/>
    </w:pPr>
    <w:rPr>
      <w:rFonts w:ascii="Arial" w:hAnsi="Arial" w:cs="Arial"/>
      <w:b/>
      <w:bCs/>
      <w:i/>
      <w:iCs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24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870</Words>
  <Characters>4964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Doprastav, a.s.</Company>
  <LinksUpToDate>false</LinksUpToDate>
  <CharactersWithSpaces>5823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Tirpáková Beáta</dc:creator>
  <cp:lastModifiedBy>Tirpáková Beáta</cp:lastModifiedBy>
  <cp:revision>1</cp:revision>
  <dcterms:created xsi:type="dcterms:W3CDTF">2018-03-21T17:54:00Z</dcterms:created>
  <dcterms:modified xsi:type="dcterms:W3CDTF">2018-03-21T18:00:00Z</dcterms:modified>
</cp:coreProperties>
</file>